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3.1 — Ciclos de Research Through Design documentados no desenvolvimento</w:t>
        <w:tab/>
      </w:r>
      <w:r>
        <w:t>34</w:t>
      </w:r>
    </w:p>
    <w:p>
      <w:pPr>
        <w:pStyle w:val="ndice1"/>
        <w:tabs>
          <w:tab w:val="right" w:leader="dot" w:pos="8204"/>
        </w:tabs>
      </w:pPr>
      <w:r>
        <w:t>Tabela 3.2 — Correspondência entre perguntas, actividades, evidência e limites</w:t>
        <w:tab/>
      </w:r>
      <w:r>
        <w:t>36</w:t>
      </w:r>
    </w:p>
    <w:p>
      <w:pPr>
        <w:pStyle w:val="ndice1"/>
        <w:tabs>
          <w:tab w:val="right" w:leader="dot" w:pos="8204"/>
        </w:tabs>
      </w:pPr>
      <w:r>
        <w:t>Tabela 4.1 — Principais parâmetros antropométricos da mão e do membro superior relevantes para modelação paramétrica</w:t>
        <w:tab/>
      </w:r>
      <w:r>
        <w:t>42</w:t>
      </w:r>
    </w:p>
    <w:p>
      <w:pPr>
        <w:pStyle w:val="ndice1"/>
        <w:tabs>
          <w:tab w:val="right" w:leader="dot" w:pos="8204"/>
        </w:tabs>
      </w:pPr>
      <w:r>
        <w:t>Tabela 4.2 — Conjuntos mínimos de parâmetros por nível de amputação</w:t>
        <w:tab/>
      </w:r>
      <w:r>
        <w:t>43</w:t>
      </w:r>
    </w:p>
    <w:p>
      <w:pPr>
        <w:pStyle w:val="ndice1"/>
        <w:tabs>
          <w:tab w:val="right" w:leader="dot" w:pos="8204"/>
        </w:tabs>
      </w:pPr>
      <w:r>
        <w:t>Tabela 4.3 — Métodos de recolha de dados antropométricos e suas características</w:t>
        <w:tab/>
      </w:r>
      <w:r>
        <w:t>45</w:t>
      </w:r>
    </w:p>
    <w:p>
      <w:pPr>
        <w:pStyle w:val="ndice1"/>
        <w:tabs>
          <w:tab w:val="right" w:leader="dot" w:pos="8204"/>
        </w:tabs>
      </w:pPr>
      <w:r>
        <w:t>Tabela 4.4 — Fontes integradas na base local de dados antropométricos</w:t>
        <w:tab/>
      </w:r>
      <w:r>
        <w:t>46</w:t>
      </w:r>
    </w:p>
    <w:p>
      <w:pPr>
        <w:pStyle w:val="ndice1"/>
        <w:tabs>
          <w:tab w:val="right" w:leader="dot" w:pos="8204"/>
        </w:tabs>
      </w:pPr>
      <w:r>
        <w:t>Tabela 4.5 — Estrutura hierárquica dos parâmetros no modelo paramétrico</w:t>
        <w:tab/>
      </w:r>
      <w:r>
        <w:t>50</w:t>
      </w:r>
    </w:p>
    <w:p>
      <w:pPr>
        <w:pStyle w:val="ndice1"/>
        <w:tabs>
          <w:tab w:val="right" w:leader="dot" w:pos="8204"/>
        </w:tabs>
      </w:pPr>
      <w:r>
        <w:t>Tabela 4.6 — Mapeamento entre parâmetros antropométricos e elementos do modelo</w:t>
        <w:tab/>
      </w:r>
      <w:r>
        <w:t>52</w:t>
      </w:r>
    </w:p>
    <w:p>
      <w:pPr>
        <w:pStyle w:val="ndice1"/>
        <w:tabs>
          <w:tab w:val="right" w:leader="dot" w:pos="8204"/>
        </w:tabs>
      </w:pPr>
      <w:r>
        <w:t>Tabela 4.7 — Estrutura técnica em camadas de um modelo paramétrico em OpenSCAD para próteses personalizadas</w:t>
        <w:tab/>
      </w:r>
      <w:r>
        <w:t>54</w:t>
      </w:r>
    </w:p>
    <w:p>
      <w:pPr>
        <w:pStyle w:val="ndice1"/>
        <w:tabs>
          <w:tab w:val="right" w:leader="dot" w:pos="8204"/>
        </w:tabs>
      </w:pPr>
      <w:r>
        <w:t>Tabela 4.8 — Relações paramétricas dos modelos avaliados</w:t>
        <w:tab/>
      </w:r>
      <w:r>
        <w:t>56</w:t>
      </w:r>
    </w:p>
    <w:p>
      <w:pPr>
        <w:pStyle w:val="ndice1"/>
        <w:tabs>
          <w:tab w:val="right" w:leader="dot" w:pos="8204"/>
        </w:tabs>
      </w:pPr>
      <w:r>
        <w:t>Tabela 4.9 — Dicionário operacional dos parâmetros numéricos dos modelos avaliados</w:t>
        <w:tab/>
      </w:r>
      <w:r>
        <w:t>58</w:t>
      </w:r>
    </w:p>
    <w:p>
      <w:pPr>
        <w:pStyle w:val="ndice1"/>
        <w:tabs>
          <w:tab w:val="right" w:leader="dot" w:pos="8204"/>
        </w:tabs>
      </w:pPr>
      <w:r>
        <w:t>Tabela 4.10 — Percurso numérico do vector antropométrico até às malhas do Flexy Beast</w:t>
        <w:tab/>
      </w:r>
      <w:r>
        <w:t>59</w:t>
      </w:r>
    </w:p>
    <w:p>
      <w:pPr>
        <w:pStyle w:val="ndice1"/>
        <w:tabs>
          <w:tab w:val="right" w:leader="dot" w:pos="8204"/>
        </w:tabs>
      </w:pPr>
      <w:r>
        <w:t>Tabela 5.1 — Fluxo de dados e responsabilidades da plataforma</w:t>
        <w:tab/>
      </w:r>
      <w:r>
        <w:t>65</w:t>
      </w:r>
    </w:p>
    <w:p>
      <w:pPr>
        <w:pStyle w:val="ndice1"/>
        <w:tabs>
          <w:tab w:val="right" w:leader="dot" w:pos="8204"/>
        </w:tabs>
      </w:pPr>
      <w:r>
        <w:t>Tabela 5.2 — Inventário consolidado dos modelos no fecho do estudo</w:t>
        <w:tab/>
      </w:r>
      <w:r>
        <w:t>74</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82</w:t>
      </w:r>
    </w:p>
    <w:p>
      <w:pPr>
        <w:pStyle w:val="ndice1"/>
        <w:tabs>
          <w:tab w:val="right" w:leader="dot" w:pos="8204"/>
        </w:tabs>
      </w:pPr>
      <w:r>
        <w:t>Tabela 8.1 — Evidência técnica do funcionamento da plataforma</w:t>
        <w:tab/>
      </w:r>
      <w:r>
        <w:t>87</w:t>
      </w:r>
    </w:p>
    <w:p>
      <w:pPr>
        <w:pStyle w:val="ndice1"/>
        <w:tabs>
          <w:tab w:val="right" w:leader="dot" w:pos="8204"/>
        </w:tabs>
      </w:pPr>
      <w:r>
        <w:t>Tabela 8.2 — Projectos de preparação para impressão arquivados</w:t>
        <w:tab/>
      </w:r>
      <w:r>
        <w:t>89</w:t>
      </w:r>
    </w:p>
    <w:p>
      <w:pPr>
        <w:pStyle w:val="ndice1"/>
        <w:tabs>
          <w:tab w:val="right" w:leader="dot" w:pos="8204"/>
        </w:tabs>
      </w:pPr>
      <w:r>
        <w:t>Tabela 8.3 — Inspecção computacional de malhas na configuração infantil</w:t>
        <w:tab/>
      </w:r>
      <w:r>
        <w:t>91</w:t>
      </w:r>
    </w:p>
    <w:p>
      <w:pPr>
        <w:pStyle w:val="ndice1"/>
        <w:tabs>
          <w:tab w:val="right" w:leader="dot" w:pos="8204"/>
        </w:tabs>
      </w:pPr>
      <w:r>
        <w:t>Tabela 8.4 — Entradas utilizadas nos cenários de avaliação da IA</w:t>
        <w:tab/>
      </w:r>
      <w:r>
        <w:t>94</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Rácio adimensional da maior dimensão da palma exportada face ao valor de referência</w:t>
        <w:tab/>
      </w:r>
      <w:r>
        <w:t>98</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35</w:t>
      </w:r>
    </w:p>
    <w:p>
      <w:pPr>
        <w:pStyle w:val="ndice1"/>
        <w:tabs>
          <w:tab w:val="right" w:leader="dot" w:pos="8204"/>
        </w:tabs>
      </w:pPr>
      <w:r>
        <w:t>Figura 3.2 — Exemplo de recolha dimensional para ajuste de prótese impressa em 3D.</w:t>
        <w:tab/>
      </w:r>
      <w:r>
        <w:t>38</w:t>
      </w:r>
    </w:p>
    <w:p>
      <w:pPr>
        <w:pStyle w:val="ndice1"/>
        <w:tabs>
          <w:tab w:val="right" w:leader="dot" w:pos="8204"/>
        </w:tabs>
      </w:pPr>
      <w:r>
        <w:t>Figura 4.1 — Parâmetros antropométricos utilizados na modelação paramétrica de dedos protésicos.</w:t>
        <w:tab/>
      </w:r>
      <w:r>
        <w:t>42</w:t>
      </w:r>
    </w:p>
    <w:p>
      <w:pPr>
        <w:pStyle w:val="ndice1"/>
        <w:tabs>
          <w:tab w:val="right" w:leader="dot" w:pos="8204"/>
        </w:tabs>
      </w:pPr>
      <w:r>
        <w:t>Figura 4.2 — Comparação entre o escalonamento uniforme e a modelação paramétrica de dedo protésico.</w:t>
        <w:tab/>
      </w:r>
      <w:r>
        <w:t>44</w:t>
      </w:r>
    </w:p>
    <w:p>
      <w:pPr>
        <w:pStyle w:val="ndice1"/>
        <w:tabs>
          <w:tab w:val="right" w:leader="dot" w:pos="8204"/>
        </w:tabs>
      </w:pPr>
      <w:r>
        <w:t>Figura 4.3 — Relação entre modelo paramétrico digital, prototipagem e verificação de um dedo protésico.</w:t>
        <w:tab/>
      </w:r>
      <w:r>
        <w:t>54</w:t>
      </w:r>
    </w:p>
    <w:p>
      <w:pPr>
        <w:pStyle w:val="ndice1"/>
        <w:tabs>
          <w:tab w:val="right" w:leader="dot" w:pos="8204"/>
        </w:tabs>
      </w:pPr>
      <w:r>
        <w:t>Figura 5.1 — Fluxo geral de produção personalizada de próteses a partir de plataforma web – Hand Fab</w:t>
        <w:tab/>
      </w:r>
      <w:r>
        <w:t>63</w:t>
      </w:r>
    </w:p>
    <w:p>
      <w:pPr>
        <w:pStyle w:val="ndice1"/>
        <w:tabs>
          <w:tab w:val="right" w:leader="dot" w:pos="8204"/>
        </w:tabs>
      </w:pPr>
      <w:r>
        <w:t>Figura 5.2 — Arquitectura da plataforma e fronteiras entre navegador, servidor, serviço externo de IA e preparação do fabrico.</w:t>
        <w:tab/>
      </w:r>
      <w:r>
        <w:t>66</w:t>
      </w:r>
    </w:p>
    <w:p>
      <w:pPr>
        <w:pStyle w:val="ndice1"/>
        <w:tabs>
          <w:tab w:val="right" w:leader="dot" w:pos="8204"/>
        </w:tabs>
      </w:pPr>
      <w:r>
        <w:t>Figura 5.3 — Sequência de dados e decisões desde o perfil ou descrição até à sugestão, confirmação, geração determinística e exportação.</w:t>
        <w:tab/>
      </w:r>
      <w:r>
        <w:t>67</w:t>
      </w:r>
    </w:p>
    <w:p>
      <w:pPr>
        <w:pStyle w:val="ndice1"/>
        <w:tabs>
          <w:tab w:val="right" w:leader="dot" w:pos="8204"/>
        </w:tabs>
      </w:pPr>
      <w:r>
        <w:t>Figura 5.4 — Fluxo geral de produção personalizada de próteses a partir de digitalização, CAD adaptativo e fabrico aditivo.</w:t>
        <w:tab/>
      </w:r>
      <w:r>
        <w:t>68</w:t>
      </w:r>
    </w:p>
    <w:p>
      <w:pPr>
        <w:pStyle w:val="ndice1"/>
        <w:tabs>
          <w:tab w:val="right" w:leader="dot" w:pos="8204"/>
        </w:tabs>
      </w:pPr>
      <w:r>
        <w:t>Figura 5.5 — Ferramenta paramétrica para configuração de ajudas técnicas com variação de dimensões, materiais e peso.</w:t>
        <w:tab/>
      </w:r>
      <w:r>
        <w:t>72</w:t>
      </w:r>
    </w:p>
    <w:p>
      <w:pPr>
        <w:pStyle w:val="ndice1"/>
        <w:tabs>
          <w:tab w:val="right" w:leader="dot" w:pos="8204"/>
        </w:tabs>
      </w:pPr>
      <w:r>
        <w:t>Figura 6.1 — Relação entre desafios de explicabilidade e princípios de IA responsável.</w:t>
        <w:tab/>
      </w:r>
      <w:r>
        <w:t>83</w:t>
      </w:r>
    </w:p>
    <w:p>
      <w:pPr>
        <w:pStyle w:val="ndice1"/>
        <w:tabs>
          <w:tab w:val="right" w:leader="dot" w:pos="8204"/>
        </w:tabs>
      </w:pPr>
      <w:r>
        <w:t>Figura 7.1 — Exemplo publicado de teste de uma prótese impressa em 3D com um utilizador; esta actividade não integrou a avaliação da presente dissertação.</w:t>
        <w:tab/>
      </w:r>
      <w:r>
        <w:t>85</w:t>
      </w:r>
    </w:p>
    <w:p>
      <w:pPr>
        <w:pStyle w:val="ndice1"/>
        <w:tabs>
          <w:tab w:val="right" w:leader="dot" w:pos="8204"/>
        </w:tabs>
      </w:pPr>
      <w:r>
        <w:t>Figura 8.1 — Segmentos do Flexy Beast produzidos e assentes na plataforma da Bambu Lab A1.</w:t>
        <w:tab/>
      </w:r>
      <w:r>
        <w:t>93</w:t>
      </w:r>
    </w:p>
    <w:p>
      <w:pPr>
        <w:pStyle w:val="ndice1"/>
        <w:tabs>
          <w:tab w:val="right" w:leader="dot" w:pos="8204"/>
        </w:tabs>
      </w:pPr>
      <w:r>
        <w:t>Figura 8.2 — Série física de segmentos Flexy Beast identificados pelas idades simuladas de 8, 15, 28 e 70 anos. A imagem permite comparar escala e conclusão das peças, sem constituir medição dimensional ou ensaio mecânico.</w:t>
        <w:tab/>
      </w:r>
      <w:r>
        <w:t>93</w:t>
      </w:r>
    </w:p>
    <w:p>
      <w:pPr>
        <w:pStyle w:val="ndice1"/>
        <w:tabs>
          <w:tab w:val="right" w:leader="dot" w:pos="8204"/>
        </w:tabs>
      </w:pPr>
      <w:r>
        <w:t>Figura 8.3 — Série física de segmentos Paraglider Hand identificados pelas idades simuladas de 8, 15, 28 e 70 anos. A imagem documenta a transição para peças físicas e não demonstra ajuste anatómico.</w:t>
        <w:tab/>
      </w:r>
      <w:r>
        <w:t>93</w:t>
      </w:r>
    </w:p>
    <w:p>
      <w:pPr>
        <w:pStyle w:val="ndice1"/>
        <w:tabs>
          <w:tab w:val="right" w:leader="dot" w:pos="8204"/>
        </w:tabs>
      </w:pPr>
      <w:r>
        <w:t>Figura 8.4 — Tarefas funcionais usadas em avaliação de prótese personalizada de membro superior.</w:t>
        <w:tab/>
      </w:r>
      <w:r>
        <w:t>94</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34</w:t>
      </w:r>
    </w:p>
    <w:p>
      <w:pPr>
        <w:pStyle w:val="ndice2"/>
        <w:tabs>
          <w:tab w:val="right" w:leader="dot" w:pos="8204"/>
        </w:tabs>
      </w:pPr>
      <w:r>
        <w:t>3.1 Enquadramento metodológico e abordagem Research Through Design</w:t>
        <w:tab/>
      </w:r>
      <w:r>
        <w:t>34</w:t>
      </w:r>
    </w:p>
    <w:p>
      <w:pPr>
        <w:pStyle w:val="ndice2"/>
        <w:tabs>
          <w:tab w:val="right" w:leader="dot" w:pos="8204"/>
        </w:tabs>
      </w:pPr>
      <w:r>
        <w:t>3.2 O design industrial como prática investigativa</w:t>
        <w:tab/>
      </w:r>
      <w:r>
        <w:t>35</w:t>
      </w:r>
    </w:p>
    <w:p>
      <w:pPr>
        <w:pStyle w:val="ndice2"/>
        <w:tabs>
          <w:tab w:val="right" w:leader="dot" w:pos="8204"/>
        </w:tabs>
      </w:pPr>
      <w:r>
        <w:t>3.3 Estrutura metodológica do projecto</w:t>
        <w:tab/>
      </w:r>
      <w:r>
        <w:t>36</w:t>
      </w:r>
    </w:p>
    <w:p>
      <w:pPr>
        <w:pStyle w:val="ndice2"/>
        <w:tabs>
          <w:tab w:val="right" w:leader="dot" w:pos="8204"/>
        </w:tabs>
      </w:pPr>
      <w:r>
        <w:t>3.4 Métodos de recolha e análise de dados</w:t>
        <w:tab/>
      </w:r>
      <w:r>
        <w:t>37</w:t>
      </w:r>
    </w:p>
    <w:p>
      <w:pPr>
        <w:pStyle w:val="ndice2"/>
        <w:tabs>
          <w:tab w:val="right" w:leader="dot" w:pos="8204"/>
        </w:tabs>
      </w:pPr>
      <w:r>
        <w:t>3.5 Critérios de avaliação e limitações metodológicas</w:t>
        <w:tab/>
      </w:r>
      <w:r>
        <w:t>38</w:t>
      </w:r>
    </w:p>
    <w:p>
      <w:pPr>
        <w:pStyle w:val="ndice1"/>
        <w:tabs>
          <w:tab w:val="right" w:leader="dot" w:pos="8204"/>
        </w:tabs>
      </w:pPr>
      <w:r>
        <w:t>Capítulo 4 — Desenvolvimento do Modelo Paramétrico</w:t>
        <w:tab/>
      </w:r>
      <w:r>
        <w:t>40</w:t>
      </w:r>
    </w:p>
    <w:p>
      <w:pPr>
        <w:pStyle w:val="ndice2"/>
        <w:tabs>
          <w:tab w:val="right" w:leader="dot" w:pos="8204"/>
        </w:tabs>
      </w:pPr>
      <w:r>
        <w:t>4.1 Definição do problema de design e requisitos</w:t>
        <w:tab/>
      </w:r>
      <w:r>
        <w:t>40</w:t>
      </w:r>
    </w:p>
    <w:p>
      <w:pPr>
        <w:pStyle w:val="ndice2"/>
        <w:tabs>
          <w:tab w:val="right" w:leader="dot" w:pos="8204"/>
        </w:tabs>
      </w:pPr>
      <w:r>
        <w:t>4.2 Parâmetros antropométricos e estrutura do modelo</w:t>
        <w:tab/>
      </w:r>
      <w:r>
        <w:t>41</w:t>
      </w:r>
    </w:p>
    <w:p>
      <w:pPr>
        <w:pStyle w:val="ndice2"/>
        <w:tabs>
          <w:tab w:val="right" w:leader="dot" w:pos="8204"/>
        </w:tabs>
      </w:pPr>
      <w:r>
        <w:t>Conjuntos mínimos de parâmetros por nível de amputação</w:t>
        <w:tab/>
      </w:r>
      <w:r>
        <w:t>43</w:t>
      </w:r>
    </w:p>
    <w:p>
      <w:pPr>
        <w:pStyle w:val="ndice2"/>
        <w:tabs>
          <w:tab w:val="right" w:leader="dot" w:pos="8204"/>
        </w:tabs>
      </w:pPr>
      <w:r>
        <w:t>Limitações do redimensionamento proporcional</w:t>
        <w:tab/>
      </w:r>
      <w:r>
        <w:t>44</w:t>
      </w:r>
    </w:p>
    <w:p>
      <w:pPr>
        <w:pStyle w:val="ndice2"/>
        <w:tabs>
          <w:tab w:val="right" w:leader="dot" w:pos="8204"/>
        </w:tabs>
      </w:pPr>
      <w:r>
        <w:t>Métodos de recolha de dados antropométricos</w:t>
        <w:tab/>
      </w:r>
      <w:r>
        <w:t>44</w:t>
      </w:r>
    </w:p>
    <w:p>
      <w:pPr>
        <w:pStyle w:val="ndice2"/>
        <w:tabs>
          <w:tab w:val="right" w:leader="dot" w:pos="8204"/>
        </w:tabs>
      </w:pPr>
      <w:r>
        <w:t>Bases de dados antropométricas, extracção e normalização</w:t>
        <w:tab/>
      </w:r>
      <w:r>
        <w:t>45</w:t>
      </w:r>
    </w:p>
    <w:p>
      <w:pPr>
        <w:pStyle w:val="ndice2"/>
        <w:tabs>
          <w:tab w:val="right" w:leader="dot" w:pos="8204"/>
        </w:tabs>
      </w:pPr>
      <w:r>
        <w:t>Correspondência entre perfil populacional e parâmetros do modelo</w:t>
        <w:tab/>
      </w:r>
      <w:r>
        <w:t>49</w:t>
      </w:r>
    </w:p>
    <w:p>
      <w:pPr>
        <w:pStyle w:val="ndice2"/>
        <w:tabs>
          <w:tab w:val="right" w:leader="dot" w:pos="8204"/>
        </w:tabs>
      </w:pPr>
      <w:r>
        <w:t>Estrutura paramétrica e mapeamento de parâmetros</w:t>
        <w:tab/>
      </w:r>
      <w:r>
        <w:t>50</w:t>
      </w:r>
    </w:p>
    <w:p>
      <w:pPr>
        <w:pStyle w:val="ndice2"/>
        <w:tabs>
          <w:tab w:val="right" w:leader="dot" w:pos="8204"/>
        </w:tabs>
      </w:pPr>
      <w:r>
        <w:t>OpenSCAD: enquadramento e justificação da escolha</w:t>
        <w:tab/>
      </w:r>
      <w:r>
        <w:t>51</w:t>
      </w:r>
    </w:p>
    <w:p>
      <w:pPr>
        <w:pStyle w:val="ndice2"/>
        <w:tabs>
          <w:tab w:val="right" w:leader="dot" w:pos="8204"/>
        </w:tabs>
      </w:pPr>
      <w:r>
        <w:t>4.3 Modelação paramétrica em OpenSCAD</w:t>
        <w:tab/>
      </w:r>
      <w:r>
        <w:t>53</w:t>
      </w:r>
    </w:p>
    <w:p>
      <w:pPr>
        <w:pStyle w:val="ndice3"/>
        <w:tabs>
          <w:tab w:val="right" w:leader="dot" w:pos="8204"/>
        </w:tabs>
      </w:pPr>
      <w:r>
        <w:t>4.3.1 Estrutura técnica, parâmetros e restrições</w:t>
        <w:tab/>
      </w:r>
      <w:r>
        <w:t>54</w:t>
      </w:r>
    </w:p>
    <w:p>
      <w:pPr>
        <w:pStyle w:val="ndice3"/>
        <w:tabs>
          <w:tab w:val="right" w:leader="dot" w:pos="8204"/>
        </w:tabs>
      </w:pPr>
      <w:r>
        <w:t>4.3.2 Análise crítica da abordagem</w:t>
        <w:tab/>
      </w:r>
      <w:r>
        <w:t>55</w:t>
      </w:r>
    </w:p>
    <w:p>
      <w:pPr>
        <w:pStyle w:val="ndice3"/>
        <w:tabs>
          <w:tab w:val="right" w:leader="dot" w:pos="8204"/>
        </w:tabs>
      </w:pPr>
      <w:r>
        <w:t>4.3.3 Relações implementadas nos modelos avaliados</w:t>
        <w:tab/>
      </w:r>
      <w:r>
        <w:t>56</w:t>
      </w:r>
    </w:p>
    <w:p>
      <w:pPr>
        <w:pStyle w:val="ndice3"/>
        <w:tabs>
          <w:tab w:val="right" w:leader="dot" w:pos="8204"/>
        </w:tabs>
      </w:pPr>
      <w:r>
        <w:t>4.3.4 Dicionário operacional de parâmetros</w:t>
        <w:tab/>
      </w:r>
      <w:r>
        <w:t>58</w:t>
      </w:r>
    </w:p>
    <w:p>
      <w:pPr>
        <w:pStyle w:val="ndice3"/>
        <w:tabs>
          <w:tab w:val="right" w:leader="dot" w:pos="8204"/>
        </w:tabs>
      </w:pPr>
      <w:r>
        <w:t>4.3.5 Exemplo numérico completo: perfil infantil no Flexy Beast</w:t>
        <w:tab/>
      </w:r>
      <w:r>
        <w:t>59</w:t>
      </w:r>
    </w:p>
    <w:p>
      <w:pPr>
        <w:pStyle w:val="ndice2"/>
        <w:tabs>
          <w:tab w:val="right" w:leader="dot" w:pos="8204"/>
        </w:tabs>
      </w:pPr>
      <w:r>
        <w:t>4.4 Iterações, refinamento e discussão intermédia</w:t>
        <w:tab/>
      </w:r>
      <w:r>
        <w:t>60</w:t>
      </w:r>
    </w:p>
    <w:p>
      <w:pPr>
        <w:pStyle w:val="ndice1"/>
        <w:tabs>
          <w:tab w:val="right" w:leader="dot" w:pos="8204"/>
        </w:tabs>
      </w:pPr>
      <w:r>
        <w:t>Capítulo 5 — Plataforma Web e Integração Digital</w:t>
        <w:tab/>
      </w:r>
      <w:r>
        <w:t>63</w:t>
      </w:r>
    </w:p>
    <w:p>
      <w:pPr>
        <w:pStyle w:val="ndice2"/>
        <w:tabs>
          <w:tab w:val="right" w:leader="dot" w:pos="8204"/>
        </w:tabs>
      </w:pPr>
      <w:r>
        <w:t>5.1 Enquadramento conceptual e perfis de utilizador</w:t>
        <w:tab/>
      </w:r>
      <w:r>
        <w:t>63</w:t>
      </w:r>
    </w:p>
    <w:p>
      <w:pPr>
        <w:pStyle w:val="ndice2"/>
        <w:tabs>
          <w:tab w:val="right" w:leader="dot" w:pos="8204"/>
        </w:tabs>
      </w:pPr>
      <w:r>
        <w:t>5.2 Arquitectura geral do sistema</w:t>
        <w:tab/>
      </w:r>
      <w:r>
        <w:t>64</w:t>
      </w:r>
    </w:p>
    <w:p>
      <w:pPr>
        <w:pStyle w:val="ndice2"/>
        <w:tabs>
          <w:tab w:val="right" w:leader="dot" w:pos="8204"/>
        </w:tabs>
      </w:pPr>
      <w:r>
        <w:t>5.3 Integração OpenSCAD via WebAssembly (WASM)</w:t>
        <w:tab/>
      </w:r>
      <w:r>
        <w:t>69</w:t>
      </w:r>
    </w:p>
    <w:p>
      <w:pPr>
        <w:pStyle w:val="ndice2"/>
        <w:tabs>
          <w:tab w:val="right" w:leader="dot" w:pos="8204"/>
        </w:tabs>
      </w:pPr>
      <w:r>
        <w:t>5.4 Estrutura funcional da plataforma</w:t>
        <w:tab/>
      </w:r>
      <w:r>
        <w:t>71</w:t>
      </w:r>
    </w:p>
    <w:p>
      <w:pPr>
        <w:pStyle w:val="ndice2"/>
        <w:tabs>
          <w:tab w:val="right" w:leader="dot" w:pos="8204"/>
        </w:tabs>
      </w:pPr>
      <w:r>
        <w:t>5.5 Gestão de parâmetros, versões e expansão</w:t>
        <w:tab/>
      </w:r>
      <w:r>
        <w:t>76</w:t>
      </w:r>
    </w:p>
    <w:p>
      <w:pPr>
        <w:pStyle w:val="ndice1"/>
        <w:tabs>
          <w:tab w:val="right" w:leader="dot" w:pos="8204"/>
        </w:tabs>
      </w:pPr>
      <w:r>
        <w:t>Capítulo 6 — Integração da Inteligência Artificial</w:t>
        <w:tab/>
      </w:r>
      <w:r>
        <w:t>78</w:t>
      </w:r>
    </w:p>
    <w:p>
      <w:pPr>
        <w:pStyle w:val="ndice2"/>
        <w:tabs>
          <w:tab w:val="right" w:leader="dot" w:pos="8204"/>
        </w:tabs>
      </w:pPr>
      <w:r>
        <w:t>6.1 Papel da IA no sistema proposto</w:t>
        <w:tab/>
      </w:r>
      <w:r>
        <w:t>78</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81</w:t>
      </w:r>
    </w:p>
    <w:p>
      <w:pPr>
        <w:pStyle w:val="ndice2"/>
        <w:tabs>
          <w:tab w:val="right" w:leader="dot" w:pos="8204"/>
        </w:tabs>
      </w:pPr>
      <w:r>
        <w:t>6.4 Ajuste, verificação e limitações éticas e técnicas</w:t>
        <w:tab/>
      </w:r>
      <w:r>
        <w:t>82</w:t>
      </w:r>
    </w:p>
    <w:p>
      <w:pPr>
        <w:pStyle w:val="ndice1"/>
        <w:tabs>
          <w:tab w:val="right" w:leader="dot" w:pos="8204"/>
        </w:tabs>
      </w:pPr>
      <w:r>
        <w:t>Capítulo 7 — Princípios de Interface e Decisões de Interacção</w:t>
        <w:tab/>
      </w:r>
      <w:r>
        <w:t>84</w:t>
      </w:r>
    </w:p>
    <w:p>
      <w:pPr>
        <w:pStyle w:val="ndice2"/>
        <w:tabs>
          <w:tab w:val="right" w:leader="dot" w:pos="8204"/>
        </w:tabs>
      </w:pPr>
      <w:r>
        <w:t>7.1 Estratégia de interacção e decisões de UI/UX</w:t>
        <w:tab/>
      </w:r>
      <w:r>
        <w:t>84</w:t>
      </w:r>
    </w:p>
    <w:p>
      <w:pPr>
        <w:pStyle w:val="ndice2"/>
        <w:tabs>
          <w:tab w:val="right" w:leader="dot" w:pos="8204"/>
        </w:tabs>
      </w:pPr>
      <w:r>
        <w:t>7.2 Papéis previstos e distribuição de decisões</w:t>
        <w:tab/>
      </w:r>
      <w:r>
        <w:t>84</w:t>
      </w:r>
    </w:p>
    <w:p>
      <w:pPr>
        <w:pStyle w:val="ndice2"/>
        <w:tabs>
          <w:tab w:val="right" w:leader="dot" w:pos="8204"/>
        </w:tabs>
      </w:pPr>
      <w:r>
        <w:t>7.3 Mediação do processo de design e reflexão crítica</w:t>
        <w:tab/>
      </w:r>
      <w:r>
        <w:t>85</w:t>
      </w:r>
    </w:p>
    <w:p>
      <w:pPr>
        <w:pStyle w:val="ndice1"/>
        <w:tabs>
          <w:tab w:val="right" w:leader="dot" w:pos="8204"/>
        </w:tabs>
      </w:pPr>
      <w:r>
        <w:t>Capítulo 8 — Avaliação e Discussão</w:t>
        <w:tab/>
      </w:r>
      <w:r>
        <w:t>87</w:t>
      </w:r>
    </w:p>
    <w:p>
      <w:pPr>
        <w:pStyle w:val="ndice2"/>
        <w:tabs>
          <w:tab w:val="right" w:leader="dot" w:pos="8204"/>
        </w:tabs>
      </w:pPr>
      <w:r>
        <w:t>8.1 Estratégia e critérios de avaliação</w:t>
        <w:tab/>
      </w:r>
      <w:r>
        <w:t>87</w:t>
      </w:r>
    </w:p>
    <w:p>
      <w:pPr>
        <w:pStyle w:val="ndice3"/>
        <w:tabs>
          <w:tab w:val="right" w:leader="dot" w:pos="8204"/>
        </w:tabs>
      </w:pPr>
      <w:r>
        <w:t>8.1.1 Verificação técnica da plataforma</w:t>
        <w:tab/>
      </w:r>
      <w:r>
        <w:t>87</w:t>
      </w:r>
    </w:p>
    <w:p>
      <w:pPr>
        <w:pStyle w:val="ndice3"/>
        <w:tabs>
          <w:tab w:val="right" w:leader="dot" w:pos="8204"/>
        </w:tabs>
      </w:pPr>
      <w:r>
        <w:t>8.1.2 Avaliação complementar da previsibilidade, recuperação e acessibilidade</w:t>
        <w:tab/>
      </w:r>
      <w:r>
        <w:t>88</w:t>
      </w:r>
    </w:p>
    <w:p>
      <w:pPr>
        <w:pStyle w:val="ndice3"/>
        <w:tabs>
          <w:tab w:val="right" w:leader="dot" w:pos="8204"/>
        </w:tabs>
      </w:pPr>
      <w:r>
        <w:t>8.1.3 Preparação para impressão e protótipos físicos</w:t>
        <w:tab/>
      </w:r>
      <w:r>
        <w:t>89</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100</w:t>
      </w:r>
    </w:p>
    <w:p>
      <w:pPr>
        <w:pStyle w:val="ndice2"/>
        <w:tabs>
          <w:tab w:val="right" w:leader="dot" w:pos="8204"/>
        </w:tabs>
      </w:pPr>
      <w:r>
        <w:t>9.1 Resposta ao problema e às perguntas de investigação</w:t>
        <w:tab/>
      </w:r>
      <w:r>
        <w:t>100</w:t>
      </w:r>
    </w:p>
    <w:p>
      <w:pPr>
        <w:pStyle w:val="ndice2"/>
        <w:tabs>
          <w:tab w:val="right" w:leader="dot" w:pos="8204"/>
        </w:tabs>
      </w:pPr>
      <w:r>
        <w:t>9.2 Contributos da investigação</w:t>
        <w:tab/>
      </w:r>
      <w:r>
        <w:t>100</w:t>
      </w:r>
    </w:p>
    <w:p>
      <w:pPr>
        <w:pStyle w:val="ndice2"/>
        <w:tabs>
          <w:tab w:val="right" w:leader="dot" w:pos="8204"/>
        </w:tabs>
      </w:pPr>
      <w:r>
        <w:t>9.3 Limitações</w:t>
        <w:tab/>
      </w:r>
      <w:r>
        <w:t>101</w:t>
      </w:r>
    </w:p>
    <w:p>
      <w:pPr>
        <w:pStyle w:val="ndice2"/>
        <w:tabs>
          <w:tab w:val="right" w:leader="dot" w:pos="8204"/>
        </w:tabs>
      </w:pPr>
      <w:r>
        <w:t>9.4 Trabalho futuro</w:t>
        <w:tab/>
      </w:r>
      <w:r>
        <w:t>101</w:t>
      </w:r>
    </w:p>
    <w:p>
      <w:pPr>
        <w:pStyle w:val="ndice1"/>
        <w:tabs>
          <w:tab w:val="right" w:leader="dot" w:pos="8204"/>
        </w:tabs>
      </w:pPr>
      <w:r>
        <w:t>Referências Bibliográficas</w:t>
        <w:tab/>
      </w:r>
      <w:r>
        <w:t>103</w:t>
      </w:r>
    </w:p>
    <w:p>
      <w:pPr>
        <w:pStyle w:val="ndice1"/>
        <w:tabs>
          <w:tab w:val="right" w:leader="dot" w:pos="8204"/>
        </w:tabs>
      </w:pPr>
      <w:r>
        <w:t>Anexo A — Metodologia de extracção e codificação de dados antropométricos da mão</w:t>
        <w:tab/>
      </w:r>
      <w:r>
        <w:t>115</w:t>
      </w:r>
    </w:p>
    <w:p>
      <w:pPr>
        <w:pStyle w:val="ndice2"/>
        <w:tabs>
          <w:tab w:val="right" w:leader="dot" w:pos="8204"/>
        </w:tabs>
      </w:pPr>
      <w:r>
        <w:t>A.1 Contexto e Objectivo</w:t>
        <w:tab/>
      </w:r>
      <w:r>
        <w:t>115</w:t>
      </w:r>
    </w:p>
    <w:p>
      <w:pPr>
        <w:pStyle w:val="ndice3"/>
        <w:tabs>
          <w:tab w:val="right" w:leader="dot" w:pos="8204"/>
        </w:tabs>
      </w:pPr>
      <w:r>
        <w:t>A.1.1 Localização, versão e integridade dos ficheiros</w:t>
        <w:tab/>
      </w:r>
      <w:r>
        <w:t>115</w:t>
      </w:r>
    </w:p>
    <w:p>
      <w:pPr>
        <w:pStyle w:val="ndice2"/>
        <w:tabs>
          <w:tab w:val="right" w:leader="dot" w:pos="8204"/>
        </w:tabs>
      </w:pPr>
      <w:r>
        <w:t>A.2 Estratégia de Pesquisa Bibliográfica</w:t>
        <w:tab/>
      </w:r>
      <w:r>
        <w:t>115</w:t>
      </w:r>
    </w:p>
    <w:p>
      <w:pPr>
        <w:pStyle w:val="ndice3"/>
        <w:tabs>
          <w:tab w:val="right" w:leader="dot" w:pos="8204"/>
        </w:tabs>
      </w:pPr>
      <w:r>
        <w:t>A.2.1 Pesquisa bibliográfica orientada</w:t>
        <w:tab/>
      </w:r>
      <w:r>
        <w:t>116</w:t>
      </w:r>
    </w:p>
    <w:p>
      <w:pPr>
        <w:pStyle w:val="ndice3"/>
        <w:tabs>
          <w:tab w:val="right" w:leader="dot" w:pos="8204"/>
        </w:tabs>
      </w:pPr>
      <w:r>
        <w:t>A.2.2 Base ANSUR 1988</w:t>
        <w:tab/>
      </w:r>
      <w:r>
        <w:t>116</w:t>
      </w:r>
    </w:p>
    <w:p>
      <w:pPr>
        <w:pStyle w:val="ndice2"/>
        <w:tabs>
          <w:tab w:val="right" w:leader="dot" w:pos="8204"/>
        </w:tabs>
      </w:pPr>
      <w:r>
        <w:t>A.3 Critérios de Inclusão e Exclusão de Estudos</w:t>
        <w:tab/>
      </w:r>
      <w:r>
        <w:t>116</w:t>
      </w:r>
    </w:p>
    <w:p>
      <w:pPr>
        <w:pStyle w:val="ndice3"/>
        <w:tabs>
          <w:tab w:val="right" w:leader="dot" w:pos="8204"/>
        </w:tabs>
      </w:pPr>
      <w:r>
        <w:t>A.3.1 Critérios de inclusão</w:t>
        <w:tab/>
      </w:r>
      <w:r>
        <w:t>116</w:t>
      </w:r>
    </w:p>
    <w:p>
      <w:pPr>
        <w:pStyle w:val="ndice3"/>
        <w:tabs>
          <w:tab w:val="right" w:leader="dot" w:pos="8204"/>
        </w:tabs>
      </w:pPr>
      <w:r>
        <w:t>A.3.2 Critérios de exclusão</w:t>
        <w:tab/>
      </w:r>
      <w:r>
        <w:t>116</w:t>
      </w:r>
    </w:p>
    <w:p>
      <w:pPr>
        <w:pStyle w:val="ndice2"/>
        <w:tabs>
          <w:tab w:val="right" w:leader="dot" w:pos="8204"/>
        </w:tabs>
      </w:pPr>
      <w:r>
        <w:t>A.4 Processo de Extracção de Dados</w:t>
        <w:tab/>
      </w:r>
      <w:r>
        <w:t>117</w:t>
      </w:r>
    </w:p>
    <w:p>
      <w:pPr>
        <w:pStyle w:val="ndice3"/>
        <w:tabs>
          <w:tab w:val="right" w:leader="dot" w:pos="8204"/>
        </w:tabs>
      </w:pPr>
      <w:r>
        <w:t>A.4.1 Leitura dos PDFs e localização das tabelas</w:t>
        <w:tab/>
      </w:r>
      <w:r>
        <w:t>117</w:t>
      </w:r>
    </w:p>
    <w:p>
      <w:pPr>
        <w:pStyle w:val="ndice3"/>
        <w:tabs>
          <w:tab w:val="right" w:leader="dot" w:pos="8204"/>
        </w:tabs>
      </w:pPr>
      <w:r>
        <w:t>A.4.2 Identificação das unidades e conversão</w:t>
        <w:tab/>
      </w:r>
      <w:r>
        <w:t>117</w:t>
      </w:r>
    </w:p>
    <w:p>
      <w:pPr>
        <w:pStyle w:val="ndice3"/>
        <w:tabs>
          <w:tab w:val="right" w:leader="dot" w:pos="8204"/>
        </w:tabs>
      </w:pPr>
      <w:r>
        <w:t>A.4.3 Decomposição em linhas atómicas</w:t>
        <w:tab/>
      </w:r>
      <w:r>
        <w:t>117</w:t>
      </w:r>
    </w:p>
    <w:p>
      <w:pPr>
        <w:pStyle w:val="ndice3"/>
        <w:tabs>
          <w:tab w:val="right" w:leader="dot" w:pos="8204"/>
        </w:tabs>
      </w:pPr>
      <w:r>
        <w:t>A.4.4 Registo fiel do contexto da medição</w:t>
        <w:tab/>
      </w:r>
      <w:r>
        <w:t>117</w:t>
      </w:r>
    </w:p>
    <w:p>
      <w:pPr>
        <w:pStyle w:val="ndice2"/>
        <w:tabs>
          <w:tab w:val="right" w:leader="dot" w:pos="8204"/>
        </w:tabs>
      </w:pPr>
      <w:r>
        <w:t>A.5 Decisões por Estudo</w:t>
        <w:tab/>
      </w:r>
      <w:r>
        <w:t>118</w:t>
      </w:r>
    </w:p>
    <w:p>
      <w:pPr>
        <w:pStyle w:val="ndice3"/>
        <w:tabs>
          <w:tab w:val="right" w:leader="dot" w:pos="8204"/>
        </w:tabs>
      </w:pPr>
      <w:r>
        <w:t>A.5.1 ANSUR 1988 — EUA, militares (Gordon et al., 1989)</w:t>
        <w:tab/>
      </w:r>
      <w:r>
        <w:t>118</w:t>
      </w:r>
    </w:p>
    <w:p>
      <w:pPr>
        <w:pStyle w:val="ndice3"/>
        <w:tabs>
          <w:tab w:val="right" w:leader="dot" w:pos="8204"/>
        </w:tabs>
      </w:pPr>
      <w:r>
        <w:t>A.5.2 Turquia — jovens adultos (Chatzioglou et al., 2024)</w:t>
        <w:tab/>
      </w:r>
      <w:r>
        <w:t>118</w:t>
      </w:r>
    </w:p>
    <w:p>
      <w:pPr>
        <w:pStyle w:val="ndice3"/>
        <w:tabs>
          <w:tab w:val="right" w:leader="dot" w:pos="8204"/>
        </w:tabs>
      </w:pPr>
      <w:r>
        <w:t>A.5.3 México — população geral (Rodríguez-Vega &amp; Rodríguez-Vega, 2024)</w:t>
        <w:tab/>
      </w:r>
      <w:r>
        <w:t>118</w:t>
      </w:r>
    </w:p>
    <w:p>
      <w:pPr>
        <w:pStyle w:val="ndice3"/>
        <w:tabs>
          <w:tab w:val="right" w:leader="dot" w:pos="8204"/>
        </w:tabs>
      </w:pPr>
      <w:r>
        <w:t>A.5.4 Índia — mulheres trabalhadoras (Nag et al., 2003)</w:t>
        <w:tab/>
      </w:r>
      <w:r>
        <w:t>119</w:t>
      </w:r>
    </w:p>
    <w:p>
      <w:pPr>
        <w:pStyle w:val="ndice3"/>
        <w:tabs>
          <w:tab w:val="right" w:leader="dot" w:pos="8204"/>
        </w:tabs>
      </w:pPr>
      <w:r>
        <w:t>A.5.5 Portugal — trabalhadores industriais (Anacleto Filho et al., 2023)</w:t>
        <w:tab/>
      </w:r>
      <w:r>
        <w:t>119</w:t>
      </w:r>
    </w:p>
    <w:p>
      <w:pPr>
        <w:pStyle w:val="ndice3"/>
        <w:tabs>
          <w:tab w:val="right" w:leader="dot" w:pos="8204"/>
        </w:tabs>
      </w:pPr>
      <w:r>
        <w:t>A.5.6 Nigéria — atletas universitários (Ibiwari et al., 2025)</w:t>
        <w:tab/>
      </w:r>
      <w:r>
        <w:t>119</w:t>
      </w:r>
    </w:p>
    <w:p>
      <w:pPr>
        <w:pStyle w:val="ndice3"/>
        <w:tabs>
          <w:tab w:val="right" w:leader="dot" w:pos="8204"/>
        </w:tabs>
      </w:pPr>
      <w:r>
        <w:t>A.5.7 Jordânia — trabalhadores com deficiência (Mistarihi, 2020)</w:t>
        <w:tab/>
      </w:r>
      <w:r>
        <w:t>119</w:t>
      </w:r>
    </w:p>
    <w:p>
      <w:pPr>
        <w:pStyle w:val="ndice3"/>
        <w:tabs>
          <w:tab w:val="right" w:leader="dot" w:pos="8204"/>
        </w:tabs>
      </w:pPr>
      <w:r>
        <w:t>A.5.8 EUA — dedo indicador (Lim et al., 2018)</w:t>
        <w:tab/>
      </w:r>
      <w:r>
        <w:t>120</w:t>
      </w:r>
    </w:p>
    <w:p>
      <w:pPr>
        <w:pStyle w:val="ndice3"/>
        <w:tabs>
          <w:tab w:val="right" w:leader="dot" w:pos="8204"/>
        </w:tabs>
      </w:pPr>
      <w:r>
        <w:t>A.5.9 Estudo excluído: Moreo (2016)</w:t>
        <w:tab/>
      </w:r>
      <w:r>
        <w:t>120</w:t>
      </w:r>
    </w:p>
    <w:p>
      <w:pPr>
        <w:pStyle w:val="ndice3"/>
        <w:tabs>
          <w:tab w:val="right" w:leader="dot" w:pos="8204"/>
        </w:tabs>
      </w:pPr>
      <w:r>
        <w:t>A.5.10 EUA — militares ANSUR II (Gordon et al., 2015)</w:t>
        <w:tab/>
      </w:r>
      <w:r>
        <w:t>120</w:t>
      </w:r>
    </w:p>
    <w:p>
      <w:pPr>
        <w:pStyle w:val="ndice3"/>
        <w:tabs>
          <w:tab w:val="right" w:leader="dot" w:pos="8204"/>
        </w:tabs>
      </w:pPr>
      <w:r>
        <w:t>A.5.11 Países Baixos — DINED (TU Delft, 1993–2004)</w:t>
        <w:tab/>
      </w:r>
      <w:r>
        <w:t>120</w:t>
      </w:r>
    </w:p>
    <w:p>
      <w:pPr>
        <w:pStyle w:val="ndice3"/>
        <w:tabs>
          <w:tab w:val="right" w:leader="dot" w:pos="8204"/>
        </w:tabs>
      </w:pPr>
      <w:r>
        <w:t>A.5.12 China — idosos de Pequim (Hu et al., 2007)</w:t>
        <w:tab/>
      </w:r>
      <w:r>
        <w:t>121</w:t>
      </w:r>
    </w:p>
    <w:p>
      <w:pPr>
        <w:pStyle w:val="ndice3"/>
        <w:tabs>
          <w:tab w:val="right" w:leader="dot" w:pos="8204"/>
        </w:tabs>
      </w:pPr>
      <w:r>
        <w:t>A.5.13 Estudo excluído: reconstrução corporal 3D a partir de fotografias ortogonais</w:t>
        <w:tab/>
      </w:r>
      <w:r>
        <w:t>121</w:t>
      </w:r>
    </w:p>
    <w:p>
      <w:pPr>
        <w:pStyle w:val="ndice2"/>
        <w:tabs>
          <w:tab w:val="right" w:leader="dot" w:pos="8204"/>
        </w:tabs>
      </w:pPr>
      <w:r>
        <w:t>A.6 Estrutura do CSV e esquema de dados</w:t>
        <w:tab/>
      </w:r>
      <w:r>
        <w:t>121</w:t>
      </w:r>
    </w:p>
    <w:p>
      <w:pPr>
        <w:pStyle w:val="ndice3"/>
        <w:tabs>
          <w:tab w:val="right" w:leader="dot" w:pos="8204"/>
        </w:tabs>
      </w:pPr>
      <w:r>
        <w:t>A.6.1 Campos</w:t>
        <w:tab/>
      </w:r>
      <w:r>
        <w:t>122</w:t>
      </w:r>
    </w:p>
    <w:p>
      <w:pPr>
        <w:pStyle w:val="ndice3"/>
        <w:tabs>
          <w:tab w:val="right" w:leader="dot" w:pos="8204"/>
        </w:tabs>
      </w:pPr>
      <w:r>
        <w:t>A.6.2 Formato longo (long format)</w:t>
        <w:tab/>
      </w:r>
      <w:r>
        <w:t>123</w:t>
      </w:r>
    </w:p>
    <w:p>
      <w:pPr>
        <w:pStyle w:val="ndice2"/>
        <w:tabs>
          <w:tab w:val="right" w:leader="dot" w:pos="8204"/>
        </w:tabs>
      </w:pPr>
      <w:r>
        <w:t>A.7 Controlo de Qualidade dos Dados</w:t>
        <w:tab/>
      </w:r>
      <w:r>
        <w:t>123</w:t>
      </w:r>
    </w:p>
    <w:p>
      <w:pPr>
        <w:pStyle w:val="ndice3"/>
        <w:tabs>
          <w:tab w:val="right" w:leader="dot" w:pos="8204"/>
        </w:tabs>
      </w:pPr>
      <w:r>
        <w:t>A.7.1 Marcação inline de limitações</w:t>
        <w:tab/>
      </w:r>
      <w:r>
        <w:t>123</w:t>
      </w:r>
    </w:p>
    <w:p>
      <w:pPr>
        <w:pStyle w:val="ndice3"/>
        <w:tabs>
          <w:tab w:val="right" w:leader="dot" w:pos="8204"/>
        </w:tabs>
      </w:pPr>
      <w:r>
        <w:t>A.7.2 Verificação de unidades</w:t>
        <w:tab/>
      </w:r>
      <w:r>
        <w:t>123</w:t>
      </w:r>
    </w:p>
    <w:p>
      <w:pPr>
        <w:pStyle w:val="ndice3"/>
        <w:tabs>
          <w:tab w:val="right" w:leader="dot" w:pos="8204"/>
        </w:tabs>
      </w:pPr>
      <w:r>
        <w:t>A.7.3 Ligação à fonte</w:t>
        <w:tab/>
      </w:r>
      <w:r>
        <w:t>123</w:t>
      </w:r>
    </w:p>
    <w:p>
      <w:pPr>
        <w:pStyle w:val="ndice2"/>
        <w:tabs>
          <w:tab w:val="right" w:leader="dot" w:pos="8204"/>
        </w:tabs>
      </w:pPr>
      <w:r>
        <w:t>A.8 Escrita do Código de Geração</w:t>
        <w:tab/>
      </w:r>
      <w:r>
        <w:t>123</w:t>
      </w:r>
    </w:p>
    <w:p>
      <w:pPr>
        <w:pStyle w:val="ndice3"/>
        <w:tabs>
          <w:tab w:val="right" w:leader="dot" w:pos="8204"/>
        </w:tabs>
      </w:pPr>
      <w:r>
        <w:t>A.8.1 Correspondência entre os CSV e os parâmetros da plataforma</w:t>
        <w:tab/>
      </w:r>
      <w:r>
        <w:t>124</w:t>
      </w:r>
    </w:p>
    <w:p>
      <w:pPr>
        <w:pStyle w:val="ndice2"/>
        <w:tabs>
          <w:tab w:val="right" w:leader="dot" w:pos="8204"/>
        </w:tabs>
      </w:pPr>
      <w:r>
        <w:t>A.9 Resultado Final</w:t>
        <w:tab/>
      </w:r>
      <w:r>
        <w:t>124</w:t>
      </w:r>
    </w:p>
    <w:p>
      <w:pPr>
        <w:pStyle w:val="ndice2"/>
        <w:tabs>
          <w:tab w:val="right" w:leader="dot" w:pos="8204"/>
        </w:tabs>
      </w:pPr>
      <w:r>
        <w:t>A.10 Cobertura Global da Base de Dados e Lacunas</w:t>
        <w:tab/>
      </w:r>
      <w:r>
        <w:t>125</w:t>
      </w:r>
    </w:p>
    <w:p>
      <w:pPr>
        <w:pStyle w:val="ndice3"/>
        <w:tabs>
          <w:tab w:val="right" w:leader="dot" w:pos="8204"/>
        </w:tabs>
      </w:pPr>
      <w:r>
        <w:t>A.10.1 O que está coberto</w:t>
        <w:tab/>
      </w:r>
      <w:r>
        <w:t>125</w:t>
      </w:r>
    </w:p>
    <w:p>
      <w:pPr>
        <w:pStyle w:val="ndice4"/>
        <w:tabs>
          <w:tab w:val="right" w:leader="dot" w:pos="8204"/>
        </w:tabs>
      </w:pPr>
      <w:r>
        <w:t>A.10.1.1 Cobertura geográfica</w:t>
        <w:tab/>
      </w:r>
      <w:r>
        <w:t>125</w:t>
      </w:r>
    </w:p>
    <w:p>
      <w:pPr>
        <w:pStyle w:val="ndice4"/>
        <w:tabs>
          <w:tab w:val="right" w:leader="dot" w:pos="8204"/>
        </w:tabs>
      </w:pPr>
      <w:r>
        <w:t>A.10.1.2 Cobertura etária</w:t>
        <w:tab/>
      </w:r>
      <w:r>
        <w:t>126</w:t>
      </w:r>
    </w:p>
    <w:p>
      <w:pPr>
        <w:pStyle w:val="ndice4"/>
        <w:tabs>
          <w:tab w:val="right" w:leader="dot" w:pos="8204"/>
        </w:tabs>
      </w:pPr>
      <w:r>
        <w:t>A.10.1.3 Cobertura estatística</w:t>
        <w:tab/>
      </w:r>
      <w:r>
        <w:t>126</w:t>
      </w:r>
    </w:p>
    <w:p>
      <w:pPr>
        <w:pStyle w:val="ndice3"/>
        <w:tabs>
          <w:tab w:val="right" w:leader="dot" w:pos="8204"/>
        </w:tabs>
      </w:pPr>
      <w:r>
        <w:t>A.10.2 Onde a cobertura falha</w:t>
        <w:tab/>
      </w:r>
      <w:r>
        <w:t>127</w:t>
      </w:r>
    </w:p>
    <w:p>
      <w:pPr>
        <w:pStyle w:val="ndice4"/>
        <w:tabs>
          <w:tab w:val="right" w:leader="dot" w:pos="8204"/>
        </w:tabs>
      </w:pPr>
      <w:r>
        <w:t>A.10.2.1 Lacunas geográficas</w:t>
        <w:tab/>
      </w:r>
      <w:r>
        <w:t>127</w:t>
      </w:r>
    </w:p>
    <w:p>
      <w:pPr>
        <w:pStyle w:val="ndice4"/>
        <w:tabs>
          <w:tab w:val="right" w:leader="dot" w:pos="8204"/>
        </w:tabs>
      </w:pPr>
      <w:r>
        <w:t>A.10.2.2 Lacunas demográficas</w:t>
        <w:tab/>
      </w:r>
      <w:r>
        <w:t>127</w:t>
      </w:r>
    </w:p>
    <w:p>
      <w:pPr>
        <w:pStyle w:val="ndice4"/>
        <w:tabs>
          <w:tab w:val="right" w:leader="dot" w:pos="8204"/>
        </w:tabs>
      </w:pPr>
      <w:r>
        <w:t>A.10.2.3 Limitações qualitativas dos dados existentes</w:t>
        <w:tab/>
      </w:r>
      <w:r>
        <w:t>127</w:t>
      </w:r>
    </w:p>
    <w:p>
      <w:pPr>
        <w:pStyle w:val="ndice3"/>
        <w:tabs>
          <w:tab w:val="right" w:leader="dot" w:pos="8204"/>
        </w:tabs>
      </w:pPr>
      <w:r>
        <w:t>A.10.3 Frentes identificadas para expansão futura</w:t>
        <w:tab/>
      </w:r>
      <w:r>
        <w:t>128</w:t>
      </w:r>
    </w:p>
    <w:p>
      <w:pPr>
        <w:pStyle w:val="ndice4"/>
        <w:tabs>
          <w:tab w:val="right" w:leader="dot" w:pos="8204"/>
        </w:tabs>
      </w:pPr>
      <w:r>
        <w:t>A.10.3.1 Prioridade alta</w:t>
        <w:tab/>
      </w:r>
      <w:r>
        <w:t>128</w:t>
      </w:r>
    </w:p>
    <w:p>
      <w:pPr>
        <w:pStyle w:val="ndice4"/>
        <w:tabs>
          <w:tab w:val="right" w:leader="dot" w:pos="8204"/>
        </w:tabs>
      </w:pPr>
      <w:r>
        <w:t>A.10.3.2 Prioridade média</w:t>
        <w:tab/>
      </w:r>
      <w:r>
        <w:t>128</w:t>
      </w:r>
    </w:p>
    <w:p>
      <w:pPr>
        <w:pStyle w:val="ndice4"/>
        <w:tabs>
          <w:tab w:val="right" w:leader="dot" w:pos="8204"/>
        </w:tabs>
      </w:pPr>
      <w:r>
        <w:t>A.10.3.3 Pertinência directa para o tema da tese</w:t>
        <w:tab/>
      </w:r>
      <w:r>
        <w:t>128</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5579745" cy="3831424"/>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pic:nvPicPr>
                  <pic:blipFill>
                    <a:blip r:embed="rId22"/>
                    <a:stretch>
                      <a:fillRect/>
                    </a:stretch>
                  </pic:blipFill>
                  <pic:spPr>
                    <a:xfrm>
                      <a:off x="0" y="0"/>
                      <a:ext cx="5579745" cy="3831424"/>
                    </a:xfrm>
                    <a:prstGeom prst="rect">
                      <a:avLst/>
                    </a:prstGeom>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De que modo o design paramétrico e a inteligência artificial podem apoiar a configuração preliminar de modelos de mão protésica, mantendo explícitos os limites do sistema e o controlo humano?</w:t>
      </w:r>
    </w:p>
    <w:p>
      <w:pPr>
        <w:pStyle w:val="TextoNormal-IPCA"/>
      </w:pPr>
      <w:r>
        <w:t>2. Que métodos permitem avaliar a coerência entre referências antropométricas, parâmetros, geometria gerada, exportação e prototipagem física?</w:t>
      </w:r>
    </w:p>
    <w:p>
      <w:pPr>
        <w:pStyle w:val="TextoNormal-IPCA"/>
      </w:pPr>
      <w:r>
        <w:t>3. Que decisões de design industrial permitem articular, numa plataforma experimental, interface, regras determinísticas, sugestões de inteligência artificial e fabrico aditivo?</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interacção e a experiência de utilização.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pic:nvPicPr>
                  <pic:blipFill>
                    <a:blip r:embed="rId24"/>
                    <a:stretch>
                      <a:fillRect/>
                    </a:stretch>
                  </pic:blipFill>
                  <pic:spPr>
                    <a:xfrm>
                      <a:off x="0" y="0"/>
                      <a:ext cx="5579745" cy="3989517"/>
                    </a:xfrm>
                    <a:prstGeom prst="rect">
                      <a:avLst/>
                    </a:prstGeom>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775627"/>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pic:nvPicPr>
                  <pic:blipFill>
                    <a:blip r:embed="rId25"/>
                    <a:stretch>
                      <a:fillRect/>
                    </a:stretch>
                  </pic:blipFill>
                  <pic:spPr>
                    <a:xfrm>
                      <a:off x="0" y="0"/>
                      <a:ext cx="5579745" cy="3775627"/>
                    </a:xfrm>
                    <a:prstGeom prst="rect">
                      <a:avLst/>
                    </a:prstGeom>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2"/>
        <w:numPr>
          <w:ilvl w:val="1"/>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pic:nvPicPr>
                  <pic:blipFill>
                    <a:blip r:embed="rId30"/>
                    <a:stretch>
                      <a:fillRect/>
                    </a:stretch>
                  </pic:blipFill>
                  <pic:spPr>
                    <a:xfrm>
                      <a:off x="0" y="0"/>
                      <a:ext cx="5579745" cy="3970918"/>
                    </a:xfrm>
                    <a:prstGeom prst="rect">
                      <a:avLst/>
                    </a:prstGeom>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pic:nvPicPr>
                  <pic:blipFill>
                    <a:blip r:embed="rId31"/>
                    <a:stretch>
                      <a:fillRect/>
                    </a:stretch>
                  </pic:blipFill>
                  <pic:spPr>
                    <a:xfrm>
                      <a:off x="0" y="0"/>
                      <a:ext cx="5579745" cy="2129602"/>
                    </a:xfrm>
                    <a:prstGeom prst="rect">
                      <a:avLst/>
                    </a:prstGeom>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articulação entre dados antropométricos, design paramétrico, plataforma web e apoio de inteligência artificial permite estabelecer um fluxo técnico coerente para configurar, gerar, exportar e materializar variantes dos modelos seleccionados.</w:t>
      </w:r>
    </w:p>
    <w:p>
      <w:pPr>
        <w:pStyle w:val="TextoNormal-IPCA"/>
      </w:pPr>
      <w:r>
        <w:t>Três hipóteses secundárias orientam a avaliação: relações geométricas e limites explícitos oferecem maior controlo do que o escalonamento uniforme; sugestões de inteligência artificial limitadas pelo esquema do modelo podem fornecer pontos de partida úteis, desde que decisões críticas permaneçam sob regras e supervisão humana; e a passagem por malha, preparação para impressão e protótipo físico revela falhas que a análise isolada dos valores numéricos pode ocultar. Estas hipóteses dizem respeito ao protótipo e aos casos estudados. Adequação anatómica individual, usabilidade, conforto, aceitação, redução da dependência de especialistas e impacto em contextos com poucos recursos ficaram fora da avaliação.</w:t>
      </w:r>
    </w:p>
    <w:p>
      <w:pPr>
        <w:pStyle w:val="Cabealho2"/>
        <w:numPr>
          <w:ilvl w:val="1"/>
          <w:numId w:val="0"/>
        </w:numPr>
      </w:pPr>
      <w:r>
        <w:t>3.3 Estrutura metodológica do projecto</w:t>
      </w:r>
    </w:p>
    <w:p>
      <w:pPr>
        <w:pStyle w:val="TextoNormal-IPCA"/>
      </w:pPr>
      <w:r>
        <w:t>A metodologia organiza-se em três fases interligadas. A fase conceptual reúne a revisão crítica da literatura, a análise de soluções open source e a definição dos requisitos. A fase de desenvolvimento estrutura a base antropométrica, integra os modelos OpenSCAD e implementa a plataforma e o módulo de IA. A fase de avaliação usa cenários simulados, registos de execução, malhas exportadas, perfis de preparação para impressão e protótipos físicos. Os resultados de cada fase regressam ao desenvolvimento através dos ciclos apresentados na Tabela 3.1.</w:t>
      </w:r>
    </w:p>
    <w:p>
      <w:pPr>
        <w:pStyle w:val="Legenda"/>
      </w:pPr>
      <w:r>
        <w:t>Tabela 3.2 — Correspondência entre perguntas, actividades, evidência e limites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Pergunta de investigação</w:t>
            </w:r>
          </w:p>
        </w:tc>
        <w:tc>
          <w:tcPr>
            <w:tcW w:w="0" w:type="auto"/>
          </w:tcPr>
          <w:p>
            <w:pPr>
              <w:pStyle w:val="TextoNormal-IPCA"/>
              <w:jc w:val="center"/>
            </w:pPr>
            <w:r>
              <w:rPr>
                <w:b/>
              </w:rPr>
              <w:t>Actividades realizadas</w:t>
            </w:r>
          </w:p>
        </w:tc>
        <w:tc>
          <w:tcPr>
            <w:tcW w:w="0" w:type="auto"/>
          </w:tcPr>
          <w:p>
            <w:pPr>
              <w:pStyle w:val="TextoNormal-IPCA"/>
              <w:jc w:val="center"/>
            </w:pPr>
            <w:r>
              <w:rPr>
                <w:b/>
              </w:rPr>
              <w:t>Evidência produzida</w:t>
            </w:r>
          </w:p>
        </w:tc>
        <w:tc>
          <w:tcPr>
            <w:tcW w:w="0" w:type="auto"/>
          </w:tcPr>
          <w:p>
            <w:pPr>
              <w:pStyle w:val="TextoNormal-IPCA"/>
              <w:jc w:val="center"/>
            </w:pPr>
            <w:r>
              <w:rPr>
                <w:b/>
              </w:rPr>
              <w:t>Dimensões fora da avaliação</w:t>
            </w:r>
          </w:p>
        </w:tc>
      </w:tr>
      <w:tr>
        <w:tc>
          <w:tcPr>
            <w:tcW w:w="0" w:type="auto"/>
          </w:tcPr>
          <w:p>
            <w:pPr>
              <w:pStyle w:val="TextoNormal-IPCA"/>
              <w:jc w:val="left"/>
            </w:pPr>
            <w:r>
              <w:t>Apoio do design paramétrico e da IA à configuração preliminar</w:t>
            </w:r>
          </w:p>
        </w:tc>
        <w:tc>
          <w:tcPr>
            <w:tcW w:w="0" w:type="auto"/>
          </w:tcPr>
          <w:p>
            <w:pPr>
              <w:pStyle w:val="TextoNormal-IPCA"/>
              <w:jc w:val="left"/>
            </w:pPr>
            <w:r>
              <w:t>Definição de parâmetros, implementação da plataforma, cenários de IA, exportação e impressão</w:t>
            </w:r>
          </w:p>
        </w:tc>
        <w:tc>
          <w:tcPr>
            <w:tcW w:w="0" w:type="auto"/>
          </w:tcPr>
          <w:p>
            <w:pPr>
              <w:pStyle w:val="TextoNormal-IPCA"/>
              <w:jc w:val="left"/>
            </w:pPr>
            <w:r>
              <w:t>Regras documentadas, respostas JSON, malhas, correcções de escala e peças físicas</w:t>
            </w:r>
          </w:p>
        </w:tc>
        <w:tc>
          <w:tcPr>
            <w:tcW w:w="0" w:type="auto"/>
          </w:tcPr>
          <w:p>
            <w:pPr>
              <w:pStyle w:val="TextoNormal-IPCA"/>
              <w:jc w:val="left"/>
            </w:pPr>
            <w:r>
              <w:t>Ajuste individual, conforto e desempenho funcional em uso</w:t>
            </w:r>
          </w:p>
        </w:tc>
      </w:tr>
      <w:tr>
        <w:tc>
          <w:tcPr>
            <w:tcW w:w="0" w:type="auto"/>
          </w:tcPr>
          <w:p>
            <w:pPr>
              <w:pStyle w:val="TextoNormal-IPCA"/>
              <w:jc w:val="left"/>
            </w:pPr>
            <w:r>
              <w:t>Métodos para avaliar a coerência entre dados, parâmetros, geometria e protótipos</w:t>
            </w:r>
          </w:p>
        </w:tc>
        <w:tc>
          <w:tcPr>
            <w:tcW w:w="0" w:type="auto"/>
          </w:tcPr>
          <w:p>
            <w:pPr>
              <w:pStyle w:val="TextoNormal-IPCA"/>
              <w:jc w:val="left"/>
            </w:pPr>
            <w:r>
              <w:t>RTD, ensaios unitários do mecanismo de correspondência, cenários de ponta a ponta, inspecção geométrica e preparação para impressão</w:t>
            </w:r>
          </w:p>
        </w:tc>
        <w:tc>
          <w:tcPr>
            <w:tcW w:w="0" w:type="auto"/>
          </w:tcPr>
          <w:p>
            <w:pPr>
              <w:pStyle w:val="TextoNormal-IPCA"/>
              <w:jc w:val="left"/>
            </w:pPr>
            <w:r>
              <w:t>Registo de versões, 10 testes unitários aprovados na versão 14.67.0, relatórios de ensaio e três projectos de preparação</w:t>
            </w:r>
          </w:p>
        </w:tc>
        <w:tc>
          <w:tcPr>
            <w:tcW w:w="0" w:type="auto"/>
          </w:tcPr>
          <w:p>
            <w:pPr>
              <w:pStyle w:val="TextoNormal-IPCA"/>
              <w:jc w:val="left"/>
            </w:pPr>
            <w:r>
              <w:t>Ensaios mecânicos normalizados, séries controladas e avaliação clínica</w:t>
            </w:r>
          </w:p>
        </w:tc>
      </w:tr>
      <w:tr>
        <w:tc>
          <w:tcPr>
            <w:tcW w:w="0" w:type="auto"/>
          </w:tcPr>
          <w:p>
            <w:pPr>
              <w:pStyle w:val="TextoNormal-IPCA"/>
              <w:jc w:val="left"/>
            </w:pPr>
            <w:r>
              <w:t>Decisões de design industrial para articular os componentes do sistema</w:t>
            </w:r>
          </w:p>
        </w:tc>
        <w:tc>
          <w:tcPr>
            <w:tcW w:w="0" w:type="auto"/>
          </w:tcPr>
          <w:p>
            <w:pPr>
              <w:pStyle w:val="TextoNormal-IPCA"/>
              <w:jc w:val="left"/>
            </w:pPr>
            <w:r>
              <w:t>Revisão da literatura, selecção de parâmetros, separação de permissões, visualização e opções de cor</w:t>
            </w:r>
          </w:p>
        </w:tc>
        <w:tc>
          <w:tcPr>
            <w:tcW w:w="0" w:type="auto"/>
          </w:tcPr>
          <w:p>
            <w:pPr>
              <w:pStyle w:val="TextoNormal-IPCA"/>
              <w:jc w:val="left"/>
            </w:pPr>
            <w:r>
              <w:t>Decisões de arquitectura, grupos de parâmetros e exportação 3MF com materiais</w:t>
            </w:r>
          </w:p>
        </w:tc>
        <w:tc>
          <w:tcPr>
            <w:tcW w:w="0" w:type="auto"/>
          </w:tcPr>
          <w:p>
            <w:pPr>
              <w:pStyle w:val="TextoNormal-IPCA"/>
              <w:jc w:val="left"/>
            </w:pPr>
            <w:r>
              <w:t>Avaliação situada da interface e dos significados estéticos com os grupos previstos</w:t>
            </w:r>
          </w:p>
        </w:tc>
      </w:tr>
    </w:tbl>
    <w:p>
      <w:pPr>
        <w:pStyle w:val="TextoNormal-IPCA"/>
      </w:pPr>
      <w:r>
        <w:t xml:space="preserve">A plataforma encontrava-se na versão 14.67.0 da branch </w:t>
      </w:r>
      <w:r>
        <w:t>staging</w:t>
      </w:r>
      <w:r>
        <w:t xml:space="preserve"> no fecho desta revisão. Os ensaios antropométricos e geométricos principais foram realizados e documentados nas versões 14.16.0 a 14.20.0; as alterações posteriores são identificadas quando afectam a interpretação dos resultados. Esta distinção evita apresentar o estado actual do código como se correspondesse exactamente ao estado de todas as execuções arquivadas.</w:t>
      </w:r>
    </w:p>
    <w:p>
      <w:pPr>
        <w:pStyle w:val="Cabealho2"/>
        <w:numPr>
          <w:ilvl w:val="1"/>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w:t>
      </w:r>
      <w:r>
        <w:t>models/models-config.json</w:t>
      </w:r>
      <w:r>
        <w:t>; respostas JSON e metadados de execução; dimensões das malhas exportadas; relatórios técnicos por modelo; ficheiros 3MF; três projectos com parâmetros de preparação; fotografias dos protótipos; e registos de alterações do código.</w:t>
      </w:r>
    </w:p>
    <w:p>
      <w:pPr>
        <w:pStyle w:val="TextoNormal-IPCA"/>
      </w:pPr>
      <w:r>
        <w:t>Os modelos foram preparados no PrusaSlicer e no Bambu Studio. O fatiamento converte a geometria numa sequência de camadas e trajectórias de deposição, definindo altura de camada, paredes, enchimento, suportes, temperaturas e orientação. Foram arquivados três projectos Bambu Lab A1, gerados no Bambu Studio 1.10.02.76: um projecto PLA para o Flexy Beast e dois projectos, respectivamente em PLA e PETG, para a UnLimbited Phoenix. Foi ainda preservado um projecto Prusa MINI para o Paraglider Hand, gerado no PrusaSlicer 2.8.1. Os projectos Bambu registam camada de 0,24 mm, duas paredes, 15% de enchimento em grelha, suporte em árvore automático e aba de 5 mm. No projecto PETG, as oito peças da UnLimbited Phoenix estão atribuídas ao perfil Bambu PETG Basic, com temperaturas nominais de 255 °C no bico e 70 °C na mesa. O projecto Prusa regista camada de 0,20 mm, duas paredes, 15% de enchimento em grelha, PLA, bico de 0,4 mm, mesa a 60 °C e suporte desactivado. Os parâmetros comparáveis foram mantidos nas restantes impressões, segundo os registos disponíveis, embora não exista um ficheiro de configuração individual para cada peça produzida. A distribuição dos modelos pelos dois programas, materiais e equipamentos decorreu da disponibilidade dos projectos de preparação e das condições operacionais de cada impressão. Não foi desenhado um ensaio comparativo: a mesma geometria não foi produzida em condições equivalentes nos diferentes sistemas e materiais, pelo que estes registos não permitem inferir superioridade ou equivalência entre programas, impressoras, PLA e PETG.</w:t>
      </w:r>
    </w:p>
    <w:p>
      <w:pPr>
        <w:pStyle w:val="TextoNormal-IPCA"/>
      </w:pPr>
      <w:r>
        <w:t>A materialização recorreu a uma Bambu Lab A1 com sistema AMS e a uma Prusa MINI, ambas baseadas em fabrico por filamento fundido. Os ficheiros disponíveis permitem verificar a preparação, a disposição das peças, o material atribuído no projecto e a ausência de erros de malha registados pelo programa. As fotografias permitem confirmar a existência das peças e comparar visualmente as séries etárias. Sem medições físicas sistemáticas, ensaios de carga ou registos completos por peça, esta evidência sustenta imprimibilidade e inspecção preliminar; não sustenta resistência, conforto, segurança ou durabilidade.</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Normal"/>
        <w:jc w:val="center"/>
      </w:pPr>
      <w:r>
        <w:drawing>
          <wp:inline distT="0" distB="0" distL="0" distR="0">
            <wp:extent cx="5579745" cy="1859915"/>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pic:nvPicPr>
                  <pic:blipFill>
                    <a:blip r:embed="rId32"/>
                    <a:stretch>
                      <a:fillRect/>
                    </a:stretch>
                  </pic:blipFill>
                  <pic:spPr>
                    <a:xfrm>
                      <a:off x="0" y="0"/>
                      <a:ext cx="5579745" cy="1859915"/>
                    </a:xfrm>
                    <a:prstGeom prst="rect">
                      <a:avLst/>
                    </a:prstGeom>
                  </pic:spPr>
                </pic:pic>
              </a:graphicData>
            </a:graphic>
          </wp:inline>
        </w:drawing>
      </w:r>
    </w:p>
    <w:p>
      <w:pPr>
        <w:pStyle w:val="Legenda"/>
      </w:pPr>
      <w:r>
        <w:t>Figura 3.2 — Exemplo de recolha dimensional para ajuste de prótese impressa em 3D.</w:t>
      </w:r>
    </w:p>
    <w:p>
      <w:pPr>
        <w:pStyle w:val="Nota-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2"/>
        <w:numPr>
          <w:ilvl w:val="1"/>
          <w:numId w:val="0"/>
        </w:numPr>
      </w:pPr>
      <w:r>
        <w:t>3.5 Critérios de avaliação e limitações metodológicas</w:t>
      </w:r>
    </w:p>
    <w:p>
      <w:pPr>
        <w:pStyle w:val="TextoNormal-IPCA"/>
      </w:pPr>
      <w:r>
        <w:t>A avaliação usa seis critérios: conformidade da saída com o esquema; respeito pelos intervalos declarados; preservação das relações dimensionais definidas; aplicação dos valores na geometria; conclusão dos fluxos principais da plataforma; e preparação das peças para impressão. Cada critério tem uma evidência observável: resposta JSON, comparação numérica, malha exportada, estado da interface, ficheiro de projecto ou peça física. «Verificação»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Como complemento à avaliação inicial, foram executadas, em 13 e 14 de Julho de 2026, campanhas automatizadas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sintéticos, para não alterar os dados de desenvolvimento ou da plataforma pública. A versão pública, disponível em https://handfab.pedrocandeias.net/, foi examinada apenas na superfície não autenticada. O protocolo, os casos, os resultados completos e os registos que permitem reconstruir as execuções são apresentados no Anexo B. Estes ensaios avaliam o comportamento técnico do protótipo; não constituem avaliação de usabilidade com participantes nem certificação de acessibilidade.</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ensaios biomecânicos, protocolos normalizados de resistência,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Neste contexto, a definição de requisitos não constitui apenas uma etapa técnica de especificação, mas um processo de tradução entre problemas de uso, limitações clínicas, possibilidades tecnológicas e condições concretas de adopção. Assim, os requisitos considerados no projecto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TextoNormal-IPCA"/>
      </w:pPr>
      <w:r>
        <w:t>A partir desta leitura, os requisitos de projecto podem ser organizados em categorias interdependentes. Os requisitos funcionais incluem padrões de preensão, graus de liberdade, amplitude de movimento, força, velocidade e capacidade de realizar actividades da vida diária.</w:t>
      </w:r>
    </w:p>
    <w:p>
      <w:pPr>
        <w:pStyle w:val="TextoNormal-IPCA"/>
      </w:pPr>
      <w:r>
        <w:t>Os requisitos ergonómicos assumem particular centralidade, destacando-se o conforto, o baixo peso, a usabilidade, a facilidade de colocação e remoção da prótese e a adequação ao uso quotidiano prolongado. Ao nível técnico, definem-se parâmetros relativos a actuadores, sistemas de transmissão, sensores, estratégias de controlo, fontes de energia e selecção de materiais com propriedades mecânicas adequadas e compatibilidade biológica.</w:t>
      </w:r>
    </w:p>
    <w:p>
      <w:pPr>
        <w:pStyle w:val="TextoNormal-IPCA"/>
      </w:pPr>
      <w:r>
        <w:t>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Brack &amp; Amalu, 2021; Henao et al., 2025; Walker et al., 2019).</w:t>
      </w:r>
    </w:p>
    <w:p>
      <w:pPr>
        <w:pStyle w:val="TextoNormal-IPCA"/>
      </w:pPr>
      <w:r>
        <w:t>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binário necessário nas articulações, número de graus de liberdade, autonomia energética ou tolerâncias dimensionais. As prioridades dos utilizadores nem sempre coincidem com os indicadores privilegiados pela engenharia, o que exige uma correspondência explícita entre necessidade, critério de avaliação e decisão de projecto (Cordella et al., 2016; Hofmann et al., 2016; Jones et al., 2023).</w:t>
      </w:r>
    </w:p>
    <w:p>
      <w:pPr>
        <w:pStyle w:val="TextoNormal-IPCA"/>
      </w:pPr>
      <w:r>
        <w:t>No sistema paramétrico desenvolvido, esta relação foi operacionalizada apenas nas dimensões cobertas pelo protótipo: variáveis geométricas, restrições construtivas e limites de fabrico. Conforto, segurança e desempenho funcional permaneceram como requisitos provenientes da literatura e não foram convertidos em critérios empiricamente avaliados. Esta distinção evita apresentar a coerência geométrica como demonstração de adequação funcional.</w:t>
      </w:r>
    </w:p>
    <w:p>
      <w:pPr>
        <w:pStyle w:val="TextoNormal-IPCA"/>
      </w:pPr>
      <w:r>
        <w:t>As abordagens clássicas da engenharia de produto estruturam o desenvolvimento através da definição de funções, requisitos técnicos, alternativas e critérios de avaliação. Os modelos centrados no utilizador e as metodologias participativas acrescentam ciclos de prototipagem e avaliação com utilizadores, clínicos e familiares, reconhecendo que a definição do problema depende do desempenho mecânico e da experiência concreta de uso (Henao et al., 2025; Peerdeman et al., 2011; Walker et al., 2019). No domínio digital, a modelação paramétrica, a digitalização 3D e a simulação permitem incorporar alguns requisitos em modelos computacionais antes da produção física; cada requisito continua a exigir um critério de verificação próprio.</w:t>
      </w:r>
    </w:p>
    <w:p>
      <w:pPr>
        <w:pStyle w:val="TextoNormal-IPCA"/>
      </w:pPr>
      <w: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TextoNormal-IPCA"/>
      </w:pPr>
      <w: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TextoNormal-IPCA"/>
      </w:pPr>
      <w:r>
        <w:t>A explicitação destes limites desde as fases conceptuais permite enquadrar o processo como um exercício de optimização sujeito a múltiplas restrições, estruturando as decisões projectuais de forma clara, verificável e passível de análise crítica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pic:nvPicPr>
                  <pic:blipFill>
                    <a:blip r:embed="rId33"/>
                    <a:stretch>
                      <a:fillRect/>
                    </a:stretch>
                  </pic:blipFill>
                  <pic:spPr>
                    <a:xfrm>
                      <a:off x="0" y="0"/>
                      <a:ext cx="4667250" cy="3467100"/>
                    </a:xfrm>
                    <a:prstGeom prst="rect">
                      <a:avLst/>
                    </a:prstGeom>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 xml:space="preserve">A definição de parâmetros pode apoiar-se em bases de dados antropométricas de referência e em normas de medição corporal, que ajudam a estabilizar a nomenclatura, os pontos anatómicos e os intervalos esperados de variação. No presente projecto, esse apoio foi operacionalizado através da consolidação local de dados provenientes de estudos populacionais e de bases de referência. O conjunto </w:t>
      </w:r>
      <w:r>
        <w:t>data/multi_population_hand.csv</w:t>
      </w:r>
      <w:r>
        <w:t xml:space="preserve"> contém 1.790 linhas em formato longo; cada linha representa uma estatística associada a uma medida e a um grupo, e não uma pessoa. O ficheiro cobre nove países — China, Estados Unidos da América, Índia, Jordânia, México, Nigéria, Países Baixos, Portugal e Turquia — e combina dados de estudos publicados, relatórios técnicos e subconjuntos DINED disponibilizados pela TU Delft.</w:t>
      </w:r>
    </w:p>
    <w:p>
      <w:pPr>
        <w:pStyle w:val="TextoNormal-IPCA"/>
      </w:pPr>
      <w:r>
        <w:t>Esta consolidação não cria uma nova norma antropométrica nem substitui a medição individual. A base funciona como infra-estrutura intermédia para três decisões de projecto: definir intervalos de referência para os parâmetros expostos; identificar dimensões recorrentes que possam servir como entradas mínimas; e testar a coerência geométrica de configurações derivadas de perfis populacionais. Os dados populacionais descrevem tendências e dispersões. O ajuste final ao corpo continua a exigir medições directas ou digitalização específica.</w:t>
      </w:r>
    </w:p>
    <w:p>
      <w:pPr>
        <w:pStyle w:val="TextoNormal-IPCA"/>
      </w:pPr>
      <w:r>
        <w:t>A selecção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Foram excluídos estudos que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directamente (Moreo, 2016).</w:t>
      </w:r>
    </w:p>
    <w:p>
      <w:pPr>
        <w:pStyle w:val="Legenda"/>
      </w:pPr>
      <w:r>
        <w:t>Tabela 4.4 — Fontes integradas na base local de dados antropométricos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Fonte</w:t>
            </w:r>
          </w:p>
        </w:tc>
        <w:tc>
          <w:tcPr>
            <w:tcW w:w="0" w:type="auto"/>
          </w:tcPr>
          <w:p>
            <w:pPr>
              <w:pStyle w:val="TextoNormal-IPCA"/>
              <w:jc w:val="center"/>
            </w:pPr>
            <w:r>
              <w:rPr>
                <w:b/>
              </w:rPr>
              <w:t>População e cobertura</w:t>
            </w:r>
          </w:p>
        </w:tc>
        <w:tc>
          <w:tcPr>
            <w:tcW w:w="0" w:type="auto"/>
          </w:tcPr>
          <w:p>
            <w:pPr>
              <w:pStyle w:val="TextoNormal-IPCA"/>
              <w:jc w:val="center"/>
            </w:pPr>
            <w:r>
              <w:rPr>
                <w:b/>
              </w:rPr>
              <w:t>Dados extraídos</w:t>
            </w:r>
          </w:p>
        </w:tc>
        <w:tc>
          <w:tcPr>
            <w:tcW w:w="0" w:type="auto"/>
          </w:tcPr>
          <w:p>
            <w:pPr>
              <w:pStyle w:val="TextoNormal-IPCA"/>
              <w:jc w:val="center"/>
            </w:pPr>
            <w:r>
              <w:rPr>
                <w:b/>
              </w:rPr>
              <w:t>Registos</w:t>
            </w:r>
          </w:p>
        </w:tc>
      </w:tr>
      <w:tr>
        <w:tc>
          <w:tcPr>
            <w:tcW w:w="0" w:type="auto"/>
          </w:tcPr>
          <w:p>
            <w:pPr>
              <w:pStyle w:val="TextoNormal-IPCA"/>
              <w:jc w:val="left"/>
            </w:pPr>
            <w:r>
              <w:t>DINED kima1993, TU Delft</w:t>
            </w:r>
          </w:p>
        </w:tc>
        <w:tc>
          <w:tcPr>
            <w:tcW w:w="0" w:type="auto"/>
          </w:tcPr>
          <w:p>
            <w:pPr>
              <w:pStyle w:val="TextoNormal-IPCA"/>
              <w:jc w:val="left"/>
            </w:pPr>
            <w:r>
              <w:t>Crianças neerlandesas, 2–12 anos</w:t>
            </w:r>
          </w:p>
        </w:tc>
        <w:tc>
          <w:tcPr>
            <w:tcW w:w="0" w:type="auto"/>
          </w:tcPr>
          <w:p>
            <w:pPr>
              <w:pStyle w:val="TextoNormal-IPCA"/>
              <w:jc w:val="left"/>
            </w:pPr>
            <w:r>
              <w:t>Médias e desvios-padrão de medições da mão por idade e sexo</w:t>
            </w:r>
          </w:p>
        </w:tc>
        <w:tc>
          <w:tcPr>
            <w:tcW w:w="0" w:type="auto"/>
          </w:tcPr>
          <w:p>
            <w:pPr>
              <w:pStyle w:val="TextoNormal-IPCA"/>
              <w:jc w:val="left"/>
            </w:pPr>
            <w:r>
              <w:t>528</w:t>
            </w:r>
          </w:p>
        </w:tc>
      </w:tr>
      <w:tr>
        <w:tc>
          <w:tcPr>
            <w:tcW w:w="0" w:type="auto"/>
          </w:tcPr>
          <w:p>
            <w:pPr>
              <w:pStyle w:val="TextoNormal-IPCA"/>
              <w:jc w:val="left"/>
            </w:pPr>
            <w:r>
              <w:t>DINED geron1998, TU Delft</w:t>
            </w:r>
          </w:p>
        </w:tc>
        <w:tc>
          <w:tcPr>
            <w:tcW w:w="0" w:type="auto"/>
          </w:tcPr>
          <w:p>
            <w:pPr>
              <w:pStyle w:val="TextoNormal-IPCA"/>
              <w:jc w:val="left"/>
            </w:pPr>
            <w:r>
              <w:t>Idosos neerlandeses, 50–80+ anos</w:t>
            </w:r>
          </w:p>
        </w:tc>
        <w:tc>
          <w:tcPr>
            <w:tcW w:w="0" w:type="auto"/>
          </w:tcPr>
          <w:p>
            <w:pPr>
              <w:pStyle w:val="TextoNormal-IPCA"/>
              <w:jc w:val="left"/>
            </w:pPr>
            <w:r>
              <w:t>Médias e desvios-padrão de medições da mão por grupos etários</w:t>
            </w:r>
          </w:p>
        </w:tc>
        <w:tc>
          <w:tcPr>
            <w:tcW w:w="0" w:type="auto"/>
          </w:tcPr>
          <w:p>
            <w:pPr>
              <w:pStyle w:val="TextoNormal-IPCA"/>
              <w:jc w:val="left"/>
            </w:pPr>
            <w:r>
              <w:t>210</w:t>
            </w:r>
          </w:p>
        </w:tc>
      </w:tr>
      <w:tr>
        <w:tc>
          <w:tcPr>
            <w:tcW w:w="0" w:type="auto"/>
          </w:tcPr>
          <w:p>
            <w:pPr>
              <w:pStyle w:val="TextoNormal-IPCA"/>
              <w:jc w:val="left"/>
            </w:pPr>
            <w:r>
              <w:t>DINED dined2004, TU Delft</w:t>
            </w:r>
          </w:p>
        </w:tc>
        <w:tc>
          <w:tcPr>
            <w:tcW w:w="0" w:type="auto"/>
          </w:tcPr>
          <w:p>
            <w:pPr>
              <w:pStyle w:val="TextoNormal-IPCA"/>
              <w:jc w:val="left"/>
            </w:pPr>
            <w:r>
              <w:t>Adultos neerlandeses, 20–60+ anos</w:t>
            </w:r>
          </w:p>
        </w:tc>
        <w:tc>
          <w:tcPr>
            <w:tcW w:w="0" w:type="auto"/>
          </w:tcPr>
          <w:p>
            <w:pPr>
              <w:pStyle w:val="TextoNormal-IPCA"/>
              <w:jc w:val="left"/>
            </w:pPr>
            <w:r>
              <w:t>Médias e desvios-padrão de medições da mão por sexo e idade</w:t>
            </w:r>
          </w:p>
        </w:tc>
        <w:tc>
          <w:tcPr>
            <w:tcW w:w="0" w:type="auto"/>
          </w:tcPr>
          <w:p>
            <w:pPr>
              <w:pStyle w:val="TextoNormal-IPCA"/>
              <w:jc w:val="left"/>
            </w:pPr>
            <w:r>
              <w:t>114</w:t>
            </w:r>
          </w:p>
        </w:tc>
      </w:tr>
      <w:tr>
        <w:tc>
          <w:tcPr>
            <w:tcW w:w="0" w:type="auto"/>
          </w:tcPr>
          <w:p>
            <w:pPr>
              <w:pStyle w:val="TextoNormal-IPCA"/>
              <w:jc w:val="left"/>
            </w:pPr>
            <w:r>
              <w:t>Rodríguez-Vega e Rodríguez-Vega (2024)</w:t>
            </w:r>
          </w:p>
        </w:tc>
        <w:tc>
          <w:tcPr>
            <w:tcW w:w="0" w:type="auto"/>
          </w:tcPr>
          <w:p>
            <w:pPr>
              <w:pStyle w:val="TextoNormal-IPCA"/>
              <w:jc w:val="left"/>
            </w:pPr>
            <w:r>
              <w:t>População mexicana, 15–59 anos</w:t>
            </w:r>
          </w:p>
        </w:tc>
        <w:tc>
          <w:tcPr>
            <w:tcW w:w="0" w:type="auto"/>
          </w:tcPr>
          <w:p>
            <w:pPr>
              <w:pStyle w:val="TextoNormal-IPCA"/>
              <w:jc w:val="left"/>
            </w:pPr>
            <w:r>
              <w:t>Comprimento da mão, comprimento da palma, largura da mão e diâmetro de preensão, com valores gerais e por grupos etários</w:t>
            </w:r>
          </w:p>
        </w:tc>
        <w:tc>
          <w:tcPr>
            <w:tcW w:w="0" w:type="auto"/>
          </w:tcPr>
          <w:p>
            <w:pPr>
              <w:pStyle w:val="TextoNormal-IPCA"/>
              <w:jc w:val="left"/>
            </w:pPr>
            <w:r>
              <w:t>360</w:t>
            </w:r>
          </w:p>
        </w:tc>
      </w:tr>
      <w:tr>
        <w:tc>
          <w:tcPr>
            <w:tcW w:w="0" w:type="auto"/>
          </w:tcPr>
          <w:p>
            <w:pPr>
              <w:pStyle w:val="TextoNormal-IPCA"/>
              <w:jc w:val="left"/>
            </w:pPr>
            <w:r>
              <w:t>Nag et al. (2003)</w:t>
            </w:r>
          </w:p>
        </w:tc>
        <w:tc>
          <w:tcPr>
            <w:tcW w:w="0" w:type="auto"/>
          </w:tcPr>
          <w:p>
            <w:pPr>
              <w:pStyle w:val="TextoNormal-IPCA"/>
              <w:jc w:val="left"/>
            </w:pPr>
            <w:r>
              <w:t>Mulheres indianas trabalhadoras</w:t>
            </w:r>
          </w:p>
        </w:tc>
        <w:tc>
          <w:tcPr>
            <w:tcW w:w="0" w:type="auto"/>
          </w:tcPr>
          <w:p>
            <w:pPr>
              <w:pStyle w:val="TextoNormal-IPCA"/>
              <w:jc w:val="left"/>
            </w:pPr>
            <w:r>
              <w:t>51 dimensões da mão, incluindo comprimentos, larguras, circunferências, profundidades e aberturas</w:t>
            </w:r>
          </w:p>
        </w:tc>
        <w:tc>
          <w:tcPr>
            <w:tcW w:w="0" w:type="auto"/>
          </w:tcPr>
          <w:p>
            <w:pPr>
              <w:pStyle w:val="TextoNormal-IPCA"/>
              <w:jc w:val="left"/>
            </w:pPr>
            <w:r>
              <w:t>255</w:t>
            </w:r>
          </w:p>
        </w:tc>
      </w:tr>
      <w:tr>
        <w:tc>
          <w:tcPr>
            <w:tcW w:w="0" w:type="auto"/>
          </w:tcPr>
          <w:p>
            <w:pPr>
              <w:pStyle w:val="TextoNormal-IPCA"/>
              <w:jc w:val="left"/>
            </w:pPr>
            <w:r>
              <w:t>Gordon et al. (2015)</w:t>
            </w:r>
          </w:p>
        </w:tc>
        <w:tc>
          <w:tcPr>
            <w:tcW w:w="0" w:type="auto"/>
          </w:tcPr>
          <w:p>
            <w:pPr>
              <w:pStyle w:val="TextoNormal-IPCA"/>
              <w:jc w:val="left"/>
            </w:pPr>
            <w:r>
              <w:t>Militares norte-americanos do ANSUR II</w:t>
            </w:r>
          </w:p>
        </w:tc>
        <w:tc>
          <w:tcPr>
            <w:tcW w:w="0" w:type="auto"/>
          </w:tcPr>
          <w:p>
            <w:pPr>
              <w:pStyle w:val="TextoNormal-IPCA"/>
              <w:jc w:val="left"/>
            </w:pPr>
            <w:r>
              <w:t>Medições da mão, punho e antebraço extraídas das estatísticas públicas do inquérito</w:t>
            </w:r>
          </w:p>
        </w:tc>
        <w:tc>
          <w:tcPr>
            <w:tcW w:w="0" w:type="auto"/>
          </w:tcPr>
          <w:p>
            <w:pPr>
              <w:pStyle w:val="TextoNormal-IPCA"/>
              <w:jc w:val="left"/>
            </w:pPr>
            <w:r>
              <w:t>154</w:t>
            </w:r>
          </w:p>
        </w:tc>
      </w:tr>
      <w:tr>
        <w:tc>
          <w:tcPr>
            <w:tcW w:w="0" w:type="auto"/>
          </w:tcPr>
          <w:p>
            <w:pPr>
              <w:pStyle w:val="TextoNormal-IPCA"/>
              <w:jc w:val="left"/>
            </w:pPr>
            <w:r>
              <w:t>Chatzioglou et al. (2024)</w:t>
            </w:r>
          </w:p>
        </w:tc>
        <w:tc>
          <w:tcPr>
            <w:tcW w:w="0" w:type="auto"/>
          </w:tcPr>
          <w:p>
            <w:pPr>
              <w:pStyle w:val="TextoNormal-IPCA"/>
              <w:jc w:val="left"/>
            </w:pPr>
            <w:r>
              <w:t>Jovens adultos da Turquia</w:t>
            </w:r>
          </w:p>
        </w:tc>
        <w:tc>
          <w:tcPr>
            <w:tcW w:w="0" w:type="auto"/>
          </w:tcPr>
          <w:p>
            <w:pPr>
              <w:pStyle w:val="TextoNormal-IPCA"/>
              <w:jc w:val="left"/>
            </w:pPr>
            <w:r>
              <w:t>Comprimentos dos cinco dedos da mão direita, por sexo e combinado</w:t>
            </w:r>
          </w:p>
        </w:tc>
        <w:tc>
          <w:tcPr>
            <w:tcW w:w="0" w:type="auto"/>
          </w:tcPr>
          <w:p>
            <w:pPr>
              <w:pStyle w:val="TextoNormal-IPCA"/>
              <w:jc w:val="left"/>
            </w:pPr>
            <w:r>
              <w:t>56</w:t>
            </w:r>
          </w:p>
        </w:tc>
      </w:tr>
      <w:tr>
        <w:tc>
          <w:tcPr>
            <w:tcW w:w="0" w:type="auto"/>
          </w:tcPr>
          <w:p>
            <w:pPr>
              <w:pStyle w:val="TextoNormal-IPCA"/>
              <w:jc w:val="left"/>
            </w:pPr>
            <w:r>
              <w:t>Hu et al. (2007)</w:t>
            </w:r>
          </w:p>
        </w:tc>
        <w:tc>
          <w:tcPr>
            <w:tcW w:w="0" w:type="auto"/>
          </w:tcPr>
          <w:p>
            <w:pPr>
              <w:pStyle w:val="TextoNormal-IPCA"/>
              <w:jc w:val="left"/>
            </w:pPr>
            <w:r>
              <w:t>Idosos chineses da área de Pequim</w:t>
            </w:r>
          </w:p>
        </w:tc>
        <w:tc>
          <w:tcPr>
            <w:tcW w:w="0" w:type="auto"/>
          </w:tcPr>
          <w:p>
            <w:pPr>
              <w:pStyle w:val="TextoNormal-IPCA"/>
              <w:jc w:val="left"/>
            </w:pPr>
            <w:r>
              <w:t>Larguras, comprimento da mão, comprimento do dedo e comprimento antebraço-ponta dos dedos</w:t>
            </w:r>
          </w:p>
        </w:tc>
        <w:tc>
          <w:tcPr>
            <w:tcW w:w="0" w:type="auto"/>
          </w:tcPr>
          <w:p>
            <w:pPr>
              <w:pStyle w:val="TextoNormal-IPCA"/>
              <w:jc w:val="left"/>
            </w:pPr>
            <w:r>
              <w:t>50</w:t>
            </w:r>
          </w:p>
        </w:tc>
      </w:tr>
      <w:tr>
        <w:tc>
          <w:tcPr>
            <w:tcW w:w="0" w:type="auto"/>
          </w:tcPr>
          <w:p>
            <w:pPr>
              <w:pStyle w:val="TextoNormal-IPCA"/>
              <w:jc w:val="left"/>
            </w:pPr>
            <w:r>
              <w:t>Ibiwari et al. (2025)</w:t>
            </w:r>
          </w:p>
        </w:tc>
        <w:tc>
          <w:tcPr>
            <w:tcW w:w="0" w:type="auto"/>
          </w:tcPr>
          <w:p>
            <w:pPr>
              <w:pStyle w:val="TextoNormal-IPCA"/>
              <w:jc w:val="left"/>
            </w:pPr>
            <w:r>
              <w:t>Atletas universitários da Nigéria</w:t>
            </w:r>
          </w:p>
        </w:tc>
        <w:tc>
          <w:tcPr>
            <w:tcW w:w="0" w:type="auto"/>
          </w:tcPr>
          <w:p>
            <w:pPr>
              <w:pStyle w:val="TextoNormal-IPCA"/>
              <w:jc w:val="left"/>
            </w:pPr>
            <w:r>
              <w:t>Comprimento da mão, largura da mão, comprimento palmar e 3.º dedo, por modalidade e sexo</w:t>
            </w:r>
          </w:p>
        </w:tc>
        <w:tc>
          <w:tcPr>
            <w:tcW w:w="0" w:type="auto"/>
          </w:tcPr>
          <w:p>
            <w:pPr>
              <w:pStyle w:val="TextoNormal-IPCA"/>
              <w:jc w:val="left"/>
            </w:pPr>
            <w:r>
              <w:t>32</w:t>
            </w:r>
          </w:p>
        </w:tc>
      </w:tr>
      <w:tr>
        <w:tc>
          <w:tcPr>
            <w:tcW w:w="0" w:type="auto"/>
          </w:tcPr>
          <w:p>
            <w:pPr>
              <w:pStyle w:val="TextoNormal-IPCA"/>
              <w:jc w:val="left"/>
            </w:pPr>
            <w:r>
              <w:t>Anacleto Filho et al. (2023)</w:t>
            </w:r>
          </w:p>
        </w:tc>
        <w:tc>
          <w:tcPr>
            <w:tcW w:w="0" w:type="auto"/>
          </w:tcPr>
          <w:p>
            <w:pPr>
              <w:pStyle w:val="TextoNormal-IPCA"/>
              <w:jc w:val="left"/>
            </w:pPr>
            <w:r>
              <w:t>Trabalhadores industriais portugueses</w:t>
            </w:r>
          </w:p>
        </w:tc>
        <w:tc>
          <w:tcPr>
            <w:tcW w:w="0" w:type="auto"/>
          </w:tcPr>
          <w:p>
            <w:pPr>
              <w:pStyle w:val="TextoNormal-IPCA"/>
              <w:jc w:val="left"/>
            </w:pPr>
            <w:r>
              <w:t>Comprimento e largura da mão, por sexo</w:t>
            </w:r>
          </w:p>
        </w:tc>
        <w:tc>
          <w:tcPr>
            <w:tcW w:w="0" w:type="auto"/>
          </w:tcPr>
          <w:p>
            <w:pPr>
              <w:pStyle w:val="TextoNormal-IPCA"/>
              <w:jc w:val="left"/>
            </w:pPr>
            <w:r>
              <w:t>20</w:t>
            </w:r>
          </w:p>
        </w:tc>
      </w:tr>
      <w:tr>
        <w:tc>
          <w:tcPr>
            <w:tcW w:w="0" w:type="auto"/>
          </w:tcPr>
          <w:p>
            <w:pPr>
              <w:pStyle w:val="TextoNormal-IPCA"/>
              <w:jc w:val="left"/>
            </w:pPr>
            <w:r>
              <w:t>Mistarihi (2020)</w:t>
            </w:r>
          </w:p>
        </w:tc>
        <w:tc>
          <w:tcPr>
            <w:tcW w:w="0" w:type="auto"/>
          </w:tcPr>
          <w:p>
            <w:pPr>
              <w:pStyle w:val="TextoNormal-IPCA"/>
              <w:jc w:val="left"/>
            </w:pPr>
            <w:r>
              <w:t>Trabalhadores com deficiência física na Jordânia</w:t>
            </w:r>
          </w:p>
        </w:tc>
        <w:tc>
          <w:tcPr>
            <w:tcW w:w="0" w:type="auto"/>
          </w:tcPr>
          <w:p>
            <w:pPr>
              <w:pStyle w:val="TextoNormal-IPCA"/>
              <w:jc w:val="left"/>
            </w:pPr>
            <w:r>
              <w:t>Comprimento da mão, largura da mão e comprimento cotovelo-ponta dos dedos</w:t>
            </w:r>
          </w:p>
        </w:tc>
        <w:tc>
          <w:tcPr>
            <w:tcW w:w="0" w:type="auto"/>
          </w:tcPr>
          <w:p>
            <w:pPr>
              <w:pStyle w:val="TextoNormal-IPCA"/>
              <w:jc w:val="left"/>
            </w:pPr>
            <w:r>
              <w:t>9</w:t>
            </w:r>
          </w:p>
        </w:tc>
      </w:tr>
      <w:tr>
        <w:tc>
          <w:tcPr>
            <w:tcW w:w="0" w:type="auto"/>
          </w:tcPr>
          <w:p>
            <w:pPr>
              <w:pStyle w:val="TextoNormal-IPCA"/>
              <w:jc w:val="left"/>
            </w:pPr>
            <w:r>
              <w:t>Lim et al. (2018)</w:t>
            </w:r>
          </w:p>
        </w:tc>
        <w:tc>
          <w:tcPr>
            <w:tcW w:w="0" w:type="auto"/>
          </w:tcPr>
          <w:p>
            <w:pPr>
              <w:pStyle w:val="TextoNormal-IPCA"/>
              <w:jc w:val="left"/>
            </w:pPr>
            <w:r>
              <w:t>Adultos jovens nos EUA</w:t>
            </w:r>
          </w:p>
        </w:tc>
        <w:tc>
          <w:tcPr>
            <w:tcW w:w="0" w:type="auto"/>
          </w:tcPr>
          <w:p>
            <w:pPr>
              <w:pStyle w:val="TextoNormal-IPCA"/>
              <w:jc w:val="left"/>
            </w:pPr>
            <w:r>
              <w:t>Comprimento e largura do dedo indicador para personalização de dedo protésico</w:t>
            </w:r>
          </w:p>
        </w:tc>
        <w:tc>
          <w:tcPr>
            <w:tcW w:w="0" w:type="auto"/>
          </w:tcPr>
          <w:p>
            <w:pPr>
              <w:pStyle w:val="TextoNormal-IPCA"/>
              <w:jc w:val="left"/>
            </w:pPr>
            <w:r>
              <w:t>2</w:t>
            </w:r>
          </w:p>
        </w:tc>
      </w:tr>
    </w:tbl>
    <w:p>
      <w:pPr>
        <w:pStyle w:val="TextoNormal-IPCA"/>
      </w:pPr>
      <w:r>
        <w:t>A extracção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preservação da fonte, página, população e nota metodológica permite identificar a origem de cada valor e regressar ao documento original sempre que uma medida pareça incoerente.</w:t>
      </w:r>
    </w:p>
    <w:p>
      <w:pPr>
        <w:pStyle w:val="TextoNormal-IPCA"/>
      </w:pPr>
      <w: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TextoNormal-IPCA"/>
      </w:pPr>
      <w:r>
        <w:t>Este formato facilita a integração de fontes incompletas, porque nem todos os estudos reportam o mesmo conjunto de estatísticas.</w:t>
      </w:r>
    </w:p>
    <w:p>
      <w:pPr>
        <w:pStyle w:val="TextoNormal-IPCA"/>
      </w:pPr>
      <w:r>
        <w:t>Na base actual, existem 612 médias, 609 desvios-padrão, 513 percentis, 28 mínimos e 28 máximos. Esta assimetria é metodologicamente relevante: os conjuntos ANSUR oferecem maior profundidade estatística, enquanto o DINED permite uma separação estruturada por idade e sexo, apenas com média e desvio-padrão na interface consultada. Estudos como Mistarihi (2020) ou Lim et al. (2018) fornecem valores parciais, úteis como referência contextual e insuficientes para uma estimativa populacional com o mesmo detalhe (Gordon et al., 2015; Lim et al., 2018; Mistarihi, 2020).</w:t>
      </w:r>
    </w:p>
    <w:p>
      <w:pPr>
        <w:pStyle w:val="TextoNormal-IPCA"/>
      </w:pPr>
      <w: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TextoNormal-IPCA"/>
      </w:pPr>
      <w:r>
        <w:t>Do mesmo modo, verifica-se heterogeneidade no critério de selecção da mão analisada, com estudos que consideram a mão direita, a mão dominante ou, no caso do estudo português, a mão esquerda, em função das condições específicas de recolha de dados. (Anacleto Filho et al., 2023). Estas diferenças impedem que todos os dados sejam tratados como directamente equivalentes e justificam o registo explícito dos respectivos protocolos de medição. A base de dados não elimina a heterogeneidade das fontes; pelo contrário, torna-a visível, permitindo que o modelo paramétrico utilize os valores antropométricos de forma contextualizada e metodologicamente informada. 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 Em sentido inverso, algumas fontes facilitaram a extracção. As tabelas com percentis claros, unidades explícitas e separação por sexo ou idade permitiram uma codificação directa e maior confiança na transcrição dos valores. No caso da DINED, a estrutura HTML da interface facilitou a identificação e a extracção consistente das médias e dos desvios-padrão, permitindo registar, para cada medida antropométrica, o valor médio observado no grupo e a respectiva dispersão interna. Esta informação foi recolhida mantendo a separação entre subconjuntos, sexo e grupos etários, embora os percentis não estivessem disponíveis na mesma interface.</w:t>
      </w:r>
    </w:p>
    <w:p>
      <w:pPr>
        <w:pStyle w:val="TextoNormal-IPCA"/>
      </w:pPr>
      <w:r>
        <w:t>O ANSUR II também foi particularmente útil por disponibilizar estatísticas amplas e uma grande amostra militar, permitindo trabalhar com medições da mão, punho e antebraço em escala populacional (Gordon et al., 2015; Molenbroek, 1998; Molenbroek et al., 2003; Steenbekkers &amp; van Beijsterveldt, 1998). Ainda assim, estas fontes não resolvem o problema da personalização clínica, uma vez que amostras compostas por militares, crianças neerlandesas ou idosos chineses não podem ser directamente extrapoladas para utilizadores com amputação de membro superior.</w:t>
      </w:r>
    </w:p>
    <w:p>
      <w:pPr>
        <w:pStyle w:val="TextoNormal-IPCA"/>
      </w:pPr>
      <w:r>
        <w:t>As decisões de normalização dos dados seguiram quatro princípios metodológicos. Em primeiro lugar, todas as medidas antropométricas foram convertidas para milímetros, centímetros e polegadas, mantendo-se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directamente relevantes para a geração da geometria principal, de dimensões do punho e antebraço, mais associadas à interface, à fixação ou à adaptação ao membro residual. Por fim, os valores recolhidos foram tratados como referências paramétricas, em lugar de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Os dados delimitam o espaço de alteração dentro do qual o modelo pode operar com maior coerência geométrica e metodológica. Para tal, o sistema necessita de identificar as medidas recorrentes na literatura, os intervalos observados em diferentes populações, as dimensões que podem funcionar como entradas mínimas de configuração e as situações em que o redimensionamento uniforme se torna metodologicamente arriscado.</w:t>
      </w:r>
    </w:p>
    <w:p>
      <w:pPr>
        <w:pStyle w:val="TextoNormal-IPCA"/>
      </w:pPr>
      <w:r>
        <w:t>A base de dados construída permite comparar valores relativos ao comprimento da mão, à largura da palma, aos comprimentos digitais, às dimensões do punho e às relações com o antebraço, mantendo a referência à fonte, à população e ao contexto metodológico de cada linha.</w:t>
      </w:r>
    </w:p>
    <w:p>
      <w:pPr>
        <w:pStyle w:val="TextoNormal-IPCA"/>
      </w:pPr>
      <w: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TextoNormal-IPCA"/>
      </w:pPr>
      <w:r>
        <w:t>Permanece uma limitação central. A maior parte dos dados disponíveis provém de populações sem amputação e não descreve a morfologia do membro residual nem a interacção dinâmica entre tecido, carga e encaixe. Para uma prótese definitiva, a referência mais adequada seria a medição directa do utilizador, idealmente complementada por digitalização tridimensional e avaliação da interface com o corpo. Nesta investigação, os dados antropométricos públicos estruturam o sistema, apoiam os ensaios de coerência dimensional e fundamentam decisões de parametrização; não substituem avaliação clínica, prova de conforto ou avaliação individual.</w:t>
      </w:r>
    </w:p>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w:t>
      </w:r>
      <w:r>
        <w:t>data/app.db</w:t>
      </w:r>
      <w:r>
        <w:t xml:space="preserve">. No fecho do estudo existiam 100 perfis: 97 importados em lote, dois por importação CSV e um criado manualmente. A correspondência entre uma descrição e estes perfis é determinística e encontra-se em </w:t>
      </w:r>
      <w:r>
        <w:t>server/services/profileMapping.js</w:t>
      </w:r>
      <w:r>
        <w:t>.</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Tabela 4.8 identifica as entradas activas, os cálculos derivados e os limites existentes nas versões usadas nos ensaios. As fórmulas descrevem a implementação; não representam relações anatómicas universais.</w:t>
      </w:r>
    </w:p>
    <w:p>
      <w:pPr>
        <w:pStyle w:val="Legenda"/>
      </w:pPr>
      <w:r>
        <w:t>Tabela 4.8 — Relações paramétricas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 principal</w:t>
            </w:r>
          </w:p>
        </w:tc>
        <w:tc>
          <w:tcPr>
            <w:tcW w:w="0" w:type="auto"/>
          </w:tcPr>
          <w:p>
            <w:pPr>
              <w:pStyle w:val="TextoNormal-IPCA"/>
              <w:jc w:val="center"/>
            </w:pPr>
            <w:r>
              <w:rPr>
                <w:b/>
              </w:rPr>
              <w:t>Relação implementada</w:t>
            </w:r>
          </w:p>
        </w:tc>
        <w:tc>
          <w:tcPr>
            <w:tcW w:w="0" w:type="auto"/>
          </w:tcPr>
          <w:p>
            <w:pPr>
              <w:pStyle w:val="TextoNormal-IPCA"/>
              <w:jc w:val="center"/>
            </w:pPr>
            <w:r>
              <w:rPr>
                <w:b/>
              </w:rPr>
              <w:t>Parâmetros derivados e limite</w:t>
            </w:r>
          </w:p>
        </w:tc>
      </w:tr>
      <w:tr>
        <w:tc>
          <w:tcPr>
            <w:tcW w:w="0" w:type="auto"/>
          </w:tcPr>
          <w:p>
            <w:pPr>
              <w:pStyle w:val="TextoNormal-IPCA"/>
              <w:jc w:val="left"/>
            </w:pPr>
            <w:r>
              <w:t>Flexy Beast</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xScaleFactor = (palm_breadth_mm + 5) / 55</w:t>
            </w:r>
            <w:r>
              <w:t>; o comprimento médio regula o multiplicador geral dos dedos e os restantes comprimentos definem proporções relativas</w:t>
            </w:r>
          </w:p>
        </w:tc>
        <w:tc>
          <w:tcPr>
            <w:tcW w:w="0" w:type="auto"/>
          </w:tcPr>
          <w:p>
            <w:pPr>
              <w:pStyle w:val="TextoNormal-IPCA"/>
              <w:jc w:val="left"/>
            </w:pPr>
            <w:r>
              <w:t>fingerLength = middle_finger_length_mm / (37 × xScaleFactor)</w:t>
            </w:r>
            <w:r>
              <w:t>; largura da palma entre 55 e 110 mm</w:t>
            </w:r>
          </w:p>
        </w:tc>
      </w:tr>
      <w:tr>
        <w:tc>
          <w:tcPr>
            <w:tcW w:w="0" w:type="auto"/>
          </w:tcPr>
          <w:p>
            <w:pPr>
              <w:pStyle w:val="TextoNormal-IPCA"/>
              <w:jc w:val="left"/>
            </w:pPr>
            <w:r>
              <w:t>Paraglider Hand</w:t>
            </w:r>
          </w:p>
        </w:tc>
        <w:tc>
          <w:tcPr>
            <w:tcW w:w="0" w:type="auto"/>
          </w:tcPr>
          <w:p>
            <w:pPr>
              <w:pStyle w:val="TextoNormal-IPCA"/>
              <w:jc w:val="left"/>
            </w:pPr>
            <w:r>
              <w:t>palm_breadth_mm</w:t>
            </w:r>
            <w:r>
              <w:t xml:space="preserve"> e comprimentos dos cinco dedos</w:t>
            </w:r>
          </w:p>
        </w:tc>
        <w:tc>
          <w:tcPr>
            <w:tcW w:w="0" w:type="auto"/>
          </w:tcPr>
          <w:p>
            <w:pPr>
              <w:pStyle w:val="TextoNormal-IPCA"/>
              <w:jc w:val="left"/>
            </w:pPr>
            <w:r>
              <w:t>overall_scale = palm_breadth_mm / 66,4</w:t>
            </w:r>
            <w:r>
              <w:t>; a palma mantém escala uniforme para preservar furos circulares e os dedos recebem ajustes próprios</w:t>
            </w:r>
          </w:p>
        </w:tc>
        <w:tc>
          <w:tcPr>
            <w:tcW w:w="0" w:type="auto"/>
          </w:tcPr>
          <w:p>
            <w:pPr>
              <w:pStyle w:val="TextoNormal-IPCA"/>
              <w:jc w:val="left"/>
            </w:pPr>
            <w:r>
              <w:t xml:space="preserve">A palma Reborn exige </w:t>
            </w:r>
            <w:r>
              <w:t>scale(overall_scale / 1,25)</w:t>
            </w:r>
            <w:r>
              <w:t xml:space="preserve"> no ponto de chamada; largura declarada entre 55 e 110 mm</w:t>
            </w:r>
          </w:p>
        </w:tc>
      </w:tr>
      <w:tr>
        <w:tc>
          <w:tcPr>
            <w:tcW w:w="0" w:type="auto"/>
          </w:tcPr>
          <w:p>
            <w:pPr>
              <w:pStyle w:val="TextoNormal-IPCA"/>
              <w:jc w:val="left"/>
            </w:pPr>
            <w:r>
              <w:t>UnLimbited Phoenix</w:t>
            </w:r>
          </w:p>
        </w:tc>
        <w:tc>
          <w:tcPr>
            <w:tcW w:w="0" w:type="auto"/>
          </w:tcPr>
          <w:p>
            <w:pPr>
              <w:pStyle w:val="TextoNormal-IPCA"/>
              <w:jc w:val="left"/>
            </w:pPr>
            <w:r>
              <w:t>palm_breadth_mm</w:t>
            </w:r>
            <w:r>
              <w:t xml:space="preserve"> e, nas versões posteriores, comprimentos por dedo</w:t>
            </w:r>
          </w:p>
        </w:tc>
        <w:tc>
          <w:tcPr>
            <w:tcW w:w="0" w:type="auto"/>
          </w:tcPr>
          <w:p>
            <w:pPr>
              <w:pStyle w:val="TextoNormal-IPCA"/>
              <w:jc w:val="left"/>
            </w:pPr>
            <w:r>
              <w:t>HandPerc = palm_breadth_mm / 82 × 100</w:t>
            </w:r>
            <w:r>
              <w:t>, limitado ao intervalo do modelo; a montagem é escalada de forma uniforme</w:t>
            </w:r>
          </w:p>
        </w:tc>
        <w:tc>
          <w:tcPr>
            <w:tcW w:w="0" w:type="auto"/>
          </w:tcPr>
          <w:p>
            <w:pPr>
              <w:pStyle w:val="TextoNormal-IPCA"/>
              <w:jc w:val="left"/>
            </w:pPr>
            <w:r>
              <w:t>HandPerc</w:t>
            </w:r>
            <w:r>
              <w:t xml:space="preserve"> e </w:t>
            </w:r>
            <w:r>
              <w:t>HandPerc_override</w:t>
            </w:r>
            <w:r>
              <w:t xml:space="preserve"> limitados entre 100% e 160%; valores de palma abaixo de 82 mm ficam no mínimo de 100%</w:t>
            </w:r>
          </w:p>
        </w:tc>
      </w:tr>
    </w:tbl>
    <w:p>
      <w:pPr>
        <w:pStyle w:val="TextoNormal-IPCA"/>
      </w:pPr>
      <w:r>
        <w:t>No Flexy Beast, a largura metacarpal determina a escala global da palma e dos componentes estruturais. Os comprimentos digitais permitem alterar o alcance relativo de cada dedo, mas várias espessuras e interfaces continuam ligadas à escala da mão. No Paraglider, o escalonamento uniforme da palma é uma restrição deliberada: uma deformação diferente nos eixos X e Y transformaria os furos dos pinos em elipses e poderia impedir a montagem. Esta opção limita a adaptação local da palma, ao mesmo tempo que protege uma interface mecânica do desenho original.</w:t>
      </w:r>
    </w:p>
    <w:p>
      <w:pPr>
        <w:pStyle w:val="TextoNormal-IPCA"/>
      </w:pPr>
      <w:r>
        <w:t>No UnLimbited Phoenix, o piso de 82 mm decorre da gama dimensional adoptada pelo modelo integrado. Um perfil infantil abaixo desse valor gera a dimensão mínima suportada e deixa de representar a estimativa de entrada. O sistema deve, por isso, informar que o modelo não cobre esse perfil, em vez de descrever o resultado como adaptação anatómica. Esta diferença confirma que os limites pertencem à combinação entre dados, regras e arquitectura de cada modelo; não devem ser inferidos a partir do nome genérico «mão protésica».</w:t>
      </w:r>
    </w:p>
    <w:p>
      <w:pPr>
        <w:pStyle w:val="TextoNormal-IPCA"/>
      </w:pPr>
      <w:r>
        <w:t xml:space="preserve">Os parâmetros de lateralidade constituem uma classe separada. </w:t>
      </w:r>
      <w:r>
        <w:t>mirrored</w:t>
      </w:r>
      <w:r>
        <w:t xml:space="preserve"> no Flexy Beast e no Paraglider e </w:t>
      </w:r>
      <w:r>
        <w:t>LeftRight</w:t>
      </w:r>
      <w:r>
        <w:t xml:space="preserve"> no Phoenix são definidos pela interface. Desde a versão 14.19.0, estes campos possuem o papel </w:t>
      </w:r>
      <w:r>
        <w:t>laterality</w:t>
      </w:r>
      <w:r>
        <w:t>,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plataforma 14.67.0, confirmação Git bcef0db. A unidade é o milímetro, excepto quando a tabela indica percentagem ou razão adimensional. Os valores iniciais constituem a configuração de referência do modelo; os intervalos são limites de implementação, não limites clínicos.</w:t>
      </w:r>
    </w:p>
    <w:p>
      <w:pPr>
        <w:pStyle w:val="TextoNormal-IPCA"/>
      </w:pPr>
      <w:r>
        <w:t>O suplemento sources/manuscript/annexes/dicionario_parametros_v14.67.0/parameter_dictionary.csv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Cabealho3"/>
        <w:numPr>
          <w:ilvl w:val="2"/>
          <w:numId w:val="0"/>
        </w:numPr>
      </w:pPr>
      <w:r>
        <w:t>4.3.5 Exemplo numérico completo: perfil infantil no Flexy Beast</w:t>
      </w:r>
    </w:p>
    <w:p>
      <w:pPr>
        <w:pStyle w:val="TextoNormal-IPCA"/>
      </w:pPr>
      <w:r>
        <w:t>A Tabela 4.10 apresenta um percurso integral preservado na campanha de 8 de Julho de 2026. Para isolar a transformação geométrica, a entrada efectiva é o vector de medidas aplicado ao modelo, e não a nacionalidade ou a escolha da referência populacional. O perfil simulado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Percurso numérico do vector antropométrico até às malhas do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ficheiros params.json, palm.3mf, middle_base.3mf, middle_tip.3mf e trace.json, os respectivos valores SHA-256 e o dicionário completo encontram-se em sources/manuscript/annexes/dicionario_parametros_v14.67.0/. O percurso é reproduzível ao nível do artefacto arquivado e do cálculo; permanece uma verificação técnica com perfil simulado, sem avaliação de conforto, função, segurança ou validade clínica.</w:t>
      </w:r>
    </w:p>
    <w:p>
      <w:pPr>
        <w:pStyle w:val="Cabealho2"/>
        <w:numPr>
          <w:ilvl w:val="1"/>
          <w:numId w:val="0"/>
        </w:numPr>
      </w:pPr>
      <w:r>
        <w:t>4.4 Iterações, refinamento e discussão intermédia</w:t>
      </w:r>
    </w:p>
    <w:p>
      <w:pPr>
        <w:pStyle w:val="TextoNormal-IPCA"/>
      </w:pPr>
      <w:r>
        <w:t>O desenvolvimento do modelo paramétrico não ocorreu, desde o início, como uma sequência linear orientada para uma solução estável e definitiva. Pelo contrário, evoluiu através de ciclos sucessivos de formulação, teste, correcção e reconfiguração, em coerência com a perspectiva de Research Through Design, segundo a qual o próprio processo projectual constitui um meio de produção de conhecimento (Zimmerman, Forlizzi, &amp; Evenson, 2007).</w:t>
      </w:r>
    </w:p>
    <w:p>
      <w:pPr>
        <w:pStyle w:val="TextoNormal-IPCA"/>
      </w:pPr>
      <w:r>
        <w:t>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TextoNormal-IPCA"/>
      </w:pPr>
      <w:r>
        <w:t>A necessidade de iteração tornou-se particularmente evidente porque a modelação paramétrica, apesar da sua aparência sistemática, depende de um equilíbrio delicado entre abstracção e concretização. Numa fase inicial, a estrutura do sistema assentou na definição de um conjunto de parâmetros julgados essenciais e numa primeira hierarquia entre variáveis de entrada, valores derivados e restrições.</w:t>
      </w:r>
    </w:p>
    <w:p>
      <w:pPr>
        <w:pStyle w:val="TextoNormal-IPCA"/>
      </w:pPr>
      <w:r>
        <w:t>À medida que o modelo foi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TextoNormal-IPCA"/>
      </w:pPr>
      <w:r>
        <w:t>Uma parte decisiva do refinamento incidiu na reorganização da arquitectura paramétrica. O objectivo passou de permitir alterações livres para garantir alterações controladas. Isto implicou reduzir redundâncias, clarificar dependências internas e distinguir os parâmetros estruturantes dos ajustamentos secundários. Procurou-se construir uma lógica hierárquica em que as relações críticas permanecessem explícitas e com origem identificável. Esta passagem favoreceu a manutenção do código e a solidez do modelo, dado que a literatura sublinha que a qualidade das relações paramétricas é determinante para famílias de produto adaptáveis e tecnicamente consistentes (Lei et al., 2016; Wiberg, Persson, &amp; Ölvander, 2019).</w:t>
      </w:r>
    </w:p>
    <w:p>
      <w:pPr>
        <w:pStyle w:val="TextoNormal-IPCA"/>
      </w:pPr>
      <w:r>
        <w:t>À medida que a estrutura geral se consolidou, o trabalho iterativo deslocou-se para a decomposição do sistema em módulos relativamente autónomos. Esta organização modular permitiu isolar problemas, testar componentes de forma localizada e introduzir alterações sem comprometer integralmente o comportamento global do modelo.</w:t>
      </w:r>
    </w:p>
    <w:p>
      <w:pPr>
        <w:pStyle w:val="TextoNormal-IPCA"/>
      </w:pPr>
      <w:r>
        <w:t>No contexto do presente projecto, esta estratégia revelou-se especialmente útil na articulação entre elementos estruturais, zonas de contacto, interfaces mecânicas e componentes de ligação. Para além de organizar o código, a divisão do modelo em módulos contribuiu para clarificar progressivamente a lógica do objecto, aproximando-o de uma estrutura configurável, mais sistemática e compatível com futuros contextos de interface ou de configuração apoiada (Nilsiam &amp; Pearce, 2017).</w:t>
      </w:r>
    </w:p>
    <w:p>
      <w:pPr>
        <w:pStyle w:val="TextoNormal-IPCA"/>
      </w:pPr>
      <w: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w:t>
      </w:r>
    </w:p>
    <w:p>
      <w:pPr>
        <w:pStyle w:val="TextoNormal-IPCA"/>
      </w:pPr>
      <w:r>
        <w:t>Nesse tipo de ensaio surgiram problemas como intersecções indevidas entre componentes, espessuras insuficientes em zonas críticas, desalinhamentos de interfaces, incompatibilidades entre dimensões derivadas e perdas localizadas de coerência proporcional. O refinamento incidiu, assim, na identificação de padrões recorrentes de instabilidade e conduziu à introdução progressiva de verificações condicionais, limites paramétricos e ajustes automáticos.</w:t>
      </w:r>
    </w:p>
    <w:p>
      <w:pPr>
        <w:pStyle w:val="TextoNormal-IPCA"/>
      </w:pPr>
      <w:r>
        <w:t>Outro eixo central do processo prendeu-se à relação entre personalização e fabrico. 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p>
    <w:p>
      <w:pPr>
        <w:pStyle w:val="TextoNormal-IPCA"/>
      </w:pPr>
      <w:r>
        <w:t>A evolução do modelo reforçou, nos casos examinados, a relevância de integrar critérios de Design for Additive Manufacturing na própria lógica paramétrica, em vez de os tratar como uma verificação externa e posterior. A literatura sobre DfAM aponta igualmente para a incorporação de tolerâncias, espessuras mínimas, orientações de fabrico e limites materiais desde a fase de concepção, reduzindo falhas e encurtando os ciclos de reimpressão e de correcção (Chtioui, Gaha, &amp; Benamara, 2023; Wiberg et al., 2019).</w:t>
      </w:r>
    </w:p>
    <w:p>
      <w:pPr>
        <w:pStyle w:val="TextoNormal-IPCA"/>
      </w:pPr>
      <w:r>
        <w:t>Em sistemas configuráveis para próteses, a coerência geométrica e a compatibilidade com o processo de impressão são insuficientes para assegurar a adequação ao uso. A articulação entre segmentos, o posicionamento relativo dos mecanismos, a distribuição de massa, as zonas sujeitas a esforço e a amplitude de movimento influenciam directamente o desempenho esperado do objecto. Por essa razão, várias versões do modelo implicaram reajustes que articularam a correcção formal da geometria com a procura de equilíbrio entre adaptação dimensional, comportamento funcional esperado e viabilidade material.</w:t>
      </w:r>
    </w:p>
    <w:p>
      <w:pPr>
        <w:pStyle w:val="TextoNormal-IPCA"/>
      </w:pPr>
      <w:r>
        <w:t>O refinamento correspondeu, assim, a uma negociação contínua entre a simplificação paramétrica e as exigências funcionais e materiais do protótipo.</w:t>
      </w:r>
    </w:p>
    <w:p>
      <w:pPr>
        <w:pStyle w:val="TextoNormal-IPCA"/>
      </w:pPr>
      <w:r>
        <w:t>Do ponto de vista metodológico, este percurso ultrapassa uma sucessão de tentativas e erros. Cada iteração reconfigurou a compreensão do problema e tornou mais explícitos aspectos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as alterações. O conhecimento produzido abrange o estado final do modelo e o processo de convergência crítica que permitiu delimitar o que pode ser parametrizado neste contexto (Zimmerman et al., 2007).</w:t>
      </w:r>
    </w:p>
    <w:p>
      <w:pPr>
        <w:pStyle w:val="TextoNormal-IPCA"/>
      </w:pPr>
      <w:r>
        <w:t>As iterações documentadas sustentam quatro observações circunscritas aos modelos avaliados. Primeiro, a modelação paramétrica baseada em código permitiu estruturar os sistemas configuráveis testados quando a arquitectura e as dependências entre parâmetros foram explicitadas. Segundo, as falhas observadas indicaram que a estabilidade paramétrica dependeu da qualidade das relações codificadas, e não apenas da quantidade de variáveis disponíveis.</w:t>
      </w:r>
    </w:p>
    <w:p>
      <w:pPr>
        <w:pStyle w:val="TextoNormal-IPCA"/>
      </w:pPr>
      <w:r>
        <w:t>Terceiro, a personalização examinada exigiu a articulação de critérios antropométricos, funcionais e produtivos, não se reduzindo a uma transformação geométrica. Por fim, a iteração funcionou como mecanismo de convergência: não encerrou definitivamente o sistema, mas estabilizou uma versão adequada às fases subsequentes de integração na plataforma e de avaliação técnica.</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 xml:space="preserve">A plataforma web desenvolvida no âmbito deste projecto constitui a camada de mediação entre o modelo paramétrico, os dados de entrada e a configuração digital da mão protésica. Trata-se de um protótipo de investigação funcional, alojado na branch </w:t>
      </w:r>
      <w:r>
        <w:t>staging</w:t>
      </w:r>
      <w:r>
        <w:t>, e não de um produto preparado para utilização clínica. O seu enquadramento assenta numa interface que traduz dados antropométricos, decisões de configuração e critérios de fabrico em parâmetros operacionais, evitando que a edição dependa do contacto directo com o código. Esta leitura é coerente com os estudos sobre personalização digital e personalização em massa, que descrevem os configuradores como sistemas capazes de expor uma parte controlada do espaço de variação sem comprometer as relações do modelo-base (Ozdemir, Verlinden, &amp; Cascini, 2022; Stralen, 2018).</w:t>
      </w:r>
    </w:p>
    <w:p>
      <w:pPr>
        <w:pStyle w:val="TextoNormal-IPCA"/>
      </w:pPr>
      <w:r>
        <w:t>Do ponto de vista funcional, a plataforma foi concebida para suportar um processo progressivo de personalização, no qual a definição geométrica da prótese resulta da articulação entre a recolha de dados, a selecção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TextoNormal-IPCA"/>
      </w:pPr>
      <w:r>
        <w:t>Em vez de exigir que cada interveniente compreenda a estrutura interna do ficheiro OpenSCAD, o sistema disponibiliza uma camada de interacção mais acessível, baseada em controlos paramétricos, pré-visualização tridimensional e gestão de configurações.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da plataforma articula três objectivos complementares: tornar a lógica paramétrica operável em ambiente web, estruturar a configuração como um processo progressivo e compreensível e distribuir o acesso às operações de acordo com papéis diferenciados. Nesta fase, a plataforma permite editar parâmetros à distância e reorganiza o processo como uma sequência apoiada, documentada e sujeita a análise crítica. É nessa articulação entre capacidade de configuração, mediação pela interface e organização por perfis que a secção seguinte, dedicada à arquitectura geral do sistema, encontra a sua base conceptual.</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models/models-config.json</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5.2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5.2 — Arquitectura da plataforma e fronteiras entre navegador, servidor, serviço externo de IA e preparação do fabrico.</w:t>
      </w:r>
    </w:p>
    <w:p>
      <w:pPr>
        <w:pStyle w:val="Nota-IPCA"/>
      </w:pPr>
      <w:r>
        <w:t>Fonte: produção própria.</w:t>
      </w:r>
    </w:p>
    <w:p>
      <w:pPr>
        <w:pStyle w:val="TextoNormal-IPCA"/>
      </w:pPr>
      <w:r>
        <w:t>A Figura 5.3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5.3 — Sequência de dados e decisões desde o perfil ou descrição até à sugestão, confirmação, geração determinística e exportação.</w:t>
      </w:r>
    </w:p>
    <w:p>
      <w:pPr>
        <w:pStyle w:val="Nota-IPCA"/>
      </w:pPr>
      <w:r>
        <w:t>Fonte: produção própria.</w:t>
      </w:r>
    </w:p>
    <w:p>
      <w:pPr>
        <w:pStyle w:val="TextoNormal-IPCA"/>
      </w:pPr>
      <w:r>
        <w:t>A Figura 5.4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docPr id="17"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Image 17"/>
                    <pic:cNvPicPr/>
                  </pic:nvPicPr>
                  <pic:blipFill>
                    <a:blip r:embed="rId38"/>
                    <a:stretch>
                      <a:fillRect/>
                    </a:stretch>
                  </pic:blipFill>
                  <pic:spPr>
                    <a:xfrm>
                      <a:off x="0" y="0"/>
                      <a:ext cx="5579745" cy="3161855"/>
                    </a:xfrm>
                    <a:prstGeom prst="rect">
                      <a:avLst/>
                    </a:prstGeom>
                  </pic:spPr>
                </pic:pic>
              </a:graphicData>
            </a:graphic>
          </wp:inline>
        </w:drawing>
      </w:r>
    </w:p>
    <w:p>
      <w:pPr>
        <w:pStyle w:val="Legenda"/>
      </w:pPr>
      <w:r>
        <w:t>Figura 5.4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No plano da segurança e do controlo de acesso, a arquitectura incorpora autenticação baseada em JSON Web Token (JWT), um mecanismo que permite verificar a identidade do utilizador através de credenciais digitais temporárias. A plataforma utiliza ainda tokens de actualização armazenados em cookies HttpOnly, isto é, cookies que não podem ser acedidos directamente por scripts executados no navegador, reduzindo a exposição a certos tipos de ataque. Estes mecanismos são complementados por validação de dados, limitação de pedidos e bloqueio explícito de ficheiros sensíveis.</w:t>
      </w:r>
    </w:p>
    <w:p>
      <w:pPr>
        <w:pStyle w:val="TextoNormal-IPCA"/>
      </w:pPr>
      <w:r>
        <w:t>Estes mecanismos integram o desenho do sistema, sobretudo num contexto em que múltiplos perfis de utilizador operam sobre configurações potencialmente sensíveis e a plataforma articula autonomia de uso com supervisão técnica. A literatura sobre interfaces de configuração em contexto protésico sublinha a importância de equilibrar participação, diferenciação de permissões e enquadramento seguro das operações críticas (Quintero et al., 2018; Bai et al., 2024). Neste sentido, a arquitectura estrutura os componentes segundo requisitos de personalização apoiada, gestão de vários utilizadores e evolução futura da plataforma.</w:t>
      </w:r>
    </w:p>
    <w:p>
      <w:pPr>
        <w:pStyle w:val="Cabealho2"/>
        <w:numPr>
          <w:ilvl w:val="1"/>
          <w:numId w:val="0"/>
        </w:numPr>
      </w:pPr>
      <w:r>
        <w:t>5.3 Integração OpenSCAD via WebAssembly (WASM)</w:t>
      </w:r>
    </w:p>
    <w:p>
      <w:pPr>
        <w:pStyle w:val="TextoNormal-IPCA"/>
      </w:pPr>
      <w: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directa.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Do ponto de vista técnico, o uso de Web Workers é especialmente relevante porque impede que a renderização bloqueie a interface principal. Em modelos geometricamente mais exigentes, o cálculo pode ser intensivo; se fosse executado directamente na linha principal de execução do navegador, comprometeria a fluidez da interacção.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servidor. Esta decisão complementa a arquitectura híbrida descrita na secção anterior: o servidor conserva funções de autenticação, persistência e mediação com serviços externos, enquanto o navegador assume a computação geométrica directamente relacionada com a exploração paramétrica.</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O valor da solução reside, por isso, menos numa promessa de desempenho absoluto e mais na capacidade de tornar executável, em ambiente web, um núcleo paramétrico explícito, verificável e sujeito a revisão crítica.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modular distribui as funcionalidades da plataforma e estrutura o processo como uma sequência clara de operações.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5.5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TextoNormal-IPCA"/>
      </w:pPr>
      <w:r>
        <w:t>(Li &amp; Aflatoony, 2025).</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5.5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selectores de valores dentro de intervalos definidos, caixas de selecção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do sistema, em que o pedido à IA permanecia demasiado associado a um modelo já removido e podia induzir sugestões com nomes de parâmetros inexistentes. Ao ancorar a sugestão no esquema actual do modelo activo, a IA passa a operar sobre a mesma gramática paramétrica que a interface, os perfis antropométricos importados e o modelo OpenSCAD. Este módulo propõe pontos de partida compatíveis com o esquema e reduz a carga inicial de parametrização. A IA integra-se no fluxo como apoio à decisão,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a plataforma inclui um módulo administrativo e de controlo de acesso que suporta a organização multi-utilizador. Este módulo assegura a criação de contas, a diferenciação de permissões, a atribuição de utilizadores a técnicos e a delimitação das acções acessíveis a cada perfil.</w:t>
      </w:r>
    </w:p>
    <w:p>
      <w:pPr>
        <w:pStyle w:val="TextoNormal-IPCA"/>
      </w:pPr>
      <w: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 enquadrando essa capacidade numa estrutura funcional mais ampla, em que configuração, supervisão e persistência coexistem como partes de um mesmo sistema operativo.</w:t>
      </w:r>
    </w:p>
    <w:p>
      <w:pPr>
        <w:pStyle w:val="TextoNormal-IPCA"/>
      </w:pPr>
      <w:r>
        <w:t xml:space="preserve">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desta dissertação abrangem os três primeiros; o Cyborg Beast foi integrado posteriormente e não entra nas tabelas comparativas. A reconstrução designada </w:t>
      </w:r>
      <w:r>
        <w:t>pec Phoenix hand</w:t>
      </w:r>
      <w:r>
        <w:t xml:space="preserve"> permanece como material de desenvolvimento no repositório e não está registada na plataforma. Esta distinção impede confundir biblioteca actual, conjunto avaliado e trabalhos exploratórios.</w:t>
      </w:r>
    </w:p>
    <w:p>
      <w:pPr>
        <w:pStyle w:val="Legenda"/>
      </w:pPr>
      <w:r>
        <w:t>Tabela 5.2 — Inventário consolidado dos modelos no fecho do estudo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models-config.json</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referem-se às declarações presentes em models/models-config.json no estado versionado da plataforma 14.67.0. O total inclui selectores, opções de visualização e controlos não geométricos; a contagem numérica identifica os campos do tipo number, sem pressupor que todos representam medidas antropométricas. A ausência de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formaliza a relação entre o código OpenSCAD, o espaço de alteração permitido e os mecanismos de controlo disponibilizados ao utilizador. Em termos metodológicos, esta opção aproxima-se da lógica descrita na literatura sobre configuradores e personalização digital, segundo a qual a eficácia do sistema depende da capacidade de expor parâmetros relevantes dentro de limites claros e controlados, preservando a coerência interna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capacidade de expansão, a plataforma beneficia de uma arquitectura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Ozdemir et al., 2022).</w:t>
      </w:r>
    </w:p>
    <w:p>
      <w:pPr>
        <w:pStyle w:val="TextoNormal-IPCA"/>
      </w:pPr>
      <w:r>
        <w:t>Todavia, esta lógica de expansão deve ser analisada criticamente.</w:t>
      </w:r>
    </w:p>
    <w:p>
      <w:pPr>
        <w:pStyle w:val="TextoNormal-IPCA"/>
      </w:pPr>
      <w:r>
        <w:t>O recurso ao SQLite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registo e sincronização.</w:t>
      </w:r>
    </w:p>
    <w:p>
      <w:pPr>
        <w:pStyle w:val="TextoNormal-IPCA"/>
      </w:pPr>
      <w:r>
        <w:t>De forma semelhante, a renderização local através de WASM depende do desempenho do dispositivo do utilizador, o que pode originar diferenças na experiência e limita a complexidade geométrica. A expansão da plataforma depende da capacidade de integrar novas funções e modelos sem comprometer a clareza da organização interna, o desempenho, a segurança e a facilidade de manutenção.</w:t>
      </w:r>
    </w:p>
    <w:p>
      <w:pPr>
        <w:pStyle w:val="TextoNormal-IPCA"/>
      </w:pPr>
      <w:r>
        <w:t>Neste sentido, a secção confirma uma conclusão importante para o projecto: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campanha complementar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campanha complementar com respostas de IA simuladas e previamente controladas. Esta campanha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campanha complementar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aplica os intervalos existentes e exclui decisões como a lateralidade do pedido enviado à IA. Esta contenção corresponde a uma salvaguarda implementada; o seu efeito na compreensão ou na confiança permanece por medir.</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Assim, esta secção descreve uma especificação projectual e as funções efectivamente disponíveis. Clareza, carga cognitiva, aprendizagem e adequação aos diferentes perfis permanecem hipóteses para avaliação futura.</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tornam parte das dependências auditável,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proveniência, a incerteza e o estatuto de cada valor devem permanecer visíveis; a versão avaliada implementa apenas parte dessa comunicação.</w:t>
      </w:r>
    </w:p>
    <w:p>
      <w:pPr>
        <w:pStyle w:val="TextoNormal-IPCA"/>
      </w:pPr>
      <w:r>
        <w:t>A evidência disponível permite descrever a organização das decisões e identificar as salvaguardas incorporadas.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da branch </w:t>
      </w:r>
      <w:r>
        <w:t>staging</w:t>
      </w:r>
      <w:r>
        <w:t xml:space="preserve">, commit </w:t>
      </w:r>
      <w:r>
        <w:t>d5b6f0d5a41950663d54c70b9ab9bad7f8c2d53b</w:t>
      </w:r>
      <w:r>
        <w:t>, foi inspeccionada no fecho do estudo. A Tabela 8.1 distingue resultados executados nesta verificação, dados observados na base local e ensaios arquivados de versões anteriores.</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w:t>
            </w:r>
            <w:r>
              <w:t>models/models-config.json</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w:t>
            </w:r>
            <w:r>
              <w:t>data/app.db</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campanhas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A evidência de fabrico inclui 116 ficheiros 3MF gerados para três modelos e quatro idades, quatro projectos com parâmetros de preparação e fotografias de peças físicas. Os 116 ficheiros representam exportações digitais, distribuídas por placas combinadas e peças individuais; esse total não corresponde a 116 impressões físicas. Os quatro projectos encontram-se em docs/print-validation/bambulaba1_flexy_beast_teen_15_print.3mf, docs/print-validation/bambulaba1_unlimbed_phoenix_hand_teen_15_print_project.3mf, docs/print-validation/unlimbed_phoenix_hand_teen_15_print_project_PETG.3mf e docs/print-validation/prusa_mini_paraglider_15_teen_print_profile.3mf. Cada projecto identifica um caso adolescente de 15 anos, o material configurado e a impressora usada. Os parâmetros comparáveis foram mantidos nas restantes impressões, segundo os registos disponíveis.</w:t>
      </w:r>
    </w:p>
    <w:p>
      <w:pPr>
        <w:pStyle w:val="Legenda"/>
      </w:pPr>
      <w:r>
        <w:t>Tabela 8.2 — Projectos de preparação para impressão arquivados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pPr>
              <w:pStyle w:val="TextoNormal-IPCA"/>
              <w:jc w:val="center"/>
            </w:pPr>
            <w:r>
              <w:rPr>
                <w:b/>
              </w:rPr>
              <w:t>Modelo e cenário</w:t>
            </w:r>
          </w:p>
        </w:tc>
        <w:tc>
          <w:tcPr>
            <w:tcW w:w="0" w:type="auto"/>
          </w:tcPr>
          <w:p>
            <w:pPr>
              <w:pStyle w:val="TextoNormal-IPCA"/>
              <w:jc w:val="center"/>
            </w:pPr>
            <w:r>
              <w:rPr>
                <w:b/>
              </w:rPr>
              <w:t>Impressora e programa</w:t>
            </w:r>
          </w:p>
        </w:tc>
        <w:tc>
          <w:tcPr>
            <w:tcW w:w="0" w:type="auto"/>
          </w:tcPr>
          <w:p>
            <w:pPr>
              <w:pStyle w:val="TextoNormal-IPCA"/>
              <w:jc w:val="center"/>
            </w:pPr>
            <w:r>
              <w:rPr>
                <w:b/>
              </w:rPr>
              <w:t>Parâmetros principais</w:t>
            </w:r>
          </w:p>
        </w:tc>
        <w:tc>
          <w:tcPr>
            <w:tcW w:w="0" w:type="auto"/>
          </w:tcPr>
          <w:p>
            <w:pPr>
              <w:pStyle w:val="TextoNormal-IPCA"/>
              <w:jc w:val="center"/>
            </w:pPr>
            <w:r>
              <w:rPr>
                <w:b/>
              </w:rPr>
              <w:t>Evidência observada</w:t>
            </w:r>
          </w:p>
        </w:tc>
      </w:tr>
      <w:tr>
        <w:trPr>
          <w:cantSplit/>
        </w:trPr>
        <w:tc>
          <w:tcPr>
            <w:tcW w:w="0" w:type="auto"/>
          </w:tcPr>
          <w:p>
            <w:pPr>
              <w:pStyle w:val="TextoNormal-IPCA"/>
              <w:jc w:val="left"/>
            </w:pPr>
            <w:r>
              <w:t>Flexy Beast, 15 anos</w:t>
            </w:r>
          </w:p>
        </w:tc>
        <w:tc>
          <w:tcPr>
            <w:tcW w:w="0" w:type="auto"/>
          </w:tcPr>
          <w:p>
            <w:pPr>
              <w:pStyle w:val="TextoNormal-IPCA"/>
              <w:jc w:val="left"/>
            </w:pPr>
            <w:r>
              <w:t>Bambu Lab A1, Bambu Studio 1.10.02.76</w:t>
            </w:r>
          </w:p>
        </w:tc>
        <w:tc>
          <w:tcPr>
            <w:tcW w:w="0" w:type="auto"/>
          </w:tcPr>
          <w:p>
            <w:pPr>
              <w:pStyle w:val="TextoNormal-IPCA"/>
              <w:jc w:val="left"/>
            </w:pPr>
            <w:r>
              <w:t>Camada 0,24 mm; duas paredes; enchimento 15% em grelha; suporte em árvore; aba 5 mm; objectos atribuídos ao extrusor PLA</w:t>
            </w:r>
          </w:p>
        </w:tc>
        <w:tc>
          <w:tcPr>
            <w:tcW w:w="0" w:type="auto"/>
          </w:tcPr>
          <w:p>
            <w:pPr>
              <w:pStyle w:val="TextoNormal-IPCA"/>
              <w:jc w:val="left"/>
            </w:pPr>
            <w:r>
              <w:t>Dez segmentos digitais importados; programa regista 0 arestas corrigidas e 0 faces degeneradas</w:t>
            </w:r>
          </w:p>
        </w:tc>
      </w:tr>
      <w:tr>
        <w:trPr>
          <w:cantSplit/>
        </w:trPr>
        <w:tc>
          <w:tcPr>
            <w:tcW w:w="0" w:type="auto"/>
          </w:tcPr>
          <w:p>
            <w:pPr>
              <w:pStyle w:val="TextoNormal-IPCA"/>
              <w:jc w:val="left"/>
            </w:pPr>
            <w:r>
              <w:t>UnLimbited Phoenix, 15 anos</w:t>
            </w:r>
          </w:p>
        </w:tc>
        <w:tc>
          <w:tcPr>
            <w:tcW w:w="0" w:type="auto"/>
          </w:tcPr>
          <w:p>
            <w:pPr>
              <w:pStyle w:val="TextoNormal-IPCA"/>
              <w:jc w:val="left"/>
            </w:pPr>
            <w:r>
              <w:t>Bambu Lab A1, Bambu Studio 1.10.02.76</w:t>
            </w:r>
          </w:p>
        </w:tc>
        <w:tc>
          <w:tcPr>
            <w:tcW w:w="0" w:type="auto"/>
          </w:tcPr>
          <w:p>
            <w:pPr>
              <w:pStyle w:val="TextoNormal-IPCA"/>
              <w:jc w:val="left"/>
            </w:pPr>
            <w:r>
              <w:t>Dois projectos com camada de 0,24 mm, duas paredes e 15% de enchimento: peças atribuídas, respectivamente, a PLA e a Bambu PETG Basic; no PETG, bico a 255 °C e mesa a 70 °C</w:t>
            </w:r>
          </w:p>
        </w:tc>
        <w:tc>
          <w:tcPr>
            <w:tcW w:w="0" w:type="auto"/>
          </w:tcPr>
          <w:p>
            <w:pPr>
              <w:pStyle w:val="TextoNormal-IPCA"/>
              <w:jc w:val="left"/>
            </w:pPr>
            <w:r>
              <w:t>Oito conjuntos de peças em cada projecto; programa regista 0 arestas corrigidas e 0 faces degeneradas</w:t>
            </w:r>
          </w:p>
        </w:tc>
      </w:tr>
      <w:tr>
        <w:trPr>
          <w:cantSplit/>
        </w:trPr>
        <w:tc>
          <w:tcPr>
            <w:tcW w:w="0" w:type="auto"/>
          </w:tcPr>
          <w:p>
            <w:pPr>
              <w:pStyle w:val="TextoNormal-IPCA"/>
              <w:jc w:val="left"/>
            </w:pPr>
            <w:r>
              <w:t>Paraglider Hand, 15 anos</w:t>
            </w:r>
          </w:p>
        </w:tc>
        <w:tc>
          <w:tcPr>
            <w:tcW w:w="0" w:type="auto"/>
          </w:tcPr>
          <w:p>
            <w:pPr>
              <w:pStyle w:val="TextoNormal-IPCA"/>
              <w:jc w:val="left"/>
            </w:pPr>
            <w:r>
              <w:t>Prusa MINI, PrusaSlicer 2.8.1</w:t>
            </w:r>
          </w:p>
        </w:tc>
        <w:tc>
          <w:tcPr>
            <w:tcW w:w="0" w:type="auto"/>
          </w:tcPr>
          <w:p>
            <w:pPr>
              <w:pStyle w:val="TextoNormal-IPCA"/>
              <w:jc w:val="left"/>
            </w:pPr>
            <w:r>
              <w:t>Camada 0,20 mm; duas paredes; enchimento 15% em grelha; PLA; bico 0,4 mm; mesa 60 °C; suporte e aba desactivados</w:t>
            </w:r>
          </w:p>
        </w:tc>
        <w:tc>
          <w:tcPr>
            <w:tcW w:w="0" w:type="auto"/>
          </w:tcPr>
          <w:p>
            <w:pPr>
              <w:pStyle w:val="TextoNormal-IPCA"/>
              <w:jc w:val="left"/>
            </w:pPr>
            <w:r>
              <w:t>Projecto 3MF com configuração da impressora, do filamento e da placa</w:t>
            </w:r>
          </w:p>
        </w:tc>
      </w:tr>
    </w:tbl>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220"/>
        <w:gridCol w:w="850"/>
        <w:gridCol w:w="1050"/>
        <w:gridCol w:w="720"/>
        <w:gridCol w:w="800"/>
        <w:gridCol w:w="1760"/>
      </w:tblGrid>
      <w:tr>
        <w:trPr>
          <w:tblHeader/>
          <w:cantSplit/>
        </w:trPr>
        <w:tc>
          <w:tcPr>
            <w:tcW w:w="1220" w:type="dxa"/>
          </w:tcPr>
          <w:p>
            <w:pPr>
              <w:pStyle w:val="TextoNormal-IPCA"/>
              <w:jc w:val="center"/>
            </w:pPr>
            <w:r>
              <w:rPr>
                <w:b/>
                <w:sz w:val="18"/>
                <w:szCs w:val="18"/>
              </w:rPr>
              <w:t>Modelo e peça</w:t>
            </w:r>
          </w:p>
        </w:tc>
        <w:tc>
          <w:tcPr>
            <w:tcW w:w="850" w:type="dxa"/>
          </w:tcPr>
          <w:p>
            <w:pPr>
              <w:pStyle w:val="TextoNormal-IPCA"/>
              <w:jc w:val="center"/>
            </w:pPr>
            <w:r>
              <w:rPr>
                <w:b/>
                <w:sz w:val="18"/>
                <w:szCs w:val="18"/>
              </w:rPr>
              <w:t>Fecho</w:t>
            </w:r>
          </w:p>
        </w:tc>
        <w:tc>
          <w:tcPr>
            <w:tcW w:w="1050" w:type="dxa"/>
          </w:tcPr>
          <w:p>
            <w:pPr>
              <w:pStyle w:val="TextoNormal-IPCA"/>
              <w:jc w:val="center"/>
            </w:pPr>
            <w:r>
              <w:rPr>
                <w:b/>
                <w:sz w:val="18"/>
                <w:szCs w:val="18"/>
              </w:rPr>
              <w:t>Múltiplos corpos</w:t>
            </w:r>
          </w:p>
        </w:tc>
        <w:tc>
          <w:tcPr>
            <w:tcW w:w="720" w:type="dxa"/>
          </w:tcPr>
          <w:p>
            <w:pPr>
              <w:pStyle w:val="TextoNormal-IPCA"/>
              <w:jc w:val="center"/>
            </w:pPr>
            <w:r>
              <w:rPr>
                <w:b/>
                <w:sz w:val="18"/>
                <w:szCs w:val="18"/>
              </w:rPr>
              <w:t>N.º de corpos</w:t>
            </w:r>
          </w:p>
        </w:tc>
        <w:tc>
          <w:tcPr>
            <w:tcW w:w="800" w:type="dxa"/>
          </w:tcPr>
          <w:p>
            <w:pPr>
              <w:pStyle w:val="TextoNormal-IPCA"/>
              <w:jc w:val="center"/>
            </w:pPr>
            <w:r>
              <w:rPr>
                <w:b/>
                <w:sz w:val="18"/>
                <w:szCs w:val="18"/>
              </w:rPr>
              <w:t>Faces nulas</w:t>
            </w:r>
          </w:p>
        </w:tc>
        <w:tc>
          <w:tcPr>
            <w:tcW w:w="1760" w:type="dxa"/>
          </w:tcPr>
          <w:p>
            <w:pPr>
              <w:pStyle w:val="TextoNormal-IPCA"/>
              <w:jc w:val="center"/>
            </w:pPr>
            <w:r>
              <w:rPr>
                <w:b/>
                <w:sz w:val="18"/>
                <w:szCs w:val="18"/>
              </w:rPr>
              <w:t>Interpretação</w:t>
            </w:r>
          </w:p>
        </w:tc>
      </w:tr>
      <w:tr>
        <w:trPr>
          <w:cantSplit/>
        </w:trPr>
        <w:tc>
          <w:tcPr>
            <w:tcW w:w="1220" w:type="dxa"/>
          </w:tcPr>
          <w:p>
            <w:pPr>
              <w:pStyle w:val="TextoNormal-IPCA"/>
              <w:jc w:val="left"/>
            </w:pPr>
            <w:r>
              <w:rPr>
                <w:sz w:val="18"/>
                <w:szCs w:val="18"/>
              </w:rPr>
              <w:t>Flexy Beast,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Malha fechada segundo os critérios usados</w:t>
            </w:r>
          </w:p>
        </w:tc>
      </w:tr>
      <w:tr>
        <w:trPr>
          <w:cantSplit/>
        </w:trPr>
        <w:tc>
          <w:tcPr>
            <w:tcW w:w="1220" w:type="dxa"/>
          </w:tcPr>
          <w:p>
            <w:pPr>
              <w:pStyle w:val="TextoNormal-IPCA"/>
              <w:jc w:val="left"/>
            </w:pPr>
            <w:r>
              <w:rPr>
                <w:sz w:val="18"/>
                <w:szCs w:val="18"/>
              </w:rPr>
              <w:t>Flexy Beast, dedo médio</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3</w:t>
            </w:r>
          </w:p>
        </w:tc>
        <w:tc>
          <w:tcPr>
            <w:tcW w:w="800" w:type="dxa"/>
          </w:tcPr>
          <w:p>
            <w:pPr>
              <w:pStyle w:val="TextoNormal-IPCA"/>
              <w:jc w:val="left"/>
            </w:pPr>
            <w:r>
              <w:rPr>
                <w:sz w:val="18"/>
                <w:szCs w:val="18"/>
              </w:rPr>
              <w:t>0</w:t>
            </w:r>
          </w:p>
        </w:tc>
        <w:tc>
          <w:tcPr>
            <w:tcW w:w="1760" w:type="dxa"/>
          </w:tcPr>
          <w:p>
            <w:pPr>
              <w:pStyle w:val="TextoNormal-IPCA"/>
              <w:jc w:val="left"/>
            </w:pPr>
            <w:r>
              <w:rPr>
                <w:sz w:val="18"/>
                <w:szCs w:val="18"/>
              </w:rPr>
              <w:t>Três corpos fechados, coerentes com a construção segmentada</w:t>
            </w:r>
          </w:p>
        </w:tc>
      </w:tr>
      <w:tr>
        <w:trPr>
          <w:cantSplit/>
        </w:trPr>
        <w:tc>
          <w:tcPr>
            <w:tcW w:w="1220" w:type="dxa"/>
          </w:tcPr>
          <w:p>
            <w:pPr>
              <w:pStyle w:val="TextoNormal-IPCA"/>
              <w:jc w:val="left"/>
            </w:pPr>
            <w:r>
              <w:rPr>
                <w:sz w:val="18"/>
                <w:szCs w:val="18"/>
              </w:rPr>
              <w:t>Paraglider Hand, palma</w:t>
            </w:r>
          </w:p>
        </w:tc>
        <w:tc>
          <w:tcPr>
            <w:tcW w:w="850" w:type="dxa"/>
          </w:tcPr>
          <w:p>
            <w:pPr>
              <w:pStyle w:val="TextoNormal-IPCA"/>
              <w:jc w:val="left"/>
            </w:pPr>
            <w:r>
              <w:rPr>
                <w:sz w:val="18"/>
                <w:szCs w:val="18"/>
              </w:rPr>
              <w:t>Sim</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1</w:t>
            </w:r>
          </w:p>
        </w:tc>
        <w:tc>
          <w:tcPr>
            <w:tcW w:w="800" w:type="dxa"/>
          </w:tcPr>
          <w:p>
            <w:pPr>
              <w:pStyle w:val="TextoNormal-IPCA"/>
              <w:jc w:val="left"/>
            </w:pPr>
            <w:r>
              <w:rPr>
                <w:sz w:val="18"/>
                <w:szCs w:val="18"/>
              </w:rPr>
              <w:t>142</w:t>
            </w:r>
          </w:p>
        </w:tc>
        <w:tc>
          <w:tcPr>
            <w:tcW w:w="1760" w:type="dxa"/>
          </w:tcPr>
          <w:p>
            <w:pPr>
              <w:pStyle w:val="TextoNormal-IPCA"/>
              <w:jc w:val="left"/>
            </w:pPr>
            <w:r>
              <w:rPr>
                <w:sz w:val="18"/>
                <w:szCs w:val="18"/>
              </w:rPr>
              <w:t>O fatiamento pode aceitar a peça, mas a malha contém faces degeneradas</w:t>
            </w:r>
          </w:p>
        </w:tc>
      </w:tr>
      <w:tr>
        <w:trPr>
          <w:cantSplit/>
        </w:trPr>
        <w:tc>
          <w:tcPr>
            <w:tcW w:w="1220" w:type="dxa"/>
          </w:tcPr>
          <w:p>
            <w:pPr>
              <w:pStyle w:val="TextoNormal-IPCA"/>
              <w:jc w:val="left"/>
            </w:pPr>
            <w:r>
              <w:rPr>
                <w:sz w:val="18"/>
                <w:szCs w:val="18"/>
              </w:rPr>
              <w:t>Paraglider Hand, dedo médio</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Sim</w:t>
            </w:r>
          </w:p>
        </w:tc>
        <w:tc>
          <w:tcPr>
            <w:tcW w:w="720" w:type="dxa"/>
          </w:tcPr>
          <w:p>
            <w:pPr>
              <w:pStyle w:val="TextoNormal-IPCA"/>
              <w:jc w:val="left"/>
            </w:pPr>
            <w:r>
              <w:rPr>
                <w:sz w:val="18"/>
                <w:szCs w:val="18"/>
              </w:rPr>
              <w:t>4</w:t>
            </w:r>
          </w:p>
        </w:tc>
        <w:tc>
          <w:tcPr>
            <w:tcW w:w="800" w:type="dxa"/>
          </w:tcPr>
          <w:p>
            <w:pPr>
              <w:pStyle w:val="TextoNormal-IPCA"/>
              <w:jc w:val="left"/>
            </w:pPr>
            <w:r>
              <w:rPr>
                <w:sz w:val="18"/>
                <w:szCs w:val="18"/>
              </w:rPr>
              <w:t>26</w:t>
            </w:r>
          </w:p>
        </w:tc>
        <w:tc>
          <w:tcPr>
            <w:tcW w:w="1760" w:type="dxa"/>
          </w:tcPr>
          <w:p>
            <w:pPr>
              <w:pStyle w:val="TextoNormal-IPCA"/>
              <w:jc w:val="left"/>
            </w:pPr>
            <w:r>
              <w:rPr>
                <w:sz w:val="18"/>
                <w:szCs w:val="18"/>
              </w:rPr>
              <w:t>Requer inspecção ou reparação antes de uma conclusão sobre qualidade geométrica</w:t>
            </w:r>
          </w:p>
        </w:tc>
      </w:tr>
      <w:tr>
        <w:trPr>
          <w:cantSplit/>
        </w:trPr>
        <w:tc>
          <w:tcPr>
            <w:tcW w:w="1220" w:type="dxa"/>
          </w:tcPr>
          <w:p>
            <w:pPr>
              <w:pStyle w:val="TextoNormal-IPCA"/>
              <w:jc w:val="left"/>
            </w:pPr>
            <w:r>
              <w:rPr>
                <w:sz w:val="18"/>
                <w:szCs w:val="18"/>
              </w:rPr>
              <w:t>UnLimbited Phoenix, palma</w:t>
            </w:r>
          </w:p>
        </w:tc>
        <w:tc>
          <w:tcPr>
            <w:tcW w:w="850" w:type="dxa"/>
          </w:tcPr>
          <w:p>
            <w:pPr>
              <w:pStyle w:val="TextoNormal-IPCA"/>
              <w:jc w:val="left"/>
            </w:pPr>
            <w:r>
              <w:rPr>
                <w:sz w:val="18"/>
                <w:szCs w:val="18"/>
              </w:rPr>
              <w:t>Não</w:t>
            </w:r>
          </w:p>
        </w:tc>
        <w:tc>
          <w:tcPr>
            <w:tcW w:w="1050" w:type="dxa"/>
          </w:tcPr>
          <w:p>
            <w:pPr>
              <w:pStyle w:val="TextoNormal-IPCA"/>
              <w:jc w:val="left"/>
            </w:pPr>
            <w:r>
              <w:rPr>
                <w:sz w:val="18"/>
                <w:szCs w:val="18"/>
              </w:rPr>
              <w:t>Não</w:t>
            </w:r>
          </w:p>
        </w:tc>
        <w:tc>
          <w:tcPr>
            <w:tcW w:w="720" w:type="dxa"/>
          </w:tcPr>
          <w:p>
            <w:pPr>
              <w:pStyle w:val="TextoNormal-IPCA"/>
              <w:jc w:val="left"/>
            </w:pPr>
            <w:r>
              <w:rPr>
                <w:sz w:val="18"/>
                <w:szCs w:val="18"/>
              </w:rPr>
              <w:t>5</w:t>
            </w:r>
          </w:p>
        </w:tc>
        <w:tc>
          <w:tcPr>
            <w:tcW w:w="800" w:type="dxa"/>
          </w:tcPr>
          <w:p>
            <w:pPr>
              <w:pStyle w:val="TextoNormal-IPCA"/>
              <w:jc w:val="left"/>
            </w:pPr>
            <w:r>
              <w:rPr>
                <w:sz w:val="18"/>
                <w:szCs w:val="18"/>
              </w:rPr>
              <w:t>6</w:t>
            </w:r>
          </w:p>
        </w:tc>
        <w:tc>
          <w:tcPr>
            <w:tcW w:w="1760" w:type="dxa"/>
          </w:tcPr>
          <w:p>
            <w:pPr>
              <w:pStyle w:val="TextoNormal-IPCA"/>
              <w:jc w:val="left"/>
            </w:pPr>
            <w:r>
              <w:rPr>
                <w:sz w:val="18"/>
                <w:szCs w:val="18"/>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t>trimesh</w:t>
      </w:r>
      <w:r>
        <w:t>. A diferença entre os registos deve ser mantida, pois nenhum dos resultados autoriza a concluir que todas as variantes de cada modelo possuem a mesma qualidade de malha.</w:t>
      </w:r>
    </w:p>
    <w:p>
      <w:pPr>
        <w:pStyle w:val="Normal"/>
        <w:jc w:val="center"/>
      </w:pPr>
      <w:r>
        <w:drawing>
          <wp:inline distT="0" distB="0" distL="0" distR="0">
            <wp:extent cx="5579745" cy="9922646"/>
            <wp:docPr id="21" name="Image 21" descr="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descr="Image 21"/>
                    <pic:cNvPicPr/>
                  </pic:nvPicPr>
                  <pic:blipFill>
                    <a:blip r:embed="rId42"/>
                    <a:stretch>
                      <a:fillRect/>
                    </a:stretch>
                  </pic:blipFill>
                  <pic:spPr>
                    <a:xfrm>
                      <a:off x="0" y="0"/>
                      <a:ext cx="5579745" cy="9922646"/>
                    </a:xfrm>
                    <a:prstGeom prst="rect">
                      <a:avLst/>
                    </a:prstGeom>
                  </pic:spPr>
                </pic:pic>
              </a:graphicData>
            </a:graphic>
          </wp:inline>
        </w:drawing>
      </w:r>
    </w:p>
    <w:p>
      <w:pPr>
        <w:pStyle w:val="Legenda"/>
      </w:pPr>
      <w:r>
        <w:t>Figura 8.1 — Segmentos do Flexy Beast produzidos e assentes na plataforma da Bambu Lab A1.</w:t>
      </w:r>
    </w:p>
    <w:p>
      <w:pPr>
        <w:pStyle w:val="Nota-IPCA"/>
      </w:pPr>
      <w:r>
        <w:t>Fonte: produção própria.</w:t>
      </w:r>
    </w:p>
    <w:p>
      <w:pPr>
        <w:pStyle w:val="Normal"/>
        <w:jc w:val="center"/>
      </w:pPr>
      <w:r>
        <w:drawing>
          <wp:inline distT="0" distB="0" distL="0" distR="0">
            <wp:extent cx="5579745" cy="3133956"/>
            <wp:docPr id="22" name="Image 22" descr="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Image 22"/>
                    <pic:cNvPicPr/>
                  </pic:nvPicPr>
                  <pic:blipFill>
                    <a:blip r:embed="rId43"/>
                    <a:stretch>
                      <a:fillRect/>
                    </a:stretch>
                  </pic:blipFill>
                  <pic:spPr>
                    <a:xfrm>
                      <a:off x="0" y="0"/>
                      <a:ext cx="5579745" cy="3133956"/>
                    </a:xfrm>
                    <a:prstGeom prst="rect">
                      <a:avLst/>
                    </a:prstGeom>
                  </pic:spPr>
                </pic:pic>
              </a:graphicData>
            </a:graphic>
          </wp:inline>
        </w:drawing>
      </w:r>
    </w:p>
    <w:p>
      <w:pPr>
        <w:pStyle w:val="Legenda"/>
      </w:pPr>
      <w:r>
        <w:t>Figura 8.2 — Série física de segmentos Flexy Beast identificados pelas idades simuladas de 8, 15, 28 e 70 anos. A imagem permite comparar escala e conclusão das peças, sem constituir medição dimensional ou ensaio mecânico.</w:t>
      </w:r>
    </w:p>
    <w:p>
      <w:pPr>
        <w:pStyle w:val="Nota-IPCA"/>
      </w:pPr>
      <w:r>
        <w:t>Fonte: produção própria.</w:t>
      </w:r>
    </w:p>
    <w:p>
      <w:pPr>
        <w:pStyle w:val="Normal"/>
        <w:jc w:val="center"/>
      </w:pPr>
      <w:r>
        <w:drawing>
          <wp:inline distT="0" distB="0" distL="0" distR="0">
            <wp:extent cx="5579745" cy="3133956"/>
            <wp:docPr id="23" name="Image 23" descr="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Image 23"/>
                    <pic:cNvPicPr/>
                  </pic:nvPicPr>
                  <pic:blipFill>
                    <a:blip r:embed="rId44"/>
                    <a:stretch>
                      <a:fillRect/>
                    </a:stretch>
                  </pic:blipFill>
                  <pic:spPr>
                    <a:xfrm>
                      <a:off x="0" y="0"/>
                      <a:ext cx="5579745" cy="3133956"/>
                    </a:xfrm>
                    <a:prstGeom prst="rect">
                      <a:avLst/>
                    </a:prstGeom>
                  </pic:spPr>
                </pic:pic>
              </a:graphicData>
            </a:graphic>
          </wp:inline>
        </w:drawing>
      </w:r>
    </w:p>
    <w:p>
      <w:pPr>
        <w:pStyle w:val="Legenda"/>
      </w:pPr>
      <w:r>
        <w:t>Figura 8.3 — Série física de segmentos Paraglider Hand identificados pelas idades simuladas de 8, 15, 28 e 70 anos. A imagem documenta a transição para peças físicas e não demonstra ajuste anatómico.</w:t>
      </w:r>
    </w:p>
    <w:p>
      <w:pPr>
        <w:pStyle w:val="Nota-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Normal"/>
        <w:jc w:val="center"/>
      </w:pPr>
      <w:r>
        <w:drawing>
          <wp:inline distT="0" distB="0" distL="0" distR="0">
            <wp:extent cx="5579745" cy="3487340"/>
            <wp:docPr id="24" name="Image 24" descr="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Image 24"/>
                    <pic:cNvPicPr/>
                  </pic:nvPicPr>
                  <pic:blipFill>
                    <a:blip r:embed="rId45"/>
                    <a:stretch>
                      <a:fillRect/>
                    </a:stretch>
                  </pic:blipFill>
                  <pic:spPr>
                    <a:xfrm>
                      <a:off x="0" y="0"/>
                      <a:ext cx="5579745" cy="3487340"/>
                    </a:xfrm>
                    <a:prstGeom prst="rect">
                      <a:avLst/>
                    </a:prstGeom>
                  </pic:spPr>
                </pic:pic>
              </a:graphicData>
            </a:graphic>
          </wp:inline>
        </w:drawing>
      </w:r>
    </w:p>
    <w:p>
      <w:pPr>
        <w:pStyle w:val="Legenda"/>
      </w:pPr>
      <w:r>
        <w:t>Figura 8.4 — Tarefas funcionais usadas em avaliação de prótese personalizada de membro superior.</w:t>
      </w:r>
    </w:p>
    <w:p>
      <w:pPr>
        <w:pStyle w:val="Nota-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simulados,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prompts registados em </w:t>
      </w:r>
      <w:r>
        <w:t>docs/ai_anthropometric_validation.md</w:t>
      </w:r>
      <w:r>
        <w:t xml:space="preserve">, dos metadados em </w:t>
      </w:r>
      <w:r>
        <w:t>docs/flexy-beast-ai-sim/run-metadata.json</w:t>
      </w:r>
      <w:r>
        <w:t xml:space="preserve">, </w:t>
      </w:r>
      <w:r>
        <w:t>docs/paraglider-ai-sim/run-metadata.json</w:t>
      </w:r>
      <w:r>
        <w:t xml:space="preserve"> e </w:t>
      </w:r>
      <w:r>
        <w:t>docs/phoenix-ai-sim/run-metadata.json</w:t>
      </w:r>
      <w:r>
        <w:t xml:space="preserve">, e dos cenários em </w:t>
      </w:r>
      <w:r>
        <w:t>docs/ucd-ai-sim/</w:t>
      </w:r>
      <w:r>
        <w:t>. A coluna apresenta a descrição do caso simulado enviada no pedido; o pedido completo incluía o esquema actual do modelo, os intervalos permitidos e a instrução de devolver apenas JSON válido.</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simulados: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os rácios apresentados são adimensionais. Um valor de 1,000 corresponde à dimensão da configuração de referência; valores inferiores indicam redução e valores superiores indicam aumento face a essa configuração.</w:t>
      </w:r>
    </w:p>
    <w:p>
      <w:pPr>
        <w:pStyle w:val="TextoNormal-IPCA"/>
      </w:pPr>
      <w:r>
        <w:t>Os resultados mostraram que o Flexy Beast e o Paraglider Hand responderam de forma semelhante aos mesmos perfis, reduzindo ou aumentando a maior dimensão da palma. O perfil infantil produziu rácios de 0,761 e 0,747 face ao valor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Rácio adimensional da maior dimensão da palma exportada face ao valor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rácio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2"/>
        <w:numPr>
          <w:ilvl w:val="1"/>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Cabealho1"/>
        <w:pageBreakBefore/>
        <w:numPr>
          <w:ilvl w:val="0"/>
          <w:numId w:val="0"/>
        </w:numPr>
      </w:pPr>
      <w:r>
        <w:t>Capítulo 9 — Conclusões e Trabalhos Futuros</w:t>
      </w:r>
    </w:p>
    <w:p>
      <w:pPr>
        <w:pStyle w:val="Cabealho2"/>
        <w:numPr>
          <w:ilvl w:val="1"/>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o design paramétrico e a IA apoiaram a configuração preliminar através de funções distintas. O esquema definiu nomes, tipos, intervalos e valores correntes; a IA propôs conjuntos iniciais de parâmetros nos casos arquivados; as regras determinísticas controlaram a lateralidade e a geração geométrica; e a decisão final permaneceu sob responsabilidade humana. Esta distribuição tornou explícito o limite da IA como mecanismo de sugestão. Conforto, ajuste individual e desempenho funcional ficaram fora da avaliação.</w:t>
      </w:r>
    </w:p>
    <w:p>
      <w:pPr>
        <w:pStyle w:val="TextoNormal-IPCA"/>
      </w:pPr>
      <w:r>
        <w:t>Quanto à segunda pergunta, a combinação de ciclos de Research Through Design, ensaios unitários, cenários simulados, inspecção de respostas JSON, medição de malhas, exportação, preparação em programas de fatiamento e observação de peças físicas permitiu examinar diferentes etapas do mesmo percurso. A análise revelou falhas de correspondência populacional, lateralidade, propagação de escala, limites mínimos e integridade de malha. Cada método incidiu sobre um objecto específico e, em conjunto, permitiram relacionar valores, geometria e materialização. Ensaios dimensionais das peças, séries controladas, resistência e avaliação clínica exigem protocolos posteriores.</w:t>
      </w:r>
    </w:p>
    <w:p>
      <w:pPr>
        <w:pStyle w:val="TextoNormal-IPCA"/>
      </w:pPr>
      <w:r>
        <w:t>Quanto à terceira pergunta, o design industrial articulou os componentes através da organização dos parâmetros por função, da definição de permissões, da apresentação da geometria e da sequência entre configuração, visualização, exportação e preparação para fabrico. A arquitectura separou interface, persistência, sugestão por IA e processamento geométrico no navegador. Esta separação permitiu localizar a origem de cada transformação e reservar decisões críticas para regras ou pessoas responsáveis.</w:t>
      </w:r>
    </w:p>
    <w:p>
      <w:pPr>
        <w:pStyle w:val="TextoNormal-IPCA"/>
      </w:pPr>
      <w:r>
        <w:t>A hipótese principal recebeu apoio nos três modelos comparados: o sistema completou o fluxo entre configuração, geração, exportação e preparação, embora com limites próprios de cada biblioteca. As hipóteses secundárias foram igualmente apoiadas pelos casos estudados. O controlo independente expôs relações ocultadas pelo escalonamento uniforme; a IA forneceu pontos de partida dentro do esquema, mas revelou uma falha sistemática de lateralidade; e a análise das malhas e dos protótipos identificou problemas ausentes da resposta numérica. Estas conclusões permanecem circunscritas às versões, cenários e condições documentadas.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2"/>
        <w:numPr>
          <w:ilvl w:val="1"/>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branch </w:t>
      </w:r>
      <w:r>
        <w:t>staging</w:t>
      </w:r>
      <w:r>
        <w:t xml:space="preserve"> foi inspeccionada e os dez ensaios unitários disponíveis foram concluídos, mas a bateria completa no navegador não foi novamente executada no fecho da dissertação.</w:t>
      </w:r>
    </w:p>
    <w:p>
      <w:pPr>
        <w:pStyle w:val="TextoNormal-IPCA"/>
      </w:pPr>
      <w:r>
        <w:t>A avaliação física baseia-se em três perfis de preparação, configurações reutilizadas noutras impressões e registo fotográfico das peças. Não existem medições dimensionais sistemáticas das peças, comparação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2"/>
        <w:numPr>
          <w:ilvl w:val="1"/>
          <w:numId w:val="0"/>
        </w:numPr>
      </w:pPr>
      <w:r>
        <w:t>9.4 Trabalho futuro</w:t>
      </w:r>
    </w:p>
    <w:p>
      <w:pPr>
        <w:pStyle w:val="TextoNormal-IPCA"/>
      </w:pPr>
      <w:r>
        <w:t>A primeira etapa futura deve criar uma referência dimensional verificável. Para cada perfil, devem registar-se medidas de entrada, dimensões da malha e dimensões da peça impressa nos mesmos pontos anatómicos, com instrumentos, tolerâncias e critérios de aceitação definidos. Esta etapa permitiria quantificar os desvios introduzidos pela modelação, exportação, fatiamento e impressão.</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avaliar fabrico e função por protocolos separados. Os ensaios devem comparar materiais e impressoras com corpos de prova e componentes equivalentes, medir folgas e montagem, e aplicar testes de carga, fadiga e desgaste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w:t>
      </w:r>
      <w:r>
        <w:t>data/multi_population_hand.csv</w:t>
      </w:r>
      <w:r>
        <w:t>, repositório da plataforma.</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Cabealho2"/>
        <w:numPr>
          <w:ilvl w:val="1"/>
          <w:numId w:val="0"/>
        </w:numPr>
      </w:pPr>
      <w:r>
        <w:t>A.1 Contexto e Objectivo</w:t>
      </w:r>
    </w:p>
    <w:p>
      <w:pPr>
        <w:pStyle w:val="Bibliografia"/>
        <w:jc w:val="left"/>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Bibliografia"/>
        <w:jc w:val="left"/>
      </w:pPr>
      <w:r>
        <w:t>Foram produzidos três ficheiros CSV complementares:</w:t>
      </w:r>
    </w:p>
    <w:p>
      <w:pPr>
        <w:pStyle w:val="Bibliografia"/>
        <w:jc w:val="left"/>
      </w:pPr>
      <w:r>
        <w:t xml:space="preserve">- </w:t>
      </w:r>
      <w:r>
        <w:t>data/ansur_1988_complete.csv</w:t>
      </w:r>
      <w:r>
        <w:t xml:space="preserve"> — 2.726 linhas de dados, 47 dimensões corporais do estudo ANSUR 1988 (Gordon et al., 1989), população militar norte-americana</w:t>
      </w:r>
    </w:p>
    <w:p>
      <w:pPr>
        <w:pStyle w:val="Bibliografia"/>
        <w:jc w:val="left"/>
      </w:pPr>
      <w:r>
        <w:t xml:space="preserve">- </w:t>
      </w:r>
      <w:r>
        <w:t>data/ansur_1988_hand_arm.csv</w:t>
      </w:r>
      <w:r>
        <w:t xml:space="preserve"> — 696 linhas de dados, subconjunto do ANSUR restrito às medições da mão, antebraço e braço</w:t>
      </w:r>
    </w:p>
    <w:p>
      <w:pPr>
        <w:pStyle w:val="Bibliografia"/>
        <w:jc w:val="left"/>
      </w:pPr>
      <w:r>
        <w:t xml:space="preserve">- </w:t>
      </w:r>
      <w:r>
        <w:t>data/multi_population_hand.csv</w:t>
      </w:r>
      <w:r>
        <w:t xml:space="preserve"> — 1.790 linhas de dados, provenientes de fontes e subconjuntos populacionais de nove países</w:t>
      </w:r>
    </w:p>
    <w:p>
      <w:pPr>
        <w:pStyle w:val="Cabealho2"/>
        <w:numPr>
          <w:ilvl w:val="1"/>
          <w:numId w:val="0"/>
        </w:numPr>
      </w:pPr>
      <w:r>
        <w:t>A.1.1 Localização, versão e integridade dos ficheiros</w:t>
      </w:r>
    </w:p>
    <w:p>
      <w:pPr>
        <w:pStyle w:val="Bibliografia"/>
        <w:jc w:val="left"/>
      </w:pPr>
      <w:r>
        <w:t>Os três CSV e os dois scripts de geração foram depositados com a dissertação em sources/manuscript/annexes/dados_antropometricos_v14.67.0/. O suplemento corresponde ao estado versionado da plataforma HandFab 14.67.0, confirmação Git bcef0db, anterior às alterações experimentais posteriores. A pasta inclui README.md, com a origem e o procedimento de regeneração, e SHA256SUMS, para verificar a integridade dos cinco artefactos.</w:t>
      </w:r>
    </w:p>
    <w:p>
      <w:pPr>
        <w:pStyle w:val="Bibliografia"/>
        <w:jc w:val="left"/>
      </w:pPr>
      <w:r>
        <w:t>• ansur_1988_complete.csv — 88575ef62771f8be1abefeba070426d4eab3d6a4005618b064df603024ccff4d</w:t>
      </w:r>
    </w:p>
    <w:p>
      <w:pPr>
        <w:pStyle w:val="Bibliografia"/>
        <w:jc w:val="left"/>
      </w:pPr>
      <w:r>
        <w:t>• ansur_1988_hand_arm.csv — 82a010b2b38579b11c0eaa3d9488895350807647220c30c78650331297f8c503</w:t>
      </w:r>
    </w:p>
    <w:p>
      <w:pPr>
        <w:pStyle w:val="Bibliografia"/>
        <w:jc w:val="left"/>
      </w:pPr>
      <w:r>
        <w:t>• multi_population_hand.csv — 65b7e8b88e7d1abb3460342179f7360f2b69df8b77c8f6a992881eb496999a8f</w:t>
      </w:r>
    </w:p>
    <w:p>
      <w:pPr>
        <w:pStyle w:val="Bibliografia"/>
        <w:jc w:val="left"/>
      </w:pPr>
      <w:r>
        <w:t>• generate_ansur_csv.py — 63eae7b39a9e47054be1ae2cec8a8035f419cb50a78c818eb296f640eb9639d3</w:t>
      </w:r>
    </w:p>
    <w:p>
      <w:pPr>
        <w:pStyle w:val="Bibliografia"/>
        <w:jc w:val="left"/>
      </w:pPr>
      <w:r>
        <w:t>• generate_multi_population_hand_csv.py — 5ab4fcba62a4c001ff8347c8858b28631537aadc0ad4bf8aa4cb75b96a949ae3</w:t>
      </w:r>
    </w:p>
    <w:p>
      <w:pPr>
        <w:pStyle w:val="Bibliografia"/>
        <w:jc w:val="left"/>
      </w:pPr>
      <w:r>
        <w:t>Em 13 de Julho de 2026, os dois scripts foram executados novamente dentro da pasta suplementar. A regeneração produziu 2.726 linhas de dados no ficheiro ANSUR completo, 696 no subconjunto mão–braço e 1.790 na base multipopulacional; a verificação com sha256sum -c SHA256SUMS confirmou correspondência integral dos cinco ficheiros. Estes resultados demonstram repetibilidade técnica no mesmo ambiente e estado de código, não reprodução independente por outra equipa.</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2"/>
        <w:numPr>
          <w:ilvl w:val="1"/>
          <w:numId w:val="0"/>
        </w:numPr>
      </w:pPr>
      <w:r>
        <w:t>A.8 Escrita do Código de Geração</w:t>
      </w:r>
    </w:p>
    <w:p>
      <w:pPr>
        <w:pStyle w:val="Bibliografia"/>
        <w:jc w:val="left"/>
      </w:pPr>
      <w:r>
        <w:t>Os dados foram codificados em dois scripts Python independentes:</w:t>
      </w:r>
    </w:p>
    <w:p>
      <w:pPr>
        <w:pStyle w:val="Bibliografia"/>
        <w:jc w:val="left"/>
      </w:pPr>
      <w:r>
        <w:t xml:space="preserve">- </w:t>
      </w:r>
      <w:r>
        <w:t>data/generate_ansur_csv.py</w:t>
      </w:r>
      <w:r>
        <w:t xml:space="preserve"> — gera </w:t>
      </w:r>
      <w:r>
        <w:t>data/ansur_1988_complete.csv</w:t>
      </w:r>
      <w:r>
        <w:t xml:space="preserve"> e </w:t>
      </w:r>
      <w:r>
        <w:t>data/ansur_1988_hand_arm.csv</w:t>
      </w:r>
      <w:r>
        <w:t xml:space="preserve"> a partir de dicionários Python incorporados no script, um por tabela do relatório ANSUR</w:t>
      </w:r>
    </w:p>
    <w:p>
      <w:pPr>
        <w:pStyle w:val="Bibliografia"/>
        <w:jc w:val="left"/>
      </w:pPr>
      <w:r>
        <w:t xml:space="preserve">- </w:t>
      </w:r>
      <w:r>
        <w:t>data/generate_multi_population_hand_csv.py</w:t>
      </w:r>
      <w:r>
        <w:t xml:space="preserve"> — gera </w:t>
      </w:r>
      <w:r>
        <w:t>data/multi_population_hand.csv</w:t>
      </w:r>
      <w:r>
        <w:t xml:space="preserve"> a partir de secções correspondentes às fontes e aos subconjuntos incluídos</w:t>
      </w:r>
    </w:p>
    <w:p>
      <w:pPr>
        <w:pStyle w:val="Bibliografia"/>
        <w:jc w:val="left"/>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Bibliografia"/>
        <w:jc w:val="left"/>
      </w:pPr>
      <w:r>
        <w:t>O script aplica automaticamente as conversões de unidade, calcula valuein a partir de valuecm, e valida que nenhuma linha é emitida sem pelo menos uma das colunas valuemm ou valuecm preenchida.</w:t>
      </w:r>
    </w:p>
    <w:p>
      <w:pPr>
        <w:pStyle w:val="Cabealho2"/>
        <w:numPr>
          <w:ilvl w:val="1"/>
          <w:numId w:val="0"/>
        </w:numPr>
      </w:pPr>
      <w:r>
        <w:t>A.8.1 Correspondência entre os CSV e os parâmetros da plataforma</w:t>
      </w:r>
    </w:p>
    <w:p>
      <w:pPr>
        <w:pStyle w:val="Bibliografia"/>
        <w:jc w:val="left"/>
      </w:pPr>
      <w:r>
        <w:t>Os CSV não são enviados directamente ao modelo OpenSCAD nem constituem registos individuais. O importador agrega as linhas estatísticas por população, sexo, grupo etário e tipo de estatística, guarda os perfis normalizados na base app.db e organiza as medidas numa árvore measurements. A correspondência posterior é executada pelo serviço determinístico server/services/profileMapping.js, no estado versionado da plataforma 14.67.0. Este serviço é partilhado pela aplicação da configuração de referência e pela construção do contexto antropométrico enviado à IA.</w:t>
      </w:r>
    </w:p>
    <w:p>
      <w:pPr>
        <w:pStyle w:val="Bibliografia"/>
        <w:jc w:val="left"/>
      </w:pPr>
      <w:r>
        <w:t>O mapeamento canónico liga palm.width_mm, palm.length_mm e palm.thickness_mm aos parâmetros da palma; os comprimentos totais e proximais dos cinco dedos aos parâmetros *_finger_length_mm e *_base_length_mm; e wrist.circumference_mm a wrist_circumference_mm. Um valor só é aplicado quando o parâmetro existe no modelo activo, é numérico, pertence a este mapa e contém uma medida finita e positiva. O valor é arredondado a uma casa decimal e limitado ao mínimo e ao máximo declarados em models/models-config.json; parâmetros em falta permanecem por configurar e parâmetros mecânicos, de visualização ou de lateralidade não são alterados.</w:t>
      </w:r>
    </w:p>
    <w:p>
      <w:pPr>
        <w:pStyle w:val="Bibliografia"/>
        <w:jc w:val="left"/>
      </w:pPr>
      <w:r>
        <w:t>Quando a entrada é uma descrição textual, a selecção da referência populacional usa uma pontuação determinística baseada em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pelos restantes campos, mas essa escolha é apenas uma referência aproximada. As médias orientam a configuração inicial e o contexto da IA, sem substituir medidas directas nem demonstrar ajuste anatómico individual.</w:t>
      </w:r>
    </w:p>
    <w:p>
      <w:pPr>
        <w:pStyle w:val="Bibliografia"/>
        <w:jc w:val="left"/>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2"/>
        <w:numPr>
          <w:ilvl w:val="1"/>
          <w:numId w:val="0"/>
        </w:numPr>
      </w:pPr>
      <w:r>
        <w:t>A.9 Resultado Final</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Ficheiro</w:t>
            </w:r>
          </w:p>
        </w:tc>
        <w:tc>
          <w:tcPr>
            <w:tcW w:w="0" w:type="auto"/>
          </w:tcPr>
          <w:p>
            <w:pPr>
              <w:pStyle w:val="TextoNormal-IPCA"/>
              <w:jc w:val="center"/>
            </w:pPr>
            <w:r>
              <w:rPr>
                <w:b/>
              </w:rPr>
              <w:t>Linhas (dados)</w:t>
            </w:r>
          </w:p>
        </w:tc>
        <w:tc>
          <w:tcPr>
            <w:tcW w:w="0" w:type="auto"/>
          </w:tcPr>
          <w:p>
            <w:pPr>
              <w:pStyle w:val="TextoNormal-IPCA"/>
              <w:jc w:val="center"/>
            </w:pPr>
            <w:r>
              <w:rPr>
                <w:b/>
              </w:rPr>
              <w:t>Países</w:t>
            </w:r>
          </w:p>
        </w:tc>
        <w:tc>
          <w:tcPr>
            <w:tcW w:w="0" w:type="auto"/>
          </w:tcPr>
          <w:p>
            <w:pPr>
              <w:pStyle w:val="TextoNormal-IPCA"/>
              <w:jc w:val="center"/>
            </w:pPr>
            <w:r>
              <w:t>Fontes ou subconjuntos</w:t>
            </w:r>
          </w:p>
        </w:tc>
        <w:tc>
          <w:tcPr>
            <w:tcW w:w="0" w:type="auto"/>
          </w:tcPr>
          <w:p>
            <w:pPr>
              <w:pStyle w:val="TextoNormal-IPCA"/>
              <w:jc w:val="center"/>
            </w:pPr>
            <w:r>
              <w:rPr>
                <w:b/>
              </w:rPr>
              <w:t>Dimensões distintas</w:t>
            </w:r>
          </w:p>
        </w:tc>
      </w:tr>
      <w:tr>
        <w:tc>
          <w:tcPr>
            <w:tcW w:w="0" w:type="auto"/>
          </w:tcPr>
          <w:p>
            <w:pPr>
              <w:pStyle w:val="TextoNormal-IPCA"/>
              <w:jc w:val="left"/>
            </w:pPr>
            <w:r>
              <w:t>data/ansur_1988_complete.csv</w:t>
            </w:r>
          </w:p>
        </w:tc>
        <w:tc>
          <w:tcPr>
            <w:tcW w:w="0" w:type="auto"/>
          </w:tcPr>
          <w:p>
            <w:pPr>
              <w:pStyle w:val="TextoNormal-IPCA"/>
              <w:jc w:val="left"/>
            </w:pPr>
            <w:r>
              <w:t>2.726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47</w:t>
            </w:r>
          </w:p>
        </w:tc>
      </w:tr>
      <w:tr>
        <w:tc>
          <w:tcPr>
            <w:tcW w:w="0" w:type="auto"/>
          </w:tcPr>
          <w:p>
            <w:pPr>
              <w:pStyle w:val="TextoNormal-IPCA"/>
              <w:jc w:val="left"/>
            </w:pPr>
            <w:r>
              <w:t>data/ansur_1988_hand_arm.csv</w:t>
            </w:r>
          </w:p>
        </w:tc>
        <w:tc>
          <w:tcPr>
            <w:tcW w:w="0" w:type="auto"/>
          </w:tcPr>
          <w:p>
            <w:pPr>
              <w:pStyle w:val="TextoNormal-IPCA"/>
              <w:jc w:val="left"/>
            </w:pPr>
            <w:r>
              <w:t>696</w:t>
            </w:r>
          </w:p>
        </w:tc>
        <w:tc>
          <w:tcPr>
            <w:tcW w:w="0" w:type="auto"/>
          </w:tcPr>
          <w:p>
            <w:pPr>
              <w:pStyle w:val="TextoNormal-IPCA"/>
              <w:jc w:val="left"/>
            </w:pPr>
            <w:r>
              <w:t>1 (EUA)</w:t>
            </w:r>
          </w:p>
        </w:tc>
        <w:tc>
          <w:tcPr>
            <w:tcW w:w="0" w:type="auto"/>
          </w:tcPr>
          <w:p>
            <w:pPr>
              <w:pStyle w:val="TextoNormal-IPCA"/>
              <w:jc w:val="left"/>
            </w:pPr>
            <w:r>
              <w:t>1</w:t>
            </w:r>
          </w:p>
        </w:tc>
        <w:tc>
          <w:tcPr>
            <w:tcW w:w="0" w:type="auto"/>
          </w:tcPr>
          <w:p>
            <w:pPr>
              <w:pStyle w:val="TextoNormal-IPCA"/>
              <w:jc w:val="left"/>
            </w:pPr>
            <w:r>
              <w:t>17</w:t>
            </w:r>
          </w:p>
        </w:tc>
      </w:tr>
      <w:tr>
        <w:tc>
          <w:tcPr>
            <w:tcW w:w="0" w:type="auto"/>
          </w:tcPr>
          <w:p>
            <w:pPr>
              <w:pStyle w:val="TextoNormal-IPCA"/>
              <w:jc w:val="left"/>
            </w:pPr>
            <w:r>
              <w:t>data/multi_population_hand.csv</w:t>
            </w:r>
          </w:p>
        </w:tc>
        <w:tc>
          <w:tcPr>
            <w:tcW w:w="0" w:type="auto"/>
          </w:tcPr>
          <w:p>
            <w:pPr>
              <w:pStyle w:val="TextoNormal-IPCA"/>
              <w:jc w:val="left"/>
            </w:pPr>
            <w:r>
              <w:t>1.790</w:t>
            </w:r>
          </w:p>
        </w:tc>
        <w:tc>
          <w:tcPr>
            <w:tcW w:w="0" w:type="auto"/>
          </w:tcPr>
          <w:p>
            <w:pPr>
              <w:pStyle w:val="TextoNormal-IPCA"/>
              <w:jc w:val="left"/>
            </w:pPr>
            <w:r>
              <w:t>9</w:t>
            </w:r>
          </w:p>
        </w:tc>
        <w:tc>
          <w:tcPr>
            <w:tcW w:w="0" w:type="auto"/>
          </w:tcPr>
          <w:p>
            <w:pPr>
              <w:pStyle w:val="TextoNormal-IPCA"/>
              <w:jc w:val="left"/>
            </w:pPr>
            <w:r>
              <w:t>12</w:t>
            </w:r>
          </w:p>
        </w:tc>
        <w:tc>
          <w:tcPr>
            <w:tcW w:w="0" w:type="auto"/>
          </w:tcPr>
          <w:p>
            <w:pPr>
              <w:pStyle w:val="TextoNormal-IPCA"/>
              <w:jc w:val="left"/>
            </w:pPr>
            <w:r>
              <w:t>cerca de 85</w:t>
            </w:r>
          </w:p>
        </w:tc>
      </w:tr>
    </w:tbl>
    <w:p>
      <w:pPr>
        <w:pStyle w:val="Bibliografia"/>
        <w:jc w:val="left"/>
      </w:pPr>
      <w:r>
        <w:t>Estes totais foram confirmados pela regeneração do suplemento dados_antropometricos_v14.67.0, associado à confirmação Git bcef0db. A contagem de 12 corresponde a documentos-fonte ou subconjuntos identificados pelo gerador e não implica 12 estudos primários independentes.</w:t>
      </w:r>
    </w:p>
    <w:p>
      <w:pPr>
        <w:pStyle w:val="Bibliografia"/>
        <w:jc w:val="left"/>
      </w:pPr>
      <w:r>
        <w:t xml:space="preserve">O ficheiro </w:t>
      </w:r>
      <w:r>
        <w:t>data/multi_population_hand.csv</w:t>
      </w:r>
      <w:r>
        <w:t xml:space="preserve">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Bibliografia"/>
        <w:jc w:val="left"/>
      </w:pPr>
      <w:r>
        <w:t xml:space="preserve">Na inspecção final da base local </w:t>
      </w:r>
      <w:r>
        <w:t>app.db</w:t>
      </w:r>
      <w:r>
        <w:t xml:space="preserve">, a tabela antropométrica continha 100 perfis agregados: 97 com origem </w:t>
      </w:r>
      <w:r>
        <w:t>csv_bulk</w:t>
      </w:r>
      <w:r>
        <w:t xml:space="preserve">, dois com origem </w:t>
      </w:r>
      <w: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w:t>
      </w:r>
      <w:r>
        <w:t>data/multi_population_hand.csv</w:t>
      </w:r>
      <w:r>
        <w:t xml:space="preserve"> foi construída para reunir diferenças antropométricas da mão em várias dimensões geográficas, demográficas, etárias e estatísticas. A tabela seguinte sintetiza a cobertura actual.</w:t>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sectPr w:rsidR="00050BF7" w:rsidSect="004170BC">
      <w:headerReference w:type="default" r:id="rId15"/>
      <w:footerReference w:type="default" r:id="rId16"/>
      <w:pgSz w:w="11900" w:h="16840"/>
      <w:pgMar w:top="1985" w:right="1418" w:bottom="1985"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