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15">
  <w:body>
    <w:p>
      <w:pPr>
        <w:pStyle w:val="Normal"/>
        <w:bidi w:val="0"/>
        <w:ind w:hanging="0" w:left="0" w:right="0"/>
        <w:jc w:val="left"/>
        <w:rPr/>
      </w:pPr>
      <w:r>
        <w:rPr/>
        <w:t xml:space="preserve">projecto-completo </w:t>
      </w:r>
    </w:p>
    <w:p>
      <w:pPr>
        <w:pStyle w:val="Normal"/>
        <w:bidi w:val="0"/>
        <w:ind w:hanging="0" w:left="0" w:right="0"/>
        <w:jc w:val="left"/>
        <w:rPr/>
      </w:pPr>
      <w:r>
        <w:rPr/>
        <w:t>Projecto completo</w:t>
      </w:r>
    </w:p>
    <w:p>
      <w:pPr>
        <w:pStyle w:val="Normal"/>
        <w:bidi w:val="0"/>
        <w:spacing w:before="0" w:after="283"/>
        <w:ind w:hanging="0" w:left="0" w:right="0"/>
        <w:jc w:val="left"/>
        <w:rPr/>
      </w:pPr>
      <w:r>
        <w:rPr/>
        <w:t>Versão do documento:0.4.3</w:t>
      </w:r>
    </w:p>
    <w:p>
      <w:pPr>
        <w:pStyle w:val="Heading2"/>
        <w:bidi w:val="0"/>
        <w:spacing w:before="0" w:after="283"/>
        <w:ind w:hanging="0" w:left="0" w:right="0"/>
        <w:jc w:val="left"/>
        <w:rPr/>
      </w:pPr>
      <w:r>
        <w:rPr/>
        <w:t>Capítulo 1 — Introdução</w:t>
      </w:r>
    </w:p>
    <w:p>
      <w:pPr>
        <w:pStyle w:val="Heading3"/>
        <w:bidi w:val="0"/>
        <w:spacing w:before="0" w:after="283"/>
        <w:ind w:hanging="0" w:left="0" w:right="0"/>
        <w:jc w:val="left"/>
        <w:rPr/>
      </w:pPr>
      <w:r>
        <w:rPr/>
        <w:t>1.1 Enquadramento geral, contexto e motivação</w:t>
      </w:r>
    </w:p>
    <w:p>
      <w:pPr>
        <w:pStyle w:val="BodyText"/>
        <w:bidi w:val="0"/>
        <w:spacing w:before="0" w:after="0"/>
        <w:ind w:hanging="0" w:left="0" w:right="0"/>
        <w:jc w:val="left"/>
        <w:rPr/>
      </w:pPr>
      <w:r>
        <w:rPr/>
        <w:t>A perda de membros superiores provoca impactos funcionais, decorrentes da limitação na realização de atividades da vida diária; sociais, associados à interação interpessoal e à participação social; e psicossociais, relacionados com a imagem corporal, a identidade pessoal e a perceção de si. Estas consequências requerem soluções técnicas e projetuais que conciliem desempenho mecânico, conforto ergonómico, aceitação estética e viabilidade económica.</w:t>
      </w:r>
    </w:p>
    <w:p>
      <w:pPr>
        <w:pStyle w:val="BodyText"/>
        <w:bidi w:val="0"/>
        <w:spacing w:before="0" w:after="0"/>
        <w:ind w:hanging="0" w:left="0" w:right="0"/>
        <w:jc w:val="left"/>
        <w:rPr/>
      </w:pPr>
      <w:r>
        <w:rPr/>
        <w:t>Apesar dos avanços em dispositivos médicos e na fabricação aditiva, persistem obstáculos relacionados com o custo, a personalização anatómica e a dependência de técnicos especializados para a adaptação e manutenção das próteses.</w:t>
      </w:r>
    </w:p>
    <w:p>
      <w:pPr>
        <w:pStyle w:val="BodyText"/>
        <w:bidi w:val="0"/>
        <w:spacing w:before="0" w:after="0"/>
        <w:ind w:hanging="0" w:left="0" w:right="0"/>
        <w:jc w:val="left"/>
        <w:rPr/>
      </w:pPr>
      <w:r>
        <w:rPr/>
      </w:r>
    </w:p>
    <w:p>
      <w:pPr>
        <w:pStyle w:val="BodyText"/>
        <w:bidi w:val="0"/>
        <w:spacing w:before="0" w:after="0"/>
        <w:ind w:hanging="0" w:left="0" w:right="0"/>
        <w:jc w:val="left"/>
        <w:rPr/>
      </w:pPr>
      <w:r>
        <w:rPr/>
        <w:t xml:space="preserve">Nos últimos anos, a impressão 3D e as plataformas </w:t>
      </w:r>
      <w:r>
        <w:rPr>
          <w:i/>
        </w:rPr>
        <w:t>open source</w:t>
      </w:r>
      <w:r>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escalabilidade, a reprodutibilidade e a integração robusta de dados antropométricos, ou seja, medidas corporais específicas do utilizador.</w:t>
      </w:r>
    </w:p>
    <w:p>
      <w:pPr>
        <w:pStyle w:val="BodyText"/>
        <w:bidi w:val="0"/>
        <w:ind w:hanging="0" w:left="0" w:right="0"/>
        <w:jc w:val="left"/>
        <w:rPr/>
      </w:pPr>
      <w:r>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spacing w:before="0" w:after="283"/>
        <w:ind w:hanging="0" w:left="0" w:right="0"/>
        <w:jc w:val="left"/>
        <w:rPr/>
      </w:pPr>
      <w:r>
        <w:rPr/>
        <w:t>1.2 Problema de investigação</w:t>
      </w:r>
    </w:p>
    <w:p>
      <w:pPr>
        <w:pStyle w:val="BodyText"/>
        <w:bidi w:val="0"/>
        <w:spacing w:before="0" w:after="0"/>
        <w:ind w:hanging="0" w:left="0" w:right="0"/>
        <w:jc w:val="left"/>
        <w:rPr/>
      </w:pPr>
      <w:r>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BodyText"/>
        <w:bidi w:val="0"/>
        <w:ind w:hanging="0" w:left="0" w:right="0"/>
        <w:jc w:val="left"/>
        <w:rPr/>
      </w:pPr>
      <w:r>
        <w:rPr/>
        <w:t>O problema central é compreender como o design de produto, por meio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spacing w:before="0" w:after="283"/>
        <w:ind w:hanging="0" w:left="0" w:right="0"/>
        <w:jc w:val="left"/>
        <w:rPr/>
      </w:pPr>
      <w:r>
        <w:rPr/>
        <w:t>1.3 Objetivos da investigação</w:t>
      </w:r>
    </w:p>
    <w:p>
      <w:pPr>
        <w:pStyle w:val="Heading3"/>
        <w:bidi w:val="0"/>
        <w:spacing w:before="0" w:after="283"/>
        <w:ind w:hanging="0" w:left="0" w:right="0"/>
        <w:jc w:val="left"/>
        <w:rPr/>
      </w:pPr>
      <w:r>
        <w:rPr/>
        <w:t>1.3.1 Objetivo geral</w:t>
      </w:r>
    </w:p>
    <w:p>
      <w:pPr>
        <w:pStyle w:val="BodyText"/>
        <w:bidi w:val="0"/>
        <w:ind w:hanging="0" w:left="0" w:right="0"/>
        <w:jc w:val="left"/>
        <w:rPr/>
      </w:pPr>
      <w:r>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spacing w:before="0" w:after="283"/>
        <w:ind w:hanging="0" w:left="0" w:right="0"/>
        <w:jc w:val="left"/>
        <w:rPr/>
      </w:pPr>
      <w:r>
        <w:rPr/>
        <w:t>1.3.2 Objetivos específicos</w:t>
      </w:r>
    </w:p>
    <w:p>
      <w:pPr>
        <w:pStyle w:val="BodyText"/>
        <w:bidi w:val="0"/>
        <w:spacing w:before="0" w:after="0"/>
        <w:ind w:hanging="0" w:left="0" w:right="0"/>
        <w:jc w:val="left"/>
        <w:rPr/>
      </w:pPr>
      <w:r>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BodyText"/>
        <w:bidi w:val="0"/>
        <w:ind w:hanging="0" w:left="0" w:right="0"/>
        <w:jc w:val="left"/>
        <w:rPr/>
      </w:pPr>
      <w:r>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spacing w:before="0" w:after="283"/>
        <w:ind w:hanging="0" w:left="0" w:right="0"/>
        <w:jc w:val="left"/>
        <w:rPr/>
      </w:pPr>
      <w:r>
        <w:rPr/>
        <w:t>1.4 Abordagem metodológica geral</w:t>
      </w:r>
    </w:p>
    <w:p>
      <w:pPr>
        <w:pStyle w:val="BodyText"/>
        <w:bidi w:val="0"/>
        <w:spacing w:before="0" w:after="0"/>
        <w:ind w:hanging="0" w:left="0" w:right="0"/>
        <w:jc w:val="left"/>
        <w:rPr/>
      </w:pPr>
      <w:r>
        <w:rPr/>
        <w:t>O projeto adota uma metodologia aplicada, baseada em Research Through Design, que reconhece o ato de projetar como uma forma de gerar conhecimento. Estrutura-se em fases conceituais, metodológicas e empíricas, articuladas pelo modelo Double Diamond, que promove ciclos iterativos de exploração, definição, desenvolvimento e validação.</w:t>
      </w:r>
    </w:p>
    <w:p>
      <w:pPr>
        <w:pStyle w:val="BodyText"/>
        <w:bidi w:val="0"/>
        <w:ind w:hanging="0" w:left="0" w:right="0"/>
        <w:jc w:val="left"/>
        <w:rPr/>
      </w:pPr>
      <w:r>
        <w:rPr/>
        <w:t xml:space="preserve">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w:t>
      </w:r>
      <w:r>
        <w:rPr/>
        <w:t>identificáveis</w:t>
      </w:r>
      <w:r>
        <w:rPr/>
        <w:t xml:space="preserve"> de utilizadores.</w:t>
      </w:r>
    </w:p>
    <w:p>
      <w:pPr>
        <w:pStyle w:val="Heading3"/>
        <w:bidi w:val="0"/>
        <w:spacing w:before="0" w:after="283"/>
        <w:ind w:hanging="0" w:left="0" w:right="0"/>
        <w:jc w:val="left"/>
        <w:rPr/>
      </w:pPr>
      <w:r>
        <w:rPr/>
        <w:t>1.5 Estrutura da dissertação</w:t>
      </w:r>
    </w:p>
    <w:p>
      <w:pPr>
        <w:pStyle w:val="BodyText"/>
        <w:bidi w:val="0"/>
        <w:ind w:hanging="0" w:left="0" w:right="0"/>
        <w:jc w:val="left"/>
        <w:rPr/>
      </w:pPr>
      <w:r>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uso. O Capítulo 8 reúne a avaliação e a discussão dos resultados. Por fim, o Capítulo 9 sintetiza as conclusões e os trabalhos futuros.</w:t>
      </w:r>
    </w:p>
    <w:p>
      <w:pPr>
        <w:pStyle w:val="Heading2"/>
        <w:bidi w:val="0"/>
        <w:spacing w:before="0" w:after="283"/>
        <w:ind w:hanging="0" w:left="0" w:right="0"/>
        <w:jc w:val="left"/>
        <w:rPr/>
      </w:pPr>
      <w:r>
        <w:rPr/>
        <w:t>Capítulo 2 — Enquadramento Teórico e Estado da Arte</w:t>
      </w:r>
    </w:p>
    <w:p>
      <w:pPr>
        <w:pStyle w:val="Heading3"/>
        <w:bidi w:val="0"/>
        <w:spacing w:before="0" w:after="283"/>
        <w:ind w:hanging="0" w:left="0" w:right="0"/>
        <w:jc w:val="left"/>
        <w:rPr/>
      </w:pPr>
      <w:r>
        <w:rPr/>
        <w:t>2.1 Prótese de membro superior e dispositivos médicos</w:t>
      </w:r>
    </w:p>
    <w:p>
      <w:pPr>
        <w:pStyle w:val="BodyText"/>
        <w:bidi w:val="0"/>
        <w:spacing w:before="0" w:after="0"/>
        <w:ind w:hanging="0" w:left="0" w:right="0"/>
        <w:jc w:val="left"/>
        <w:rPr/>
      </w:pPr>
      <w:r>
        <w:rPr/>
        <w:t xml:space="preserve">Uma prótese de membro superior é um dispositivo médico externo que substitui um segmento ausente </w:t>
      </w:r>
      <w:r>
        <w:rPr/>
        <w:t>do membro superior</w:t>
      </w:r>
      <w:r>
        <w:rPr/>
        <w:t xml:space="preserv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BodyText"/>
        <w:bidi w:val="0"/>
        <w:spacing w:before="0" w:after="0"/>
        <w:ind w:hanging="0" w:left="0" w:right="0"/>
        <w:jc w:val="left"/>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por meio do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bidi w:val="0"/>
        <w:ind w:hanging="0" w:left="0" w:right="0"/>
        <w:jc w:val="left"/>
        <w:rPr/>
      </w:pPr>
      <w:r>
        <w:rPr>
          <w:i/>
          <w:color w:val="666666"/>
        </w:rPr>
        <w:t>[</w:t>
      </w:r>
      <w:r>
        <w:rPr/>
        <w:t xml:space="preserve">Nas últimas décadas, </w:t>
      </w:r>
      <w:r>
        <w:rPr>
          <w:rStyle w:val="Strong"/>
        </w:rPr>
        <w:t>a tecnologia aplicada às próteses de membro superior</w:t>
      </w:r>
      <w:r>
        <w:rPr/>
        <w:t xml:space="preserve"> evoluiu de soluções maioritariamente cosméticas e mecânicas para sistemas com maior sofisticação eletromecânica, integração eletrónica e potencial de personaliza</w:t>
      </w:r>
      <w:r>
        <w:rPr>
          <w:i/>
          <w:color w:val="666666"/>
        </w:rPr>
        <w:t xml:space="preserve">ção ampliado. Ainda assim, o avanço tecnológico não resolveu desafios estruturais como desconforto, </w:t>
      </w:r>
      <w:r>
        <w:rPr/>
        <w:t>a dificuldade em controlar os movimentos da prótese de forma precisa e intuitiva</w:t>
      </w:r>
      <w:r>
        <w:rPr>
          <w:i/>
          <w:color w:val="666666"/>
        </w:rPr>
        <w:t xml:space="preserve">,  </w:t>
      </w:r>
      <w:r>
        <w:rPr/>
        <w:t>perceção sensorial limitada</w:t>
      </w:r>
      <w:r>
        <w:rPr>
          <w:i/>
          <w:color w:val="666666"/>
        </w:rPr>
        <w:t xml:space="preserve"> e alta taxa de abandono. Esta tensão entre o potencial técnico e os resultados práticos é fundamental para compreender o estado atual das próteses de membro superior como dispositivos médicos.</w:t>
      </w:r>
    </w:p>
    <w:p>
      <w:pPr>
        <w:pStyle w:val="Heading3"/>
        <w:bidi w:val="0"/>
        <w:spacing w:before="0" w:after="283"/>
        <w:ind w:hanging="0" w:left="0" w:right="0"/>
        <w:jc w:val="left"/>
        <w:rPr/>
      </w:pPr>
      <w:r>
        <w:rPr/>
        <w:t>Tipologias de próteses de membro superior</w:t>
      </w:r>
    </w:p>
    <w:p>
      <w:pPr>
        <w:pStyle w:val="BodyText"/>
        <w:bidi w:val="0"/>
        <w:spacing w:before="0" w:after="0"/>
        <w:ind w:hanging="0" w:left="0" w:right="0"/>
        <w:jc w:val="left"/>
        <w:rPr/>
      </w:pPr>
      <w:commentRangeStart w:id="0"/>
      <w:r>
        <w:rPr/>
        <w:t>As próteses de membro superior podem ser classificadas segundo diferentes critérios, incluindo a fonte de energia, o mecanismo de controlo e a finalidade de utilização. De forma geral, distinguem-se próteses passivas ou cosméticas, próteses mecânicas controladas pelo corpo e próteses mioelétricas ou externamente alimentadas. Estas categorias podem ainda ser combinadas em soluções híbridas, quando diferentes formas de controlo, por exemplo mecânicas e eletrónicas, são integradas no mesmo dispositivo. Cada tipologia apresenta vantagens e limitações próprias, refletindo diferentes compromissos entre desempenho funcional, conforto, durabilidade, custo e adequação ao contexto de uso.</w:t>
      </w:r>
    </w:p>
    <w:p>
      <w:pPr>
        <w:pStyle w:val="BodyText"/>
        <w:bidi w:val="0"/>
        <w:spacing w:before="0" w:after="0"/>
        <w:ind w:hanging="0" w:left="0" w:right="0"/>
        <w:jc w:val="left"/>
        <w:rPr>
          <w:i/>
          <w:color w:val="666666"/>
          <w:highlight w:val="none"/>
          <w:shd w:fill="auto" w:val="clear"/>
        </w:rPr>
      </w:pPr>
      <w:commentRangeEnd w:id="0"/>
      <w:r>
        <w:commentReference w:id="0"/>
      </w:r>
      <w:r>
        <w:rPr>
          <w:i/>
          <w:color w:val="666666"/>
          <w:shd w:fill="auto" w:val="clear"/>
        </w:rPr>
      </w:r>
    </w:p>
    <w:p>
      <w:pPr>
        <w:pStyle w:val="Heading3"/>
        <w:bidi w:val="0"/>
        <w:spacing w:before="0" w:after="283"/>
        <w:ind w:hanging="0" w:left="0" w:right="0"/>
        <w:jc w:val="left"/>
        <w:rPr/>
      </w:pPr>
      <w:r>
        <w:rPr/>
        <w:t xml:space="preserve">Próteses </w:t>
      </w:r>
      <w:r>
        <w:rPr/>
        <w:t>passivas</w:t>
      </w:r>
    </w:p>
    <w:p>
      <w:pPr>
        <w:pStyle w:val="BodyText"/>
        <w:bidi w:val="0"/>
        <w:ind w:hanging="0" w:left="0" w:right="0"/>
        <w:jc w:val="left"/>
        <w:rPr/>
      </w:pPr>
      <w:r>
        <w:rPr/>
        <w:t>Próteses passivas destinam-se à aparência e ao apoio estático em tarefas simples, sem preensão ativa. Variam entre dispositivos rígidos e versões ajustáveis, nas quais os dedos ou os terminais podem ser movidos manualmente. São leves, simples e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spacing w:before="0" w:after="283"/>
        <w:ind w:hanging="0" w:left="0" w:right="0"/>
        <w:jc w:val="left"/>
        <w:rPr/>
      </w:pPr>
      <w:r>
        <w:rPr/>
        <w:t xml:space="preserve">Próteses mecânicas </w:t>
      </w:r>
      <w:r>
        <w:rPr/>
        <w:t>controladas</w:t>
      </w:r>
      <w:r>
        <w:rPr/>
        <w:t xml:space="preserve"> pelo corpo (</w:t>
      </w:r>
      <w:r>
        <w:rPr>
          <w:i/>
        </w:rPr>
        <w:t>body-powered</w:t>
      </w:r>
      <w:r>
        <w:rPr/>
        <w:t>)</w:t>
      </w:r>
    </w:p>
    <w:p>
      <w:pPr>
        <w:pStyle w:val="BodyText"/>
        <w:bidi w:val="0"/>
        <w:ind w:hanging="0" w:left="0" w:right="0"/>
        <w:jc w:val="left"/>
        <w:rPr/>
      </w:pPr>
      <w:r>
        <w:rPr/>
        <w:t xml:space="preserve">As próteses mecânicas utilizam sistemas de arnês e cabos para converter movimentos do ombro, do tronco ou da cintura escapular em </w:t>
      </w:r>
      <w:r>
        <w:rPr>
          <w:shd w:fill="FFFF00" w:val="clear"/>
        </w:rPr>
        <w:t>açõe</w:t>
      </w:r>
      <w:r>
        <w:rPr>
          <w:shd w:fill="FFFF00" w:val="clear"/>
        </w:rPr>
        <w:t>s</w:t>
      </w:r>
      <w:r>
        <w:rPr>
          <w:shd w:fill="FFFF00" w:val="clear"/>
        </w:rPr>
        <w:t xml:space="preserve"> no dispositivo terminal</w:t>
      </w:r>
      <w:r>
        <w:rPr/>
        <w:t>, tipicamente um gancho ou uma mão mecânica. São soluções tradicionalmente valorizadas pela robustez, fiabilidade, menor custo e relativa facilidade de manutenção. Um atributo particularmente relevante é o</w:t>
      </w:r>
      <w:r>
        <w:rPr>
          <w:shd w:fill="FFFF00" w:val="clear"/>
        </w:rPr>
        <w:t xml:space="preserve"> feedback [^1]proprioceptivo</w:t>
      </w:r>
      <w:r>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spacing w:before="0" w:after="283"/>
        <w:ind w:hanging="0" w:left="0" w:right="0"/>
        <w:jc w:val="left"/>
        <w:rPr/>
      </w:pPr>
      <w:r>
        <w:rPr/>
        <w:t>Próteses mioelétricas</w:t>
      </w:r>
    </w:p>
    <w:p>
      <w:pPr>
        <w:pStyle w:val="BodyText"/>
        <w:bidi w:val="0"/>
        <w:ind w:hanging="0" w:left="0" w:right="0"/>
        <w:jc w:val="left"/>
        <w:rPr/>
      </w:pPr>
      <w:r>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spacing w:before="0" w:after="283"/>
        <w:ind w:hanging="0" w:left="0" w:right="0"/>
        <w:jc w:val="left"/>
        <w:rPr/>
      </w:pPr>
      <w:r>
        <w:rPr/>
        <w:t>Sistemas híbridos</w:t>
      </w:r>
    </w:p>
    <w:p>
      <w:pPr>
        <w:pStyle w:val="BodyText"/>
        <w:bidi w:val="0"/>
        <w:spacing w:before="0" w:after="0"/>
        <w:ind w:hanging="0" w:left="0" w:right="0"/>
        <w:jc w:val="left"/>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BodyText"/>
        <w:bidi w:val="0"/>
        <w:spacing w:before="0" w:after="0"/>
        <w:ind w:hanging="0" w:left="0" w:right="0"/>
        <w:jc w:val="left"/>
        <w:rPr/>
      </w:pPr>
      <w:r>
        <w:rPr/>
      </w:r>
    </w:p>
    <w:p>
      <w:pPr>
        <w:pStyle w:val="BodyText"/>
        <w:bidi w:val="0"/>
        <w:spacing w:before="0" w:after="0"/>
        <w:ind w:hanging="0" w:left="0" w:right="0"/>
        <w:jc w:val="left"/>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jc w:val="center"/>
      </w:pPr>
      <w:r>
        <w:drawing>
          <wp:inline distT="0" distB="0" distL="0" distR="0">
            <wp:extent cx="4200139" cy="4023360"/>
            <wp:effectExtent l="0" t="0" r="0" b="0"/>
            <wp:docPr id="1" name="ch2_3d_printed_upper_limb_prostheses_a_figure2_p5.png"/>
            <wp:cNvGraphicFramePr>
              <a:graphicFrameLocks noChangeAspect="1"/>
            </wp:cNvGraphicFramePr>
            <a:graphic>
              <a:graphicData uri="http://schemas.openxmlformats.org/drawingml/2006/picture">
                <pic:pic>
                  <pic:nvPicPr>
                    <pic:cNvPr id="0" name="ch2_3d_printed_upper_limb_prostheses_a_figure2_p5.png"/>
                    <pic:cNvPicPr/>
                  </pic:nvPicPr>
                  <pic:blipFill>
                    <a:blip r:embed="rId7"/>
                    <a:stretch>
                      <a:fillRect/>
                    </a:stretch>
                  </pic:blipFill>
                  <pic:spPr>
                    <a:xfrm>
                      <a:off x="0" y="0"/>
                      <a:ext cx="4200139" cy="4023360"/>
                    </a:xfrm>
                    <a:prstGeom prst="rect">
                      <a:avLst/>
                    </a:prstGeom>
                  </pic:spPr>
                </pic:pic>
              </a:graphicData>
            </a:graphic>
          </wp:inline>
        </w:drawing>
      </w:r>
    </w:p>
    <w:p>
      <w:pPr>
        <w:pStyle w:val="BodyText"/>
        <w:bidi w:val="0"/>
        <w:spacing w:before="0" w:after="0"/>
        <w:ind w:hanging="0" w:left="0" w:right="0"/>
        <w:jc w:val="left"/>
        <w:rPr/>
      </w:pPr>
      <w:r>
        <w:rPr/>
        <w:t>Figura 2.1 — Exemplos de próteses de membro superior impressas em 3D, ilustrando diversidade tipológica e construtiva.</w:t>
      </w:r>
    </w:p>
    <w:p>
      <w:pPr>
        <w:pStyle w:val="BodyText"/>
        <w:bidi w:val="0"/>
        <w:ind w:hanging="0" w:left="0" w:right="0"/>
        <w:jc w:val="left"/>
        <w:rPr/>
      </w:pPr>
      <w:r>
        <w:rPr/>
        <w:t>Fonte original: ten Kate, J., Smit, G., &amp; Breedveld, P. (2017). 3D-printed upper limb prostheses: A review. Disability and Rehabilitation: Assistive Technology, 12(3), 300-314. https://doi.org/10.1080/17483107.2016.1253117</w:t>
      </w:r>
    </w:p>
    <w:p>
      <w:pPr>
        <w:pStyle w:val="Heading3"/>
        <w:bidi w:val="0"/>
        <w:spacing w:before="0" w:after="283"/>
        <w:ind w:hanging="0" w:left="0" w:right="0"/>
        <w:jc w:val="left"/>
        <w:rPr/>
      </w:pPr>
      <w:r>
        <w:rPr/>
        <w:t>Considerações clínicas e funcionais</w:t>
      </w:r>
    </w:p>
    <w:p>
      <w:pPr>
        <w:pStyle w:val="BodyText"/>
        <w:bidi w:val="0"/>
        <w:spacing w:before="0" w:after="0"/>
        <w:ind w:hanging="0" w:left="0" w:right="0"/>
        <w:jc w:val="left"/>
        <w:rPr/>
      </w:pPr>
      <w:r>
        <w:rPr/>
        <w:t>A prescrição de uma prótese de membro superior constitui um processo clínico complexo, centrado no utilizador e conduzido por uma equipa multidisciplinar composta por médicos, protesistas, terapeutas e pelo próprio utilizador, envolvendo a escolha do dispositivo terminal e a avaliação integrada de fatores físicos, funcionais, ocupacionais e psicossociais. (Fink &amp; Diamond, 2023 (#ref-fink-2023); Soyer et al., 2016 (#ref-soyer-2016)).</w:t>
      </w:r>
    </w:p>
    <w:p>
      <w:pPr>
        <w:pStyle w:val="BodyText"/>
        <w:bidi w:val="0"/>
        <w:spacing w:before="0" w:after="0"/>
        <w:ind w:hanging="0" w:left="0" w:right="0"/>
        <w:jc w:val="left"/>
        <w:rPr/>
      </w:pPr>
      <w:r>
        <w:rPr/>
        <w:t>Entre os fatores físicos incluem-se o nível de amputação, o comprimento e a condição do coto residual, a integridade cutânea, a amplitude articular e a força muscular. Amputações de nível mais proximal implicam desafios acrescidos em termos de controlo e de peso do sistema protésico.</w:t>
      </w:r>
    </w:p>
    <w:p>
      <w:pPr>
        <w:pStyle w:val="BodyText"/>
        <w:bidi w:val="0"/>
        <w:spacing w:before="0" w:after="0"/>
        <w:ind w:hanging="0" w:left="0" w:right="0"/>
        <w:jc w:val="left"/>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BodyText"/>
        <w:bidi w:val="0"/>
        <w:spacing w:before="0" w:after="0"/>
        <w:ind w:hanging="0" w:left="0" w:right="0"/>
        <w:jc w:val="left"/>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BodyText"/>
        <w:bidi w:val="0"/>
        <w:ind w:hanging="0" w:left="0" w:right="0"/>
        <w:jc w:val="left"/>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spacing w:before="0" w:after="283"/>
        <w:ind w:hanging="0" w:left="0" w:right="0"/>
        <w:jc w:val="left"/>
        <w:rPr/>
      </w:pPr>
      <w:r>
        <w:rPr/>
        <w:t>Medição de resultados e abandono protésico</w:t>
      </w:r>
    </w:p>
    <w:p>
      <w:pPr>
        <w:pStyle w:val="BodyText"/>
        <w:bidi w:val="0"/>
        <w:spacing w:before="0" w:after="0"/>
        <w:ind w:hanging="0" w:left="0" w:right="0"/>
        <w:jc w:val="left"/>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BodyText"/>
        <w:bidi w:val="0"/>
        <w:spacing w:before="0" w:after="0"/>
        <w:ind w:hanging="0" w:left="0" w:right="0"/>
        <w:jc w:val="left"/>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BodyText"/>
        <w:bidi w:val="0"/>
        <w:spacing w:before="0" w:after="0"/>
        <w:ind w:hanging="0" w:left="0" w:right="0"/>
        <w:jc w:val="left"/>
        <w:rPr/>
      </w:pPr>
      <w:r>
        <w:rPr/>
        <w:t>Esta persistência do abandono é sintetizada de forma clara na Figura 2.2, que relaciona uso, rejeição primária e rejeição secundária, reforçando que o problema não é marginal, mas estrutural no campo das próteses de membro superior.</w:t>
      </w:r>
    </w:p>
    <w:p>
      <w:pPr>
        <w:jc w:val="center"/>
      </w:pPr>
      <w:r>
        <w:drawing>
          <wp:inline distT="0" distB="0" distL="0" distR="0">
            <wp:extent cx="5394960" cy="3859580"/>
            <wp:effectExtent l="0" t="0" r="0" b="0"/>
            <wp:docPr id="2" name="ch2_prosthesis_rejection_in_acquired_ma_figure1_p4.png"/>
            <wp:cNvGraphicFramePr>
              <a:graphicFrameLocks noChangeAspect="1"/>
            </wp:cNvGraphicFramePr>
            <a:graphic>
              <a:graphicData uri="http://schemas.openxmlformats.org/drawingml/2006/picture">
                <pic:pic>
                  <pic:nvPicPr>
                    <pic:cNvPr id="0" name="ch2_prosthesis_rejection_in_acquired_ma_figure1_p4.png"/>
                    <pic:cNvPicPr/>
                  </pic:nvPicPr>
                  <pic:blipFill>
                    <a:blip r:embed="rId8"/>
                    <a:stretch>
                      <a:fillRect/>
                    </a:stretch>
                  </pic:blipFill>
                  <pic:spPr>
                    <a:xfrm>
                      <a:off x="0" y="0"/>
                      <a:ext cx="5394960" cy="3859580"/>
                    </a:xfrm>
                    <a:prstGeom prst="rect">
                      <a:avLst/>
                    </a:prstGeom>
                  </pic:spPr>
                </pic:pic>
              </a:graphicData>
            </a:graphic>
          </wp:inline>
        </w:drawing>
      </w:r>
    </w:p>
    <w:p>
      <w:pPr>
        <w:pStyle w:val="BodyText"/>
        <w:bidi w:val="0"/>
        <w:spacing w:before="0" w:after="0"/>
        <w:ind w:hanging="0" w:left="0" w:right="0"/>
        <w:jc w:val="left"/>
        <w:rPr/>
      </w:pPr>
      <w:r>
        <w:rPr/>
        <w:t>Figura 2.2 — Utilização, rejeição primária e rejeição secundária de próteses do membro superior adquiridas.</w:t>
      </w:r>
    </w:p>
    <w:p>
      <w:pPr>
        <w:pStyle w:val="BodyText"/>
        <w:bidi w:val="0"/>
        <w:ind w:hanging="0" w:left="0" w:right="0"/>
        <w:jc w:val="left"/>
        <w:rPr/>
      </w:pPr>
      <w:r>
        <w:rPr/>
        <w:t>Fonte original (APA 7): Biddiss, E., Beaton, D., &amp; Chau, T. (2007). Consumer design priorities for upper limb prosthetics. Disability and Rehabilitation: Assistive Technology, 2(6), 346-357. https://doi.org/10.1080/17483100701714733</w:t>
      </w:r>
    </w:p>
    <w:p>
      <w:pPr>
        <w:pStyle w:val="Heading3"/>
        <w:bidi w:val="0"/>
        <w:spacing w:before="0" w:after="283"/>
        <w:ind w:hanging="0" w:left="0" w:right="0"/>
        <w:jc w:val="left"/>
        <w:rPr/>
      </w:pPr>
      <w:r>
        <w:rPr/>
        <w:t>Enquadramento regulatório enquanto dispositivo médico</w:t>
      </w:r>
    </w:p>
    <w:p>
      <w:pPr>
        <w:pStyle w:val="BodyText"/>
        <w:bidi w:val="0"/>
        <w:spacing w:before="0" w:after="0"/>
        <w:ind w:hanging="0" w:left="0" w:right="0"/>
        <w:jc w:val="left"/>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([^2]EU) 2017/745 (MDR) - https://eur-lex.europa.eu/eli/reg/2017/745/oj/eng</w:t>
      </w:r>
      <w:r>
        <w:rPr>
          <w:i/>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BodyText"/>
        <w:bidi w:val="0"/>
        <w:spacing w:before="0" w:after="0"/>
        <w:ind w:hanging="0" w:left="0" w:right="0"/>
        <w:jc w:val="left"/>
        <w:rPr/>
      </w:pPr>
      <w:r>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BodyText"/>
        <w:bidi w:val="0"/>
        <w:ind w:hanging="0" w:left="0" w:right="0"/>
        <w:jc w:val="left"/>
        <w:rPr/>
      </w:pPr>
      <w:r>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Heading3"/>
        <w:bidi w:val="0"/>
        <w:spacing w:before="0" w:after="283"/>
        <w:ind w:hanging="0" w:left="0" w:right="0"/>
        <w:jc w:val="left"/>
        <w:rPr/>
      </w:pPr>
      <w:r>
        <w:rPr/>
        <w:t>2.2 Design Industrial, Design Inclusivo e Design Centrado no Utilizador</w:t>
      </w:r>
    </w:p>
    <w:p>
      <w:pPr>
        <w:pStyle w:val="BodyText"/>
        <w:bidi w:val="0"/>
        <w:spacing w:before="0" w:after="0"/>
        <w:ind w:hanging="0" w:left="0" w:right="0"/>
        <w:jc w:val="left"/>
        <w:rPr/>
      </w:pPr>
      <w:r>
        <w:rPr/>
        <w:t>O design industrial, no contexto da saúde e das tecnologias de apoio, é reconhecido progressivamente como uma disciplina mediadora entre as necessidades humanas, os contextos de utilização e os requisitos técnicos, normativos e regulatórios que orientam o desenvolvimento de dispositivos médicos.. A literatura evidencia que o design não se limita à configuração formal de produtos, 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BodyText"/>
        <w:bidi w:val="0"/>
        <w:ind w:hanging="0" w:left="0" w:right="0"/>
        <w:jc w:val="left"/>
        <w:rPr/>
      </w:pPr>
      <w:r>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spacing w:before="0" w:after="283"/>
        <w:ind w:hanging="0" w:left="0" w:right="0"/>
        <w:jc w:val="left"/>
        <w:rPr/>
      </w:pPr>
      <w:r>
        <w:rPr/>
        <w:t>Design industrial em dispositivos médicos</w:t>
      </w:r>
    </w:p>
    <w:p>
      <w:pPr>
        <w:pStyle w:val="BodyText"/>
        <w:bidi w:val="0"/>
        <w:spacing w:before="0" w:after="0"/>
        <w:ind w:hanging="0" w:left="0" w:right="0"/>
        <w:jc w:val="left"/>
        <w:rPr/>
      </w:pPr>
      <w:r>
        <w:rPr/>
        <w:t>No domínio dos dispositivos médicos, o design industrial assume relevância enquanto prática metodológica centrada no utilizador e enquanto contributo colaborativo no contexto de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BodyText"/>
        <w:bidi w:val="0"/>
        <w:spacing w:before="0" w:after="0"/>
        <w:ind w:hanging="0" w:left="0" w:right="0"/>
        <w:jc w:val="left"/>
        <w:rPr/>
      </w:pPr>
      <w:r>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BodyText"/>
        <w:bidi w:val="0"/>
        <w:spacing w:before="0" w:after="0"/>
        <w:ind w:hanging="0" w:left="0" w:right="0"/>
        <w:jc w:val="left"/>
        <w:rPr/>
      </w:pPr>
      <w:r>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BodyText"/>
        <w:bidi w:val="0"/>
        <w:spacing w:before="0" w:after="0"/>
        <w:ind w:hanging="0" w:left="0" w:right="0"/>
        <w:jc w:val="left"/>
        <w:rPr/>
      </w:pPr>
      <w:r>
        <w:rPr/>
        <w:t>Tabela 2.1 — Papéis dos profissionais de saúde no desenvolvimento de dispositivos médicos</w:t>
      </w:r>
    </w:p>
    <w:tbl>
      <w:tblPr>
        <w:tblW w:w="9026" w:type="dxa"/>
        <w:jc w:val="left"/>
        <w:tblInd w:w="28" w:type="dxa"/>
        <w:tblLayout w:type="fixed"/>
        <w:tblCellMar>
          <w:top w:w="28" w:type="dxa"/>
          <w:left w:w="28" w:type="dxa"/>
          <w:bottom w:w="28" w:type="dxa"/>
          <w:right w:w="28" w:type="dxa"/>
        </w:tblCellMar>
      </w:tblPr>
      <w:tblGrid>
        <w:gridCol w:w="2365"/>
        <w:gridCol w:w="3594"/>
        <w:gridCol w:w="3067"/>
      </w:tblGrid>
      <w:tr>
        <w:trPr/>
        <w:tc>
          <w:tcPr>
            <w:tcW w:w="2365"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Utilizadores peritos</w:t>
            </w:r>
          </w:p>
        </w:tc>
        <w:tc>
          <w:tcPr>
            <w:tcW w:w="3594"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Fornecem experiência clínica situada e problemas de uso</w:t>
            </w:r>
          </w:p>
        </w:tc>
        <w:tc>
          <w:tcPr>
            <w:tcW w:w="3067"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Experiência do utilizador e adequação funcional</w:t>
            </w:r>
          </w:p>
        </w:tc>
      </w:tr>
      <w:tr>
        <w:trPr/>
        <w:tc>
          <w:tcPr>
            <w:tcW w:w="23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Mediadores</w:t>
            </w:r>
          </w:p>
        </w:tc>
        <w:tc>
          <w:tcPr>
            <w:tcW w:w="359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Traduzem linguagem, necessidades e constrangimentos entre equipas</w:t>
            </w:r>
          </w:p>
        </w:tc>
        <w:tc>
          <w:tcPr>
            <w:tcW w:w="306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Problemas técnicos, terminologia e entendimento partilhado</w:t>
            </w:r>
          </w:p>
        </w:tc>
      </w:tr>
      <w:tr>
        <w:trPr/>
        <w:tc>
          <w:tcPr>
            <w:tcW w:w="23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Profissionais clínicos e investigadores</w:t>
            </w:r>
          </w:p>
        </w:tc>
        <w:tc>
          <w:tcPr>
            <w:tcW w:w="359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Enquadram cuidados, testes e validação empírica</w:t>
            </w:r>
          </w:p>
        </w:tc>
        <w:tc>
          <w:tcPr>
            <w:tcW w:w="3067"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Resultados clínicos, ensaios e usabilidade</w:t>
            </w:r>
          </w:p>
        </w:tc>
      </w:tr>
    </w:tbl>
    <w:p>
      <w:pPr>
        <w:pStyle w:val="BodyText"/>
        <w:bidi w:val="0"/>
        <w:ind w:hanging="0" w:left="0" w:right="0"/>
        <w:jc w:val="left"/>
        <w:rPr/>
      </w:pPr>
      <w:r>
        <w:rPr/>
      </w:r>
    </w:p>
    <w:p>
      <w:pPr>
        <w:pStyle w:val="BodyText"/>
        <w:bidi w:val="0"/>
        <w:ind w:hanging="0" w:left="0" w:right="0"/>
        <w:jc w:val="left"/>
        <w:rPr/>
      </w:pPr>
      <w:r>
        <w:rPr/>
        <w:t>Fonte adaptada. Referência original: Kaygan, H., &amp; Kaygan, P. (2025). Clients and carers: Healthcare professionals’ roles in medical device development processes in SMEs. The Design Journal, 28(2), 213-231. https://doi.org/10.1080/14606925.2024.2420152</w:t>
      </w:r>
    </w:p>
    <w:p>
      <w:pPr>
        <w:pStyle w:val="Heading3"/>
        <w:bidi w:val="0"/>
        <w:spacing w:before="0" w:after="283"/>
        <w:ind w:hanging="0" w:left="0" w:right="0"/>
        <w:jc w:val="left"/>
        <w:rPr/>
      </w:pPr>
      <w:r>
        <w:rPr/>
        <w:t>Design Inclusivo e Design Universal</w:t>
      </w:r>
    </w:p>
    <w:p>
      <w:pPr>
        <w:pStyle w:val="BodyText"/>
        <w:bidi w:val="0"/>
        <w:spacing w:before="0" w:after="0"/>
        <w:ind w:hanging="0" w:left="0" w:right="0"/>
        <w:jc w:val="left"/>
        <w:rPr/>
      </w:pPr>
      <w:r>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BodyText"/>
        <w:bidi w:val="0"/>
        <w:spacing w:before="0" w:after="0"/>
        <w:ind w:hanging="0" w:left="0" w:right="0"/>
        <w:jc w:val="left"/>
        <w:rPr/>
      </w:pPr>
      <w:r>
        <w:rPr/>
        <w:t>Esta perspetiva aproxima-se dos modelos sociais e relacionais da deficiência, enfatizando que a exclusão pode ser produzida por decisões de projeto que não contemplam a diversidade de utilizadores (Clarkson &amp; Coleman, 2010 (#ref-clarkson-2010)).</w:t>
      </w:r>
    </w:p>
    <w:p>
      <w:pPr>
        <w:pStyle w:val="BodyText"/>
        <w:bidi w:val="0"/>
        <w:spacing w:before="0" w:after="0"/>
        <w:ind w:hanging="0" w:left="0" w:right="0"/>
        <w:jc w:val="left"/>
        <w:rPr/>
      </w:pPr>
      <w:r>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BodyText"/>
        <w:bidi w:val="0"/>
        <w:spacing w:before="0" w:after="0"/>
        <w:ind w:hanging="0" w:left="0" w:right="0"/>
        <w:jc w:val="left"/>
        <w:rPr/>
      </w:pPr>
      <w:r>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BodyText"/>
        <w:bidi w:val="0"/>
        <w:ind w:hanging="0" w:left="0" w:right="0"/>
        <w:jc w:val="left"/>
        <w:rPr/>
      </w:pPr>
      <w:r>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spacing w:before="0" w:after="283"/>
        <w:ind w:hanging="0" w:left="0" w:right="0"/>
        <w:jc w:val="left"/>
        <w:rPr/>
      </w:pPr>
      <w:r>
        <w:rPr/>
        <w:t>Design Centrado no Utilizador e Design Centrado no Humano</w:t>
      </w:r>
    </w:p>
    <w:p>
      <w:pPr>
        <w:pStyle w:val="BodyText"/>
        <w:bidi w:val="0"/>
        <w:spacing w:before="0" w:after="0"/>
        <w:ind w:hanging="0" w:left="0" w:right="0"/>
        <w:jc w:val="left"/>
        <w:rPr/>
      </w:pPr>
      <w:r>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BodyText"/>
        <w:bidi w:val="0"/>
        <w:spacing w:before="0" w:after="0"/>
        <w:ind w:hanging="0" w:left="0" w:right="0"/>
        <w:jc w:val="left"/>
        <w:rPr/>
      </w:pPr>
      <w:r>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w:t>
      </w:r>
      <w:commentRangeStart w:id="1"/>
      <w:r>
        <w:rPr>
          <w:shd w:fill="FFFF00" w:val="clear"/>
        </w:rPr>
        <w:t xml:space="preserve"> ISO 62366 </w:t>
      </w:r>
      <w:r>
        <w:rPr>
          <w:shd w:fill="FFFF00" w:val="clear"/>
        </w:rPr>
      </w:r>
      <w:commentRangeEnd w:id="1"/>
      <w:r>
        <w:commentReference w:id="1"/>
      </w:r>
      <w:r>
        <w:rPr/>
        <w:t>estabelece requisitos específicos para a aplicação de engenharia de usabilidade em dispositivos médicos, reforçando a integração formal de testes formativos e sumativos no processo regulado (Fisher &amp; Johansen, 2020 (#ref-fisher-2020); Millet et al., 2018 (#ref-millet-2018)).</w:t>
      </w:r>
    </w:p>
    <w:p>
      <w:pPr>
        <w:pStyle w:val="BodyText"/>
        <w:bidi w:val="0"/>
        <w:ind w:hanging="0" w:left="0" w:right="0"/>
        <w:jc w:val="left"/>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spacing w:before="0" w:after="283"/>
        <w:ind w:hanging="0" w:left="0" w:right="0"/>
        <w:jc w:val="left"/>
        <w:rPr/>
      </w:pPr>
      <w:r>
        <w:rPr/>
        <w:t>Design Participativo e Co-design</w:t>
      </w:r>
    </w:p>
    <w:p>
      <w:pPr>
        <w:pStyle w:val="BodyText"/>
        <w:bidi w:val="0"/>
        <w:spacing w:before="0" w:after="0"/>
        <w:ind w:hanging="0" w:left="0" w:right="0"/>
        <w:jc w:val="left"/>
        <w:rPr/>
      </w:pPr>
      <w:r>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BodyText"/>
        <w:bidi w:val="0"/>
        <w:ind w:hanging="0" w:left="0" w:right="0"/>
        <w:jc w:val="left"/>
        <w:rPr/>
      </w:pPr>
      <w:r>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bidi w:val="0"/>
        <w:spacing w:before="0" w:after="283"/>
        <w:ind w:hanging="0" w:left="0" w:right="0"/>
        <w:jc w:val="left"/>
        <w:rPr/>
      </w:pPr>
      <w:r>
        <w:rPr/>
        <w:t>Metodologias, instrumentos e avaliação</w:t>
      </w:r>
    </w:p>
    <w:p>
      <w:pPr>
        <w:pStyle w:val="BodyText"/>
        <w:bidi w:val="0"/>
        <w:spacing w:before="0" w:after="0"/>
        <w:ind w:hanging="0" w:left="0" w:right="0"/>
        <w:jc w:val="left"/>
        <w:rPr/>
      </w:pPr>
      <w:r>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BodyText"/>
        <w:bidi w:val="0"/>
        <w:spacing w:before="0" w:after="0"/>
        <w:ind w:hanging="0" w:left="0" w:right="0"/>
        <w:jc w:val="left"/>
        <w:rPr/>
      </w:pPr>
      <w:r>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BodyText"/>
        <w:bidi w:val="0"/>
        <w:spacing w:before="0" w:after="0"/>
        <w:ind w:hanging="0" w:left="0" w:right="0"/>
        <w:jc w:val="left"/>
        <w:rPr/>
      </w:pPr>
      <w:r>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BodyText"/>
        <w:bidi w:val="0"/>
        <w:ind w:hanging="0" w:left="0" w:right="0"/>
        <w:jc w:val="left"/>
        <w:rPr/>
      </w:pPr>
      <w:r>
        <w:rPr/>
        <w:t xml:space="preserve">A avaliação da evidência tem sido igualmente reforçada por meio do uso de protocolos sistemáticos, como o </w:t>
      </w:r>
      <w:commentRangeStart w:id="2"/>
      <w:r>
        <w:rPr>
          <w:shd w:fill="FFFF00" w:val="clear"/>
        </w:rPr>
        <w:t>PRISMA</w:t>
      </w:r>
      <w:r>
        <w:rPr>
          <w:shd w:fill="FFFF00" w:val="clear"/>
        </w:rPr>
      </w:r>
      <w:commentRangeEnd w:id="2"/>
      <w:r>
        <w:commentReference w:id="2"/>
      </w:r>
      <w:r>
        <w:rPr/>
        <w:t>, e de instrumentos de avaliação crítica, o que reflete uma crescente preocupação em fundamentar decisões de design com base empírica robusta (Chapman et al., 2025 (#ref-chapman-2025)).</w:t>
      </w:r>
    </w:p>
    <w:p>
      <w:pPr>
        <w:pStyle w:val="Heading3"/>
        <w:bidi w:val="0"/>
        <w:spacing w:before="0" w:after="283"/>
        <w:ind w:hanging="0" w:left="0" w:right="0"/>
        <w:jc w:val="left"/>
        <w:rPr/>
      </w:pPr>
      <w:r>
        <w:rPr/>
        <w:t>Desafios e lacunas</w:t>
      </w:r>
    </w:p>
    <w:p>
      <w:pPr>
        <w:pStyle w:val="BodyText"/>
        <w:bidi w:val="0"/>
        <w:spacing w:before="0" w:after="0"/>
        <w:ind w:hanging="0" w:left="0" w:right="0"/>
        <w:jc w:val="left"/>
        <w:rPr>
          <w:highlight w:val="none"/>
          <w:shd w:fill="FFFF00" w:val="clear"/>
        </w:rPr>
      </w:pPr>
      <w:commentRangeStart w:id="3"/>
      <w:r>
        <w:rPr>
          <w:shd w:fill="FFFF00" w:val="clear"/>
        </w:rPr>
        <w:t>Entre os principais desafios identificados destacam-se:</w:t>
      </w:r>
    </w:p>
    <w:p>
      <w:pPr>
        <w:pStyle w:val="BodyText"/>
        <w:bidi w:val="0"/>
        <w:spacing w:before="0" w:after="0"/>
        <w:ind w:hanging="0" w:left="0" w:right="0"/>
        <w:jc w:val="left"/>
        <w:rPr>
          <w:highlight w:val="none"/>
          <w:shd w:fill="FFFF00" w:val="clear"/>
        </w:rPr>
      </w:pPr>
      <w:r>
        <w:rPr>
          <w:shd w:fill="FFFF00" w:val="clear"/>
        </w:rPr>
        <w:t xml:space="preserve">– </w:t>
      </w:r>
      <w:r>
        <w:rPr>
          <w:shd w:fill="FFFF00" w:val="clear"/>
        </w:rPr>
        <w:t xml:space="preserve">a articulação entre padronização e personalização, particularmente relevante em dispositivos médicos sujeitos a regulamentação rigorosa; </w:t>
      </w:r>
    </w:p>
    <w:p>
      <w:pPr>
        <w:pStyle w:val="BodyText"/>
        <w:bidi w:val="0"/>
        <w:spacing w:before="0" w:after="0"/>
        <w:ind w:hanging="0" w:left="0" w:right="0"/>
        <w:jc w:val="left"/>
        <w:rPr>
          <w:highlight w:val="none"/>
          <w:shd w:fill="FFFF00" w:val="clear"/>
        </w:rPr>
      </w:pPr>
      <w:r>
        <w:rPr>
          <w:shd w:fill="FFFF00" w:val="clear"/>
        </w:rPr>
        <w:t xml:space="preserve">– </w:t>
      </w:r>
      <w:r>
        <w:rPr>
          <w:shd w:fill="FFFF00" w:val="clear"/>
        </w:rPr>
        <w:t xml:space="preserve">a discrepância entre modelos teóricos de UCD ensinados academicamente e as restrições institucionais à prática em saúde; </w:t>
      </w:r>
    </w:p>
    <w:p>
      <w:pPr>
        <w:pStyle w:val="BodyText"/>
        <w:bidi w:val="0"/>
        <w:spacing w:before="0" w:after="0"/>
        <w:ind w:hanging="0" w:left="0" w:right="0"/>
        <w:jc w:val="left"/>
        <w:rPr>
          <w:highlight w:val="none"/>
          <w:shd w:fill="FFFF00" w:val="clear"/>
        </w:rPr>
      </w:pPr>
      <w:r>
        <w:rPr>
          <w:shd w:fill="FFFF00" w:val="clear"/>
        </w:rPr>
        <w:t xml:space="preserve">– </w:t>
      </w:r>
      <w:r>
        <w:rPr>
          <w:shd w:fill="FFFF00" w:val="clear"/>
        </w:rPr>
        <w:t xml:space="preserve">a dificuldade de tradução de processos participativos para contextos de implementação e de escalabilidade; </w:t>
      </w:r>
    </w:p>
    <w:p>
      <w:pPr>
        <w:pStyle w:val="BodyText"/>
        <w:bidi w:val="0"/>
        <w:spacing w:before="0" w:after="0"/>
        <w:ind w:hanging="0" w:left="0" w:right="0"/>
        <w:jc w:val="left"/>
        <w:rPr>
          <w:highlight w:val="none"/>
          <w:shd w:fill="FFFF00" w:val="clear"/>
        </w:rPr>
      </w:pPr>
      <w:r>
        <w:rPr>
          <w:shd w:fill="FFFF00" w:val="clear"/>
        </w:rPr>
        <w:t xml:space="preserve">– </w:t>
      </w:r>
      <w:r>
        <w:rPr>
          <w:shd w:fill="FFFF00" w:val="clear"/>
        </w:rPr>
        <w:t>e a necessidade de integrar dimensões interseccionais (como género e fatores socioculturais) na investigação e no desenvolvimento.</w:t>
      </w:r>
    </w:p>
    <w:p>
      <w:pPr>
        <w:pStyle w:val="BodyText"/>
        <w:bidi w:val="0"/>
        <w:ind w:hanging="0" w:left="0" w:right="0"/>
        <w:jc w:val="left"/>
        <w:rPr>
          <w:highlight w:val="none"/>
          <w:shd w:fill="FFFF00" w:val="clear"/>
        </w:rPr>
      </w:pPr>
      <w:r>
        <w:rPr>
          <w:shd w:fill="FFFF00" w:val="clear"/>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BodyText"/>
        <w:bidi w:val="0"/>
        <w:ind w:hanging="0" w:left="0" w:right="0"/>
        <w:jc w:val="left"/>
        <w:rPr>
          <w:highlight w:val="none"/>
          <w:shd w:fill="FFFF00" w:val="clear"/>
        </w:rPr>
      </w:pPr>
      <w:commentRangeEnd w:id="3"/>
      <w:r>
        <w:commentReference w:id="3"/>
      </w:r>
      <w:r>
        <w:rPr>
          <w:shd w:fill="FFFF00" w:val="clear"/>
        </w:rPr>
      </w:r>
    </w:p>
    <w:p>
      <w:pPr>
        <w:pStyle w:val="Heading3"/>
        <w:bidi w:val="0"/>
        <w:spacing w:before="0" w:after="283"/>
        <w:ind w:hanging="0" w:left="0" w:right="0"/>
        <w:jc w:val="left"/>
        <w:rPr/>
      </w:pPr>
      <w:r>
        <w:rPr/>
        <w:t>2.3 Fabricação Aditiva e parametrização no design de produto</w:t>
      </w:r>
    </w:p>
    <w:p>
      <w:pPr>
        <w:pStyle w:val="BodyText"/>
        <w:bidi w:val="0"/>
        <w:spacing w:before="0" w:after="0"/>
        <w:ind w:hanging="0" w:left="0" w:right="0"/>
        <w:jc w:val="left"/>
        <w:rPr/>
      </w:pPr>
      <w:r>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BodyText"/>
        <w:bidi w:val="0"/>
        <w:spacing w:before="0" w:after="0"/>
        <w:ind w:hanging="0" w:left="0" w:right="0"/>
        <w:jc w:val="left"/>
        <w:rPr/>
      </w:pPr>
      <w:r>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jc w:val="center"/>
      </w:pPr>
      <w:r>
        <w:drawing>
          <wp:inline distT="0" distB="0" distL="0" distR="0">
            <wp:extent cx="5394960" cy="3704810"/>
            <wp:effectExtent l="0" t="0" r="0" b="0"/>
            <wp:docPr id="3" name="ch2_a_scoping_review_of_digital_fabrica_figure1_p2.png"/>
            <wp:cNvGraphicFramePr>
              <a:graphicFrameLocks noChangeAspect="1"/>
            </wp:cNvGraphicFramePr>
            <a:graphic>
              <a:graphicData uri="http://schemas.openxmlformats.org/drawingml/2006/picture">
                <pic:pic>
                  <pic:nvPicPr>
                    <pic:cNvPr id="0" name="ch2_a_scoping_review_of_digital_fabrica_figure1_p2.png"/>
                    <pic:cNvPicPr/>
                  </pic:nvPicPr>
                  <pic:blipFill>
                    <a:blip r:embed="rId9"/>
                    <a:stretch>
                      <a:fillRect/>
                    </a:stretch>
                  </pic:blipFill>
                  <pic:spPr>
                    <a:xfrm>
                      <a:off x="0" y="0"/>
                      <a:ext cx="5394960" cy="3704810"/>
                    </a:xfrm>
                    <a:prstGeom prst="rect">
                      <a:avLst/>
                    </a:prstGeom>
                  </pic:spPr>
                </pic:pic>
              </a:graphicData>
            </a:graphic>
          </wp:inline>
        </w:drawing>
      </w:r>
    </w:p>
    <w:p>
      <w:pPr>
        <w:pStyle w:val="BodyText"/>
        <w:bidi w:val="0"/>
        <w:spacing w:before="0" w:after="0"/>
        <w:ind w:hanging="0" w:left="0" w:right="0"/>
        <w:jc w:val="left"/>
        <w:rPr/>
      </w:pPr>
      <w:r>
        <w:rPr/>
        <w:t>Figura 2.3 — Fluxo digital entre aquisição, CAD/CAM e fabricação aditiva em próteses e ortóteses.</w:t>
      </w:r>
    </w:p>
    <w:p>
      <w:pPr>
        <w:pStyle w:val="BodyText"/>
        <w:bidi w:val="0"/>
        <w:spacing w:before="0" w:after="0"/>
        <w:ind w:hanging="0" w:left="0" w:right="0"/>
        <w:jc w:val="left"/>
        <w:rPr/>
      </w:pPr>
      <w:r>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odyText"/>
        <w:bidi w:val="0"/>
        <w:spacing w:before="0" w:after="0"/>
        <w:ind w:hanging="0" w:left="0" w:right="0"/>
        <w:jc w:val="left"/>
        <w:rPr/>
      </w:pPr>
      <w:r>
        <w:rPr/>
      </w:r>
    </w:p>
    <w:p>
      <w:pPr>
        <w:pStyle w:val="BodyText"/>
        <w:bidi w:val="0"/>
        <w:ind w:hanging="0" w:left="0" w:right="0"/>
        <w:jc w:val="left"/>
        <w:rPr/>
      </w:pPr>
      <w:r>
        <w:rPr/>
        <w:t>Neste enquadramento, a personalização deixa de ser entendida como exceção e passa a constituir uma estratégia estruturada, operacionalizada por meio de “seed designs”[^7] ou de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spacing w:before="0" w:after="283"/>
        <w:ind w:hanging="0" w:left="0" w:right="0"/>
        <w:jc w:val="left"/>
        <w:rPr/>
      </w:pPr>
      <w:r>
        <w:rPr/>
        <w:t>Modelação Paramétrica e Espaços de Variação</w:t>
      </w:r>
    </w:p>
    <w:p>
      <w:pPr>
        <w:pStyle w:val="BodyText"/>
        <w:bidi w:val="0"/>
        <w:spacing w:before="0" w:after="0"/>
        <w:ind w:hanging="0" w:left="0" w:right="0"/>
        <w:jc w:val="left"/>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BodyText"/>
        <w:bidi w:val="0"/>
        <w:ind w:hanging="0" w:left="0" w:right="0"/>
        <w:jc w:val="left"/>
        <w:rPr/>
      </w:pPr>
      <w:r>
        <w:rPr/>
        <w:t xml:space="preserve">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 </w:t>
      </w:r>
      <w:commentRangeStart w:id="4"/>
      <w:r>
        <w:rPr>
          <w:shd w:fill="FFFF00" w:val="clear"/>
        </w:rPr>
        <w:t>escalados</w:t>
      </w:r>
      <w:r>
        <w:rPr>
          <w:shd w:fill="FFFF00" w:val="clear"/>
        </w:rPr>
      </w:r>
      <w:commentRangeEnd w:id="4"/>
      <w:r>
        <w:commentReference w:id="4"/>
      </w:r>
      <w:r>
        <w:rPr/>
        <w:t xml:space="preserve"> (Lim et al., 2018 (#ref-lim-2018)).</w:t>
      </w:r>
    </w:p>
    <w:p>
      <w:pPr>
        <w:pStyle w:val="Heading3"/>
        <w:bidi w:val="0"/>
        <w:spacing w:before="0" w:after="283"/>
        <w:ind w:hanging="0" w:left="0" w:right="0"/>
        <w:jc w:val="left"/>
        <w:rPr/>
      </w:pPr>
      <w:r>
        <w:rPr/>
        <w:t>Integração com Fabricação Aditiva e Design for Additive Manufacturing</w:t>
      </w:r>
    </w:p>
    <w:p>
      <w:pPr>
        <w:pStyle w:val="BodyText"/>
        <w:bidi w:val="0"/>
        <w:spacing w:before="0" w:after="0"/>
        <w:ind w:hanging="0" w:left="0" w:right="0"/>
        <w:jc w:val="left"/>
        <w:rPr/>
      </w:pPr>
      <w:r>
        <w:rPr/>
        <w:t xml:space="preserve">A eficácia da personalização depende da integração precoce dos constrangimentos do processo de fabricação aditiva no processo de projeto. A literatura sobre Design for Additive Manufacturing (DfAM) sublinha que a incorporação antecipada de limitações de processo </w:t>
      </w:r>
      <w:r>
        <w:rPr/>
        <w:t>(</w:t>
      </w:r>
      <w:r>
        <w:rPr/>
        <w:t>tolerâncias, resistência mecânica, espessuras mínimas, orientação de impressão</w:t>
      </w:r>
      <w:r>
        <w:rPr/>
        <w:t>)</w:t>
      </w:r>
      <w:r>
        <w:rPr/>
        <w:t xml:space="preserve"> reduz falhas de fabrico e encurta os ciclos iterativos (Chtioui et al., 2023 (#ref-chtioui-2023); Wiberg et al., 2019 (#ref-wiberg-2019)).</w:t>
      </w:r>
    </w:p>
    <w:p>
      <w:pPr>
        <w:pStyle w:val="BodyText"/>
        <w:bidi w:val="0"/>
        <w:spacing w:before="0" w:after="0"/>
        <w:ind w:hanging="0" w:left="0" w:right="0"/>
        <w:jc w:val="left"/>
        <w:rPr/>
      </w:pPr>
      <w:r>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BodyText"/>
        <w:bidi w:val="0"/>
        <w:spacing w:before="0" w:after="0"/>
        <w:ind w:hanging="0" w:left="0" w:right="0"/>
        <w:jc w:val="left"/>
        <w:rPr/>
      </w:pPr>
      <w:r>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BodyText"/>
        <w:bidi w:val="0"/>
        <w:ind w:hanging="0" w:left="0" w:right="0"/>
        <w:jc w:val="left"/>
        <w:rPr/>
      </w:pPr>
      <w:r>
        <w:rPr/>
        <w:t xml:space="preserve">As tecnologias de </w:t>
      </w:r>
      <w:commentRangeStart w:id="5"/>
      <w:r>
        <w:rPr>
          <w:shd w:fill="FFFF00" w:val="clear"/>
        </w:rPr>
        <w:t>FA</w:t>
      </w:r>
      <w:r>
        <w:rPr>
          <w:shd w:fill="FFFF00" w:val="clear"/>
        </w:rPr>
      </w:r>
      <w:commentRangeEnd w:id="5"/>
      <w:r>
        <w:commentReference w:id="5"/>
      </w:r>
      <w:r>
        <w:rPr/>
        <w:t xml:space="preserve"> utilizadas incluem </w:t>
      </w:r>
      <w:commentRangeStart w:id="6"/>
      <w:r>
        <w:rPr/>
        <w:t>FDM/FFF</w:t>
      </w:r>
      <w:r>
        <w:rPr/>
      </w:r>
      <w:commentRangeEnd w:id="6"/>
      <w:r>
        <w:commentReference w:id="6"/>
      </w:r>
      <w:r>
        <w:rPr/>
        <w:t xml:space="preserve">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Heading3"/>
        <w:bidi w:val="0"/>
        <w:spacing w:before="0" w:after="283"/>
        <w:ind w:hanging="0" w:left="0" w:right="0"/>
        <w:jc w:val="left"/>
        <w:rPr/>
      </w:pPr>
      <w:r>
        <w:rPr/>
        <w:t>Configuradores e Cocriação Digital</w:t>
      </w:r>
    </w:p>
    <w:p>
      <w:pPr>
        <w:pStyle w:val="BodyText"/>
        <w:bidi w:val="0"/>
        <w:spacing w:before="0" w:after="0"/>
        <w:ind w:hanging="0" w:left="0" w:right="0"/>
        <w:jc w:val="left"/>
        <w:rPr/>
      </w:pPr>
      <w:r>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BodyText"/>
        <w:bidi w:val="0"/>
        <w:spacing w:before="0" w:after="0"/>
        <w:ind w:hanging="0" w:left="0" w:right="0"/>
        <w:jc w:val="left"/>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jc w:val="center"/>
      </w:pPr>
      <w:r>
        <w:drawing>
          <wp:inline distT="0" distB="0" distL="0" distR="0">
            <wp:extent cx="5394960" cy="2853334"/>
            <wp:effectExtent l="0" t="0" r="0" b="0"/>
            <wp:docPr id="4" name="ch2_implementation_of_3d_printing_techn_figure5_p8.png"/>
            <wp:cNvGraphicFramePr>
              <a:graphicFrameLocks noChangeAspect="1"/>
            </wp:cNvGraphicFramePr>
            <a:graphic>
              <a:graphicData uri="http://schemas.openxmlformats.org/drawingml/2006/picture">
                <pic:pic>
                  <pic:nvPicPr>
                    <pic:cNvPr id="0" name="ch2_implementation_of_3d_printing_techn_figure5_p8.png"/>
                    <pic:cNvPicPr/>
                  </pic:nvPicPr>
                  <pic:blipFill>
                    <a:blip r:embed="rId10"/>
                    <a:stretch>
                      <a:fillRect/>
                    </a:stretch>
                  </pic:blipFill>
                  <pic:spPr>
                    <a:xfrm>
                      <a:off x="0" y="0"/>
                      <a:ext cx="5394960" cy="2853334"/>
                    </a:xfrm>
                    <a:prstGeom prst="rect">
                      <a:avLst/>
                    </a:prstGeom>
                  </pic:spPr>
                </pic:pic>
              </a:graphicData>
            </a:graphic>
          </wp:inline>
        </w:drawing>
      </w:r>
    </w:p>
    <w:p>
      <w:pPr>
        <w:pStyle w:val="BodyText"/>
        <w:bidi w:val="0"/>
        <w:spacing w:before="0" w:after="0"/>
        <w:ind w:hanging="0" w:left="0" w:right="0"/>
        <w:jc w:val="left"/>
        <w:rPr/>
      </w:pPr>
      <w:r>
        <w:rPr/>
        <w:t>Figura 2.4 — Exemplo de configurador digital para personalização de uma prótese impressa em 3D.</w:t>
      </w:r>
    </w:p>
    <w:p>
      <w:pPr>
        <w:pStyle w:val="BodyText"/>
        <w:bidi w:val="0"/>
        <w:spacing w:before="0" w:after="0"/>
        <w:ind w:hanging="0" w:left="0" w:right="0"/>
        <w:jc w:val="left"/>
        <w:rPr/>
      </w:pPr>
      <w:r>
        <w:rPr/>
        <w:t xml:space="preserve">Fonte original (APA 7): Manero, A., Smith, P., Sparkman, J., Dombrowski, M., Courbin, D., Kester, A., Womack, I., &amp; Chi, A. (2019). Implementation of 3D printing technology in the field of prosthetics: Past, present, and future. International Journal of Environmental Research and Public Health, 16, 1641. </w:t>
      </w:r>
      <w:hyperlink r:id="rId2">
        <w:r>
          <w:rPr>
            <w:rStyle w:val="Hyperlink"/>
          </w:rPr>
          <w:t>https://doi.org/10.3390/ijerph16091641</w:t>
        </w:r>
      </w:hyperlink>
    </w:p>
    <w:p>
      <w:pPr>
        <w:pStyle w:val="BodyText"/>
        <w:bidi w:val="0"/>
        <w:spacing w:before="0" w:after="0"/>
        <w:ind w:hanging="0" w:left="0" w:right="0"/>
        <w:jc w:val="left"/>
        <w:rPr/>
      </w:pPr>
      <w:r>
        <w:rPr/>
      </w:r>
    </w:p>
    <w:p>
      <w:pPr>
        <w:pStyle w:val="BodyText"/>
        <w:bidi w:val="0"/>
        <w:spacing w:before="0" w:after="0"/>
        <w:ind w:hanging="0" w:left="0" w:right="0"/>
        <w:jc w:val="left"/>
        <w:rPr/>
      </w:pPr>
      <w:r>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commentRangeStart w:id="7"/>
      <w:r>
        <w:rPr>
          <w:i/>
          <w:shd w:fill="FFFF00" w:val="clear"/>
        </w:rPr>
        <w:t>mass customization</w:t>
      </w:r>
      <w:r>
        <w:rPr>
          <w:shd w:fill="FFFF00" w:val="clear"/>
        </w:rPr>
        <w:t xml:space="preserve"> e </w:t>
      </w:r>
      <w:r>
        <w:rPr>
          <w:i/>
          <w:shd w:fill="FFFF00" w:val="clear"/>
        </w:rPr>
        <w:t>mass personalization</w:t>
      </w:r>
      <w:r>
        <w:rPr>
          <w:i/>
          <w:shd w:fill="FFFF00" w:val="clear"/>
        </w:rPr>
      </w:r>
      <w:commentRangeEnd w:id="7"/>
      <w:r>
        <w:commentReference w:id="7"/>
      </w:r>
      <w:r>
        <w:rPr/>
        <w:t>, reduzindo custos marginais ao eliminar a utilização de moldes e dispositivos específicos de fabrico [^12] (Lei et al., 2016 (#ref-lei-2016); Stralen, 2018 (#ref-stralen-2018)).</w:t>
      </w:r>
    </w:p>
    <w:p>
      <w:pPr>
        <w:pStyle w:val="BodyText"/>
        <w:bidi w:val="0"/>
        <w:ind w:hanging="0" w:left="0" w:right="0"/>
        <w:jc w:val="left"/>
        <w:rPr/>
      </w:pPr>
      <w:r>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spacing w:before="0" w:after="283"/>
        <w:ind w:hanging="0" w:left="0" w:right="0"/>
        <w:jc w:val="left"/>
        <w:rPr/>
      </w:pPr>
      <w:r>
        <w:rPr/>
        <w:t>Otimização, Geração e Avaliação de Desempenho</w:t>
      </w:r>
    </w:p>
    <w:p>
      <w:pPr>
        <w:pStyle w:val="BodyText"/>
        <w:bidi w:val="0"/>
        <w:spacing w:before="0" w:after="0"/>
        <w:ind w:hanging="0" w:left="0" w:right="0"/>
        <w:jc w:val="left"/>
        <w:rPr/>
      </w:pPr>
      <w:r>
        <w:rPr/>
        <w:t xml:space="preserve">A parametrização é frequentemente articulada com métodos de otimização topológica, geração de estruturas reticuladas e abordagens multiobjetivo. Estas estratégias permitem gerir compromissos entre peso, resistência mecânica, consumo de material, conforto e desempenho funcional, explorando fronteiras de </w:t>
      </w:r>
      <w:commentRangeStart w:id="8"/>
      <w:r>
        <w:rPr>
          <w:shd w:fill="FFFF00" w:val="clear"/>
        </w:rPr>
        <w:t>Pareto</w:t>
      </w:r>
      <w:r>
        <w:rPr>
          <w:shd w:fill="FFFF00" w:val="clear"/>
        </w:rPr>
      </w:r>
      <w:commentRangeEnd w:id="8"/>
      <w:r>
        <w:commentReference w:id="8"/>
      </w:r>
      <w:r>
        <w:rPr/>
        <w:t xml:space="preserve"> para selecionar soluções alinhadas com objetivos específicos (Lei et al., 2016 (#ref-lei-2016); Yao et al., 2016 (#ref-yao-2016)).</w:t>
      </w:r>
    </w:p>
    <w:p>
      <w:pPr>
        <w:pStyle w:val="BodyText"/>
        <w:bidi w:val="0"/>
        <w:spacing w:before="0" w:after="0"/>
        <w:ind w:hanging="0" w:left="0" w:right="0"/>
        <w:jc w:val="left"/>
        <w:rPr/>
      </w:pPr>
      <w:r>
        <w:rPr/>
        <w:t xml:space="preserve">Em contextos médicos e </w:t>
      </w:r>
      <w:r>
        <w:rPr/>
        <w:t>de tecnologias de apoio</w:t>
      </w:r>
      <w:r>
        <w:rPr/>
        <w:t>,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BodyText"/>
        <w:bidi w:val="0"/>
        <w:ind w:hanging="0" w:left="0" w:right="0"/>
        <w:jc w:val="left"/>
        <w:rPr/>
      </w:pPr>
      <w:r>
        <w:rPr/>
        <w:t>Este cruzamento entre parametrização, simulação e FA evidencia um ecossistema digital integrado que sustenta personalização técnica com base quantitativa (Lei et al., 2016 (#ref-lei-2016); Yao et al., 2016 (#ref-yao-2016)).</w:t>
      </w:r>
    </w:p>
    <w:p>
      <w:pPr>
        <w:pStyle w:val="Heading3"/>
        <w:bidi w:val="0"/>
        <w:spacing w:before="0" w:after="283"/>
        <w:ind w:hanging="0" w:left="0" w:right="0"/>
        <w:jc w:val="left"/>
        <w:rPr/>
      </w:pPr>
      <w:r>
        <w:rPr/>
        <w:t>Implicações para o Design Industrial</w:t>
      </w:r>
    </w:p>
    <w:p>
      <w:pPr>
        <w:pStyle w:val="BodyText"/>
        <w:bidi w:val="0"/>
        <w:spacing w:before="0" w:after="0"/>
        <w:ind w:hanging="0" w:left="0" w:right="0"/>
        <w:jc w:val="left"/>
        <w:rPr/>
      </w:pPr>
      <w:r>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BodyText"/>
        <w:bidi w:val="0"/>
        <w:spacing w:before="0" w:after="0"/>
        <w:ind w:hanging="0" w:left="0" w:right="0"/>
        <w:jc w:val="left"/>
        <w:rPr/>
      </w:pPr>
      <w:r>
        <w:rPr/>
        <w:t>Assim, a qualidade da definição paramétrica desempenha um papel estratégico para a viabilidade de sistemas adaptáveis (Ozdemir et al., 2022 (#ref-ozdemir-2022)).</w:t>
      </w:r>
    </w:p>
    <w:p>
      <w:pPr>
        <w:pStyle w:val="BodyText"/>
        <w:bidi w:val="0"/>
        <w:spacing w:before="0" w:after="0"/>
        <w:ind w:hanging="0" w:left="0" w:right="0"/>
        <w:jc w:val="left"/>
        <w:rPr/>
      </w:pPr>
      <w:r>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BodyText"/>
        <w:bidi w:val="0"/>
        <w:ind w:hanging="0" w:left="0" w:right="0"/>
        <w:jc w:val="left"/>
        <w:rPr/>
      </w:pPr>
      <w:r>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spacing w:before="0" w:after="283"/>
        <w:ind w:hanging="0" w:left="0" w:right="0"/>
        <w:jc w:val="left"/>
        <w:rPr/>
      </w:pPr>
      <w:r>
        <w:rPr/>
        <w:t>2.4 Antropometria aplicada ao design protésico</w:t>
      </w:r>
    </w:p>
    <w:p>
      <w:pPr>
        <w:pStyle w:val="BodyText"/>
        <w:bidi w:val="0"/>
        <w:ind w:hanging="0" w:left="0" w:right="0"/>
        <w:jc w:val="left"/>
        <w:rPr/>
      </w:pPr>
      <w:r>
        <w:rPr/>
        <w:t xml:space="preserve">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das medições manuais baseadas em marcos anatómicos para processos digitais de captura de superfície (digitalização 3D e fotogrametria), integrados com fluxos </w:t>
      </w:r>
      <w:commentRangeStart w:id="9"/>
      <w:r>
        <w:rPr>
          <w:shd w:fill="FFFF00" w:val="clear"/>
        </w:rPr>
        <w:t>CAD/CAM</w:t>
      </w:r>
      <w:r>
        <w:rPr>
          <w:shd w:fill="FFFF00" w:val="clear"/>
        </w:rPr>
      </w:r>
      <w:commentRangeEnd w:id="9"/>
      <w:r>
        <w:commentReference w:id="9"/>
      </w:r>
      <w:r>
        <w:rPr/>
        <w:t xml:space="preserve"> e com a </w:t>
      </w:r>
      <w:commentRangeStart w:id="10"/>
      <w:r>
        <w:rPr>
          <w:shd w:fill="FFFF00" w:val="clear"/>
        </w:rPr>
        <w:t>fabricação aditiva</w:t>
      </w:r>
      <w:r>
        <w:rPr>
          <w:shd w:fill="FFFF00" w:val="clear"/>
        </w:rPr>
      </w:r>
      <w:commentRangeEnd w:id="10"/>
      <w:r>
        <w:commentReference w:id="10"/>
      </w:r>
      <w:r>
        <w:rPr/>
        <w:t>.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spacing w:before="0" w:after="283"/>
        <w:ind w:hanging="0" w:left="0" w:right="0"/>
        <w:jc w:val="left"/>
        <w:rPr/>
      </w:pPr>
      <w:r>
        <w:rPr/>
        <w:t>Da dimensão linear à “forma” como dado de projeto</w:t>
      </w:r>
    </w:p>
    <w:p>
      <w:pPr>
        <w:pStyle w:val="BodyText"/>
        <w:bidi w:val="0"/>
        <w:spacing w:before="0" w:after="0"/>
        <w:ind w:hanging="0" w:left="0" w:right="0"/>
        <w:jc w:val="left"/>
        <w:rPr/>
      </w:pPr>
      <w:r>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BodyText"/>
        <w:bidi w:val="0"/>
        <w:spacing w:before="0" w:after="0"/>
        <w:ind w:hanging="0" w:left="0" w:right="0"/>
        <w:jc w:val="left"/>
        <w:rPr/>
      </w:pPr>
      <w:r>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BodyText"/>
        <w:bidi w:val="0"/>
        <w:spacing w:before="0" w:after="0"/>
        <w:ind w:hanging="0" w:left="0" w:right="0"/>
        <w:jc w:val="left"/>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jc w:val="center"/>
      </w:pPr>
      <w:r>
        <w:drawing>
          <wp:inline distT="0" distB="0" distL="0" distR="0">
            <wp:extent cx="5394960" cy="3986329"/>
            <wp:effectExtent l="0" t="0" r="0" b="0"/>
            <wp:docPr id="5" name="ch2_2d_and_3d_anatomical_analyses_of_ha_figure1_p3.png"/>
            <wp:cNvGraphicFramePr>
              <a:graphicFrameLocks noChangeAspect="1"/>
            </wp:cNvGraphicFramePr>
            <a:graphic>
              <a:graphicData uri="http://schemas.openxmlformats.org/drawingml/2006/picture">
                <pic:pic>
                  <pic:nvPicPr>
                    <pic:cNvPr id="0" name="ch2_2d_and_3d_anatomical_analyses_of_ha_figure1_p3.png"/>
                    <pic:cNvPicPr/>
                  </pic:nvPicPr>
                  <pic:blipFill>
                    <a:blip r:embed="rId11"/>
                    <a:stretch>
                      <a:fillRect/>
                    </a:stretch>
                  </pic:blipFill>
                  <pic:spPr>
                    <a:xfrm>
                      <a:off x="0" y="0"/>
                      <a:ext cx="5394960" cy="3986329"/>
                    </a:xfrm>
                    <a:prstGeom prst="rect">
                      <a:avLst/>
                    </a:prstGeom>
                  </pic:spPr>
                </pic:pic>
              </a:graphicData>
            </a:graphic>
          </wp:inline>
        </w:drawing>
      </w:r>
    </w:p>
    <w:p>
      <w:pPr>
        <w:pStyle w:val="BodyText"/>
        <w:bidi w:val="0"/>
        <w:spacing w:before="0" w:after="0"/>
        <w:ind w:hanging="0" w:left="0" w:right="0"/>
        <w:jc w:val="left"/>
        <w:rPr/>
      </w:pPr>
      <w:r>
        <w:rPr/>
        <w:t>Figura 2.5 — Marcos anatómicos e medidas de referência da mão para fins de personalização.</w:t>
      </w:r>
    </w:p>
    <w:p>
      <w:pPr>
        <w:pStyle w:val="BodyText"/>
        <w:bidi w:val="0"/>
        <w:ind w:hanging="0" w:left="0" w:right="0"/>
        <w:jc w:val="left"/>
        <w:rPr/>
      </w:pPr>
      <w:r>
        <w:rPr/>
        <w:t>Fonte original (APA 7): Yu, A., Yick, K. L., Ng, S. P., &amp; Yip, J. (2013). 2D and 3D anatomical analyses of hand dimensions for custom-made gloves. Applied Ergonomics, 44, 381-392.</w:t>
      </w:r>
    </w:p>
    <w:p>
      <w:pPr>
        <w:pStyle w:val="Heading3"/>
        <w:bidi w:val="0"/>
        <w:spacing w:before="0" w:after="283"/>
        <w:ind w:hanging="0" w:left="0" w:right="0"/>
        <w:jc w:val="left"/>
        <w:rPr/>
      </w:pPr>
      <w:r>
        <w:rPr/>
        <w:t>Métodos de recolha antropométrica em próteses e tecnologias de apoio</w:t>
      </w:r>
    </w:p>
    <w:p>
      <w:pPr>
        <w:pStyle w:val="BodyText"/>
        <w:bidi w:val="0"/>
        <w:spacing w:before="0" w:after="0"/>
        <w:ind w:hanging="0" w:left="0" w:right="0"/>
        <w:jc w:val="left"/>
        <w:rPr/>
      </w:pPr>
      <w:r>
        <w:rPr/>
        <w:t>A literatura organiza os métodos de recolha em famílias, cada uma com potencialidades e limitações específicas para o design protésico:</w:t>
      </w:r>
    </w:p>
    <w:p>
      <w:pPr>
        <w:pStyle w:val="BodyText"/>
        <w:bidi w:val="0"/>
        <w:spacing w:before="0" w:after="0"/>
        <w:ind w:hanging="0" w:left="0" w:right="0"/>
        <w:jc w:val="left"/>
        <w:rPr/>
      </w:pPr>
      <w:r>
        <w:rPr/>
      </w:r>
    </w:p>
    <w:p>
      <w:pPr>
        <w:pStyle w:val="BodyText"/>
        <w:bidi w:val="0"/>
        <w:spacing w:before="0" w:after="0"/>
        <w:ind w:hanging="0" w:left="0" w:right="0"/>
        <w:jc w:val="left"/>
        <w:rPr/>
      </w:pPr>
      <w:r>
        <w:rPr/>
        <w:t xml:space="preserve">1. A antropometria manual inclui medições em posturas normalizadas, com instrumentos clínicos e de ergonomia. Mantém relevância em contextos de acessibilidade clínica e de monitorização simples (por exemplo, circunferências para inferir variações do membro residual). Contudo, assinala-se que as medidas de circunferência podem ser um </w:t>
      </w:r>
      <w:commentRangeStart w:id="11"/>
      <w:r>
        <w:rPr>
          <w:shd w:fill="FFFF00" w:val="clear"/>
        </w:rPr>
        <w:t>proxy</w:t>
      </w:r>
      <w:r>
        <w:rPr>
          <w:shd w:fill="FFFF00" w:val="clear"/>
        </w:rPr>
      </w:r>
      <w:commentRangeEnd w:id="11"/>
      <w:r>
        <w:commentReference w:id="11"/>
      </w:r>
      <w:r>
        <w:rPr/>
        <w:t xml:space="preserve"> frágil para alterações reais de volume, dependendo da geometria e da distribuição dos tecidos, o que limita a sua fiabilidade para decisões de ajuste fino (Ibrahim et al., 2024 (#ref-ibrahim-2024)).</w:t>
      </w:r>
    </w:p>
    <w:p>
      <w:pPr>
        <w:pStyle w:val="BodyText"/>
        <w:bidi w:val="0"/>
        <w:spacing w:before="0" w:after="0"/>
        <w:ind w:hanging="0" w:left="0" w:right="0"/>
        <w:jc w:val="left"/>
        <w:rPr/>
      </w:pPr>
      <w:r>
        <w:rPr/>
      </w:r>
    </w:p>
    <w:p>
      <w:pPr>
        <w:pStyle w:val="BodyText"/>
        <w:bidi w:val="0"/>
        <w:spacing w:before="0" w:after="0"/>
        <w:ind w:hanging="0" w:left="0" w:right="0"/>
        <w:jc w:val="left"/>
        <w:rPr/>
      </w:pPr>
      <w:r>
        <w:rPr/>
        <w:t xml:space="preserve">2. </w:t>
      </w:r>
      <w:r>
        <w:rPr/>
        <w:t xml:space="preserve">A </w:t>
      </w:r>
      <w:r>
        <w:rPr/>
        <w:t>Digitalização 3D</w:t>
      </w:r>
      <w:commentRangeStart w:id="12"/>
      <w:r>
        <w:rPr>
          <w:shd w:fill="FFFF00" w:val="clear"/>
        </w:rPr>
        <w:t xml:space="preserve"> (scanning óptico)</w:t>
      </w:r>
      <w:r>
        <w:rPr>
          <w:shd w:fill="FFFF00" w:val="clear"/>
        </w:rPr>
      </w:r>
      <w:commentRangeEnd w:id="12"/>
      <w:r>
        <w:commentReference w:id="12"/>
      </w:r>
      <w:r>
        <w:rPr/>
        <w:t>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variação entre aquisições são relatados quando a geometria é irregular, como em membro</w:t>
      </w:r>
      <w:r>
        <w:rPr/>
        <w:t>s</w:t>
      </w:r>
      <w:r>
        <w:rPr/>
        <w:t xml:space="preserve"> residua</w:t>
      </w:r>
      <w:r>
        <w:rPr/>
        <w:t>is</w:t>
      </w:r>
      <w:r>
        <w:rPr/>
        <w:t xml:space="preserve"> complexos (Squibb et al., 2024 (#ref-squibb-2024)).</w:t>
      </w:r>
    </w:p>
    <w:p>
      <w:pPr>
        <w:pStyle w:val="BodyText"/>
        <w:bidi w:val="0"/>
        <w:spacing w:before="0" w:after="0"/>
        <w:ind w:hanging="0" w:left="0" w:right="0"/>
        <w:jc w:val="left"/>
        <w:rPr/>
      </w:pPr>
      <w:r>
        <w:rPr/>
      </w:r>
    </w:p>
    <w:p>
      <w:pPr>
        <w:pStyle w:val="BodyText"/>
        <w:bidi w:val="0"/>
        <w:spacing w:before="0" w:after="0"/>
        <w:ind w:hanging="0" w:left="0" w:right="0"/>
        <w:jc w:val="left"/>
        <w:rPr/>
      </w:pPr>
      <w:r>
        <w:rPr/>
        <w:t xml:space="preserve">3. A fotogrametria reconstrói modelos 3D a partir de fotografias 2D, incluindo soluções baseadas em telemóveis. É apresentada como um método promissor pela rapidez de captura e pelo potencial de democratização, embora possa exigir maior tempo de processamento, cuidados com a iluminação e uma captação fotográfica suficientemente abrangente, com imagens sobrepostas e obtidas a partir de diferentes ângulos. </w:t>
      </w:r>
      <w:commentRangeStart w:id="13"/>
      <w:r>
        <w:rPr>
          <w:shd w:fill="FFFF00" w:val="clear"/>
        </w:rPr>
        <w:t>Em síntese, as ortóteses constituem uma das abordagens mais adequadas para a aquisição da geometria 3D do corpo em fluxos personalizados (Silva et al., 2024 (#ref-silva-2024)).</w:t>
      </w:r>
      <w:commentRangeEnd w:id="13"/>
      <w:r>
        <w:commentReference w:id="13"/>
      </w:r>
      <w:r>
        <w:rPr>
          <w:shd w:fill="FFFF00" w:val="clear"/>
        </w:rPr>
      </w:r>
    </w:p>
    <w:p>
      <w:pPr>
        <w:pStyle w:val="BodyText"/>
        <w:bidi w:val="0"/>
        <w:spacing w:before="0" w:after="0"/>
        <w:ind w:hanging="0" w:left="0" w:right="0"/>
        <w:jc w:val="left"/>
        <w:rPr/>
      </w:pPr>
      <w:r>
        <w:rPr/>
      </w:r>
    </w:p>
    <w:p>
      <w:pPr>
        <w:pStyle w:val="BodyText"/>
        <w:bidi w:val="0"/>
        <w:spacing w:before="0" w:after="0"/>
        <w:ind w:hanging="0" w:left="0" w:right="0"/>
        <w:jc w:val="left"/>
        <w:rPr/>
      </w:pPr>
      <w:r>
        <w:rPr/>
        <w:t>4. Imagens médicas (</w:t>
      </w:r>
      <w:commentRangeStart w:id="14"/>
      <w:r>
        <w:rPr>
          <w:shd w:fill="FFFF00" w:val="clear"/>
        </w:rPr>
        <w:t>CT/MRI</w:t>
      </w:r>
      <w:r>
        <w:rPr>
          <w:shd w:fill="FFFF00" w:val="clear"/>
        </w:rPr>
      </w:r>
      <w:commentRangeEnd w:id="14"/>
      <w:r>
        <w:commentReference w:id="14"/>
      </w:r>
      <w:r>
        <w:rPr/>
        <w:t xml:space="preserve">) permitem obter geometria externa e, em alguns casos, informação interna (por exemplo, estruturas ósseas), o que sustenta modelos mais ricos e </w:t>
      </w:r>
      <w:commentRangeStart w:id="15"/>
      <w:r>
        <w:rPr>
          <w:shd w:fill="FFFF00" w:val="clear"/>
        </w:rPr>
        <w:t>abordagens como a modelação estatística</w:t>
      </w:r>
      <w:r>
        <w:rPr>
          <w:shd w:fill="FFFF00" w:val="clear"/>
        </w:rPr>
      </w:r>
      <w:commentRangeEnd w:id="15"/>
      <w:r>
        <w:commentReference w:id="15"/>
      </w:r>
      <w:r>
        <w:rPr/>
        <w:t xml:space="preserve"> de forma. Contudo, envolve maior custo e menor acessibilidade e, no caso do CT, implica considerações associadas à exposição à radiação e à dependência do contexto hospitalar.</w:t>
      </w:r>
    </w:p>
    <w:p>
      <w:pPr>
        <w:pStyle w:val="BodyText"/>
        <w:bidi w:val="0"/>
        <w:spacing w:before="0" w:after="0"/>
        <w:ind w:hanging="0" w:left="0" w:right="0"/>
        <w:jc w:val="left"/>
        <w:rPr/>
      </w:pPr>
      <w:r>
        <w:rPr/>
      </w:r>
    </w:p>
    <w:p>
      <w:pPr>
        <w:pStyle w:val="BodyText"/>
        <w:bidi w:val="0"/>
        <w:ind w:hanging="0" w:left="0" w:right="0"/>
        <w:jc w:val="left"/>
        <w:rPr/>
      </w:pPr>
      <w:r>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commentRangeStart w:id="16"/>
      <w:r>
        <w:rPr>
          <w:shd w:fill="FFFF00" w:val="clear"/>
        </w:rPr>
        <w:t>“hot spots” térmicos</w:t>
      </w:r>
      <w:r>
        <w:rPr>
          <w:shd w:fill="FFFF00" w:val="clear"/>
        </w:rPr>
      </w:r>
      <w:commentRangeEnd w:id="16"/>
      <w:r>
        <w:commentReference w:id="16"/>
      </w:r>
      <w:r>
        <w:rPr/>
        <w:t xml:space="preserve"> e flutuações de volume do </w:t>
      </w:r>
      <w:r>
        <w:rPr/>
        <w:t>membro residual</w:t>
      </w:r>
      <w:r>
        <w:rPr/>
        <w:t>.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spacing w:before="0" w:after="283"/>
        <w:ind w:hanging="0" w:left="0" w:right="0"/>
        <w:jc w:val="left"/>
        <w:rPr/>
      </w:pPr>
      <w:r>
        <w:rPr/>
        <w:t>Interpretação e aplicação de dados antropométricos no projeto</w:t>
      </w:r>
    </w:p>
    <w:p>
      <w:pPr>
        <w:pStyle w:val="BodyText"/>
        <w:bidi w:val="0"/>
        <w:spacing w:before="0" w:after="0"/>
        <w:ind w:hanging="0" w:left="0" w:right="0"/>
        <w:jc w:val="left"/>
        <w:rPr/>
      </w:pPr>
      <w:r>
        <w:rPr/>
        <w:t>A passagem de dados antropométricos para critérios de projeto ocorre por diferentes vias analíticas:</w:t>
      </w:r>
    </w:p>
    <w:p>
      <w:pPr>
        <w:pStyle w:val="BodyText"/>
        <w:bidi w:val="0"/>
        <w:spacing w:before="0" w:after="0"/>
        <w:ind w:hanging="0" w:left="0" w:right="0"/>
        <w:jc w:val="left"/>
        <w:rPr/>
      </w:pPr>
      <w:r>
        <w:rPr/>
        <w:t xml:space="preserve">– </w:t>
      </w:r>
      <w:r>
        <w:rPr/>
        <w:t xml:space="preserve">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w:t>
      </w:r>
    </w:p>
    <w:p>
      <w:pPr>
        <w:pStyle w:val="BodyText"/>
        <w:bidi w:val="0"/>
        <w:spacing w:before="0" w:after="0"/>
        <w:ind w:hanging="0" w:left="0" w:right="0"/>
        <w:jc w:val="left"/>
        <w:rPr/>
      </w:pPr>
      <w:r>
        <w:rPr/>
        <w:t xml:space="preserve">– </w:t>
      </w:r>
      <w:r>
        <w:rPr/>
        <w:t xml:space="preserve">Métodos multivariados e aprendizagem estatística: usados quando se trabalha com dados de alta dimensionalidade (malhas, secções, nuvens de pontos), permitindo extrair padrões de retificação ou modos de variação. </w:t>
      </w:r>
    </w:p>
    <w:p>
      <w:pPr>
        <w:pStyle w:val="BodyText"/>
        <w:bidi w:val="0"/>
        <w:spacing w:before="0" w:after="0"/>
        <w:ind w:hanging="0" w:left="0" w:right="0"/>
        <w:jc w:val="left"/>
        <w:rPr/>
      </w:pPr>
      <w:r>
        <w:rPr/>
        <w:t xml:space="preserve">– </w:t>
      </w:r>
      <w:r>
        <w:rPr/>
        <w:t>Modelos preditivos e modelação estatística de forma (</w:t>
      </w:r>
      <w:commentRangeStart w:id="17"/>
      <w:r>
        <w:rPr>
          <w:shd w:fill="FFFF00" w:val="clear"/>
        </w:rPr>
        <w:t>SSM</w:t>
      </w:r>
      <w:r>
        <w:rPr>
          <w:shd w:fill="FFFF00" w:val="clear"/>
        </w:rPr>
      </w:r>
      <w:commentRangeEnd w:id="17"/>
      <w:r>
        <w:commentReference w:id="17"/>
      </w:r>
      <w:r>
        <w:rPr/>
        <w:t xml:space="preserve">): aplicados para reconstruir a geometria a partir de medições reduzidas e inferir relações entre a superfície e a anatomia interna, </w:t>
      </w:r>
      <w:commentRangeStart w:id="18"/>
      <w:r>
        <w:rPr>
          <w:shd w:fill="FFFF00" w:val="clear"/>
        </w:rPr>
        <w:t xml:space="preserve">com PCA e regressões </w:t>
      </w:r>
      <w:r>
        <w:rPr>
          <w:shd w:fill="FFFF00" w:val="clear"/>
        </w:rPr>
      </w:r>
      <w:commentRangeEnd w:id="18"/>
      <w:r>
        <w:commentReference w:id="18"/>
      </w:r>
      <w:r>
        <w:rPr/>
        <w:t>como ferramentas frequentes, embora limitados por tamanhos amostrais reduzidos em vários estudos (Sunderland et al., 2024 (#ref-sunderland-2024)).</w:t>
      </w:r>
    </w:p>
    <w:p>
      <w:pPr>
        <w:pStyle w:val="BodyText"/>
        <w:bidi w:val="0"/>
        <w:ind w:hanging="0" w:left="0" w:right="0"/>
        <w:jc w:val="left"/>
        <w:rPr/>
      </w:pPr>
      <w:r>
        <w:rPr/>
        <w:t xml:space="preserve">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w:t>
      </w:r>
      <w:r>
        <w:rPr/>
        <w:t>do membro residual</w:t>
      </w:r>
      <w:r>
        <w:rPr/>
        <w:t xml:space="preserve"> como etapa decisiva para a qualidade do encaixe (Kannenberg et al., 2024 (#ref-kannenberg-2024); Young et al., 2023 (#ref-young-2023)).</w:t>
      </w:r>
    </w:p>
    <w:p>
      <w:pPr>
        <w:pStyle w:val="Heading3"/>
        <w:bidi w:val="0"/>
        <w:spacing w:before="0" w:after="283"/>
        <w:ind w:hanging="0" w:left="0" w:right="0"/>
        <w:jc w:val="left"/>
        <w:rPr/>
      </w:pPr>
      <w:r>
        <w:rPr/>
        <w:t>Evidência por tipo de dispositivo</w:t>
      </w:r>
    </w:p>
    <w:p>
      <w:pPr>
        <w:pStyle w:val="BodyText"/>
        <w:bidi w:val="0"/>
        <w:spacing w:before="0" w:after="0"/>
        <w:ind w:hanging="0" w:left="0" w:right="0"/>
        <w:jc w:val="left"/>
        <w:rPr/>
      </w:pPr>
      <w:r>
        <w:rPr/>
        <w:t>Embora os princípios sejam transversais, a literatura evidencia diferenças por tipo de dispositivo:</w:t>
      </w:r>
    </w:p>
    <w:p>
      <w:pPr>
        <w:pStyle w:val="BodyText"/>
        <w:bidi w:val="0"/>
        <w:ind w:hanging="0" w:left="0" w:right="0"/>
        <w:jc w:val="left"/>
        <w:rPr/>
      </w:pPr>
      <w:r>
        <w:rPr/>
        <w:t xml:space="preserve">– </w:t>
      </w:r>
      <w:r>
        <w:rPr/>
        <w:t xml:space="preserve">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não se limita a mudar de formato, mas também a alterar o resultado do ajuste final (Kannenberg et al., 2024 (#ref-kannenberg-2024); Silva et al., 2024 (#ref-silva-2024)). </w:t>
      </w:r>
    </w:p>
    <w:p>
      <w:pPr>
        <w:pStyle w:val="BodyText"/>
        <w:bidi w:val="0"/>
        <w:ind w:hanging="0" w:left="0" w:right="0"/>
        <w:jc w:val="left"/>
        <w:rPr/>
      </w:pPr>
      <w:r>
        <w:rPr/>
        <w:t xml:space="preserve">– </w:t>
      </w:r>
      <w:r>
        <w:rPr/>
        <w:t>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w:t>
      </w:r>
    </w:p>
    <w:p>
      <w:pPr>
        <w:pStyle w:val="BodyText"/>
        <w:bidi w:val="0"/>
        <w:ind w:hanging="0" w:left="0" w:right="0"/>
        <w:jc w:val="left"/>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spacing w:before="0" w:after="283"/>
        <w:ind w:hanging="0" w:left="0" w:right="0"/>
        <w:jc w:val="left"/>
        <w:rPr/>
      </w:pPr>
      <w:r>
        <w:rPr/>
        <w:t>Limitações, lacunas e recomendações</w:t>
      </w:r>
    </w:p>
    <w:p>
      <w:pPr>
        <w:pStyle w:val="BodyText"/>
        <w:bidi w:val="0"/>
        <w:spacing w:before="0" w:after="0"/>
        <w:ind w:hanging="0" w:left="0" w:right="0"/>
        <w:jc w:val="left"/>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BodyText"/>
        <w:bidi w:val="0"/>
        <w:spacing w:before="0" w:after="0"/>
        <w:ind w:hanging="0" w:left="0" w:right="0"/>
        <w:jc w:val="left"/>
        <w:rPr/>
      </w:pPr>
      <w:r>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BodyText"/>
        <w:bidi w:val="0"/>
        <w:spacing w:before="0" w:after="0"/>
        <w:ind w:hanging="0" w:left="0" w:right="0"/>
        <w:jc w:val="left"/>
        <w:rPr/>
      </w:pPr>
      <w:r>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BodyText"/>
        <w:bidi w:val="0"/>
        <w:ind w:hanging="0" w:left="0" w:right="0"/>
        <w:jc w:val="left"/>
        <w:rPr/>
      </w:pPr>
      <w:r>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spacing w:before="0" w:after="283"/>
        <w:ind w:hanging="0" w:left="0" w:right="0"/>
        <w:jc w:val="left"/>
        <w:rPr/>
      </w:pPr>
      <w:r>
        <w:rPr/>
        <w:t>Estruturação de dados</w:t>
      </w:r>
    </w:p>
    <w:p>
      <w:pPr>
        <w:pStyle w:val="BodyText"/>
        <w:bidi w:val="0"/>
        <w:spacing w:before="0" w:after="0"/>
        <w:ind w:hanging="0" w:left="0" w:right="0"/>
        <w:jc w:val="left"/>
        <w:rPr/>
      </w:pPr>
      <w:r>
        <w:rPr/>
        <w:t>A antropometria aplicada ao design protésico evoluiu para um paradigma digital centrado na captura e na interpretação tridimensiona</w:t>
      </w:r>
      <w:r>
        <w:rPr/>
        <w:t>l</w:t>
      </w:r>
      <w:r>
        <w:rPr/>
        <w:t>,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BodyText"/>
        <w:bidi w:val="0"/>
        <w:ind w:hanging="0" w:left="0" w:right="0"/>
        <w:jc w:val="left"/>
        <w:rPr/>
      </w:pPr>
      <w:r>
        <w:rPr/>
        <w:t>No contexto desta investigação, esta necessidade foi operacionalizada por meio da construção de uma base local consolidada de medidas da mão e do membro superior distal. A descrição detalhada da seleção das fontes, da extração dos valores, da normalização dos dados e de sua tradução em parâmetros de projeto é retomada no Capítulo 4, em que esses dados deixam de ser apenas um enquadramento teórico e passam a integrar a metodologia de desenvolvimento do modelo paramétrico.</w:t>
      </w:r>
    </w:p>
    <w:p>
      <w:pPr>
        <w:pStyle w:val="Heading3"/>
        <w:bidi w:val="0"/>
        <w:spacing w:before="0" w:after="283"/>
        <w:ind w:hanging="0" w:left="0" w:right="0"/>
        <w:jc w:val="left"/>
        <w:rPr/>
      </w:pPr>
      <w:r>
        <w:rPr/>
        <w:t>2.5 Inteligência Artificial no processo de design</w:t>
      </w:r>
    </w:p>
    <w:p>
      <w:pPr>
        <w:pStyle w:val="BodyText"/>
        <w:bidi w:val="0"/>
        <w:spacing w:before="0" w:after="0"/>
        <w:ind w:hanging="0" w:left="0" w:right="0"/>
        <w:jc w:val="left"/>
        <w:rPr/>
      </w:pPr>
      <w:r>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w:t>
      </w:r>
    </w:p>
    <w:p>
      <w:pPr>
        <w:pStyle w:val="BodyText"/>
        <w:bidi w:val="0"/>
        <w:spacing w:before="0" w:after="0"/>
        <w:ind w:hanging="0" w:left="0" w:right="0"/>
        <w:jc w:val="left"/>
        <w:rPr/>
      </w:pPr>
      <w:r>
        <w:rPr/>
        <w:t xml:space="preserve">Deste modo, a análise deve iniciar-se por uma clarificação conceptual que situe o tema no domínio do Design Industrial. </w:t>
      </w:r>
      <w:r>
        <w:rPr/>
        <w:t>O</w:t>
      </w:r>
      <w:r>
        <w:rPr/>
        <w:t xml:space="preserve">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BodyText"/>
        <w:bidi w:val="0"/>
        <w:spacing w:before="0" w:after="0"/>
        <w:ind w:hanging="0" w:left="0" w:right="0"/>
        <w:jc w:val="left"/>
        <w:rPr/>
      </w:pPr>
      <w:r>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jc w:val="center"/>
      </w:pPr>
      <w:r>
        <w:drawing>
          <wp:inline distT="0" distB="0" distL="0" distR="0">
            <wp:extent cx="5394960" cy="2498893"/>
            <wp:effectExtent l="0" t="0" r="0" b="0"/>
            <wp:docPr id="6" name="ch2_ai_driven_computer_aided_design_cad_figure1_p6.png"/>
            <wp:cNvGraphicFramePr>
              <a:graphicFrameLocks noChangeAspect="1"/>
            </wp:cNvGraphicFramePr>
            <a:graphic>
              <a:graphicData uri="http://schemas.openxmlformats.org/drawingml/2006/picture">
                <pic:pic>
                  <pic:nvPicPr>
                    <pic:cNvPr id="0" name="ch2_ai_driven_computer_aided_design_cad_figure1_p6.png"/>
                    <pic:cNvPicPr/>
                  </pic:nvPicPr>
                  <pic:blipFill>
                    <a:blip r:embed="rId12"/>
                    <a:stretch>
                      <a:fillRect/>
                    </a:stretch>
                  </pic:blipFill>
                  <pic:spPr>
                    <a:xfrm>
                      <a:off x="0" y="0"/>
                      <a:ext cx="5394960" cy="2498893"/>
                    </a:xfrm>
                    <a:prstGeom prst="rect">
                      <a:avLst/>
                    </a:prstGeom>
                  </pic:spPr>
                </pic:pic>
              </a:graphicData>
            </a:graphic>
          </wp:inline>
        </w:drawing>
      </w:r>
    </w:p>
    <w:p>
      <w:pPr>
        <w:pStyle w:val="BodyText"/>
        <w:bidi w:val="0"/>
        <w:spacing w:before="0" w:after="0"/>
        <w:ind w:hanging="0" w:left="0" w:right="0"/>
        <w:jc w:val="left"/>
        <w:rPr/>
      </w:pPr>
      <w:r>
        <w:rPr/>
        <w:t>Figura 2.6 — Enquadramento de um fluxo de CAD assistido por IA para desenvolvimento de produto.</w:t>
      </w:r>
    </w:p>
    <w:p>
      <w:pPr>
        <w:pStyle w:val="BodyText"/>
        <w:bidi w:val="0"/>
        <w:ind w:hanging="0" w:left="0" w:right="0"/>
        <w:jc w:val="left"/>
        <w:rPr/>
      </w:pPr>
      <w:r>
        <w:rP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bidi w:val="0"/>
        <w:spacing w:before="0" w:after="283"/>
        <w:ind w:hanging="0" w:left="0" w:right="0"/>
        <w:jc w:val="left"/>
        <w:rPr/>
      </w:pPr>
      <w:r>
        <w:rPr/>
        <w:t>O que é a Inteligência Artificial</w:t>
      </w:r>
    </w:p>
    <w:p>
      <w:pPr>
        <w:pStyle w:val="BodyText"/>
        <w:bidi w:val="0"/>
        <w:spacing w:before="0" w:after="0"/>
        <w:ind w:hanging="0" w:left="0" w:right="0"/>
        <w:jc w:val="left"/>
        <w:rPr/>
      </w:pPr>
      <w:r>
        <w:rP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BodyText"/>
        <w:bidi w:val="0"/>
        <w:ind w:hanging="0" w:left="0" w:right="0"/>
        <w:jc w:val="left"/>
        <w:rPr/>
      </w:pPr>
      <w:r>
        <w:rPr/>
        <w:t xml:space="preserve">Dentro deste campo, a aprendizagem automática designa as abordagens em que o sistema aprende a partir de dados, em vez de depender exclusivamente de regras explicitamente escritas. A aprendizagem profunda corresponde a um subconjunto desta família e baseia-se em </w:t>
      </w:r>
      <w:commentRangeStart w:id="19"/>
      <w:r>
        <w:rPr>
          <w:shd w:fill="FFFF00" w:val="clear"/>
        </w:rPr>
        <w:t>redes neuronais artificiais</w:t>
      </w:r>
      <w:r>
        <w:rPr>
          <w:shd w:fill="FFFF00" w:val="clear"/>
        </w:rPr>
      </w:r>
      <w:commentRangeEnd w:id="19"/>
      <w:r>
        <w:commentReference w:id="19"/>
      </w:r>
      <w:r>
        <w:rPr/>
        <w:t xml:space="preserve"> com múltiplas camadas, particularmente adequadas para tratar dados complexos, como imagens, texto ou som. A IA generativa refere-se a modelos capazes de produzir novos conteúdos, como texto, imagens, composições formais ou variantes de projeto, com base em padrões identificados nos dados utilizados no seu treino.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spacing w:before="0" w:after="283"/>
        <w:ind w:hanging="0" w:left="0" w:right="0"/>
        <w:jc w:val="left"/>
        <w:rPr/>
      </w:pPr>
      <w:r>
        <w:rPr/>
        <w:t>Como funciona: dados, treino, inferência e geração</w:t>
      </w:r>
    </w:p>
    <w:p>
      <w:pPr>
        <w:pStyle w:val="BodyText"/>
        <w:bidi w:val="0"/>
        <w:spacing w:before="0" w:after="0"/>
        <w:ind w:hanging="0" w:left="0" w:right="0"/>
        <w:jc w:val="left"/>
        <w:rPr/>
      </w:pPr>
      <w:r>
        <w:rPr/>
        <w:t xml:space="preserve">O funcionamento básico da maioria dos sistemas atuais de IA pode ser explicado em quatro etapas: dados, treino, inferência e, em certos casos, geração. Em primeiro lugar, o sistema necessita de dados de entrada, isto é, exemplos a partir dos quais podem ser identificados padrões. Em segundo lugar, durante a fase de treino, o modelo ajusta os seus parâmetros internos de modo a representar relações recorrentes presentes nos dados. Em terceiro lugar, após o treino, o modelo passa a realizar inferência, produzindo previsões, classificações, recomendações ou respostas perante novos casos. Nos modelos generativos, pode ainda ocorrer um quarto momento: a produção de novos conteúdos compatíveis com os padrões representados pelo modelo, em vez de uma simples classificação ou previsão. </w:t>
      </w:r>
      <w:r>
        <w:rPr/>
        <w:t>Conteúdos</w:t>
      </w:r>
      <w:r>
        <w:rPr/>
        <w:t xml:space="preserve"> como texto, imagem, som ou variantes formais. (Ao et al., 2025 (#ref-ao-2025); Menaka et al., 2025 (#ref-menaka-2025); Panchal et al., 2019 (#ref-panchal-2019)).</w:t>
      </w:r>
    </w:p>
    <w:p>
      <w:pPr>
        <w:pStyle w:val="BodyText"/>
        <w:bidi w:val="0"/>
        <w:spacing w:before="0" w:after="0"/>
        <w:ind w:hanging="0" w:left="0" w:right="0"/>
        <w:jc w:val="left"/>
        <w:rPr/>
      </w:pPr>
      <w:r>
        <w:rPr/>
        <w:t>Esta lógica distingue a IA contemporânea dos sistemas determinísticos tradicionais. Nestes sistemas, o comportamento é prescrito antecipadamente: perante uma determinada condição, executa-se uma ação previamente definida.</w:t>
      </w:r>
    </w:p>
    <w:p>
      <w:pPr>
        <w:pStyle w:val="BodyText"/>
        <w:bidi w:val="0"/>
        <w:spacing w:before="0" w:after="0"/>
        <w:ind w:hanging="0" w:left="0" w:right="0"/>
        <w:jc w:val="left"/>
        <w:rPr/>
      </w:pPr>
      <w:r>
        <w:rPr/>
        <w:t>Num sistema treinado com dados, pelo contrário, o comportamento emerge da exposição a exemplos. Esta diferença ajuda a compreender tanto o potencial como as limitações da IA contemporânea. O seu potencial reside na capacidade de processar grande complexidade, variabilidade e volume de informação. As suas limitações decorrem, em parte, da dependência dos dados utilizados no treino, podendo o sistema reproduzir enviesamentos, simplificações e erros já presentes nesses dados. (Panchal et al., 2019 (#ref-panchal-2019); Yüksel et al., 2023 (#ref-yuksel-2023)).</w:t>
      </w:r>
    </w:p>
    <w:p>
      <w:pPr>
        <w:pStyle w:val="BodyText"/>
        <w:bidi w:val="0"/>
        <w:ind w:hanging="0" w:left="0" w:right="0"/>
        <w:jc w:val="left"/>
        <w:rPr/>
      </w:pPr>
      <w:r>
        <w:rPr/>
        <w:t xml:space="preserve">Nos modelos generativos, este processo torna-se particularmente visível. O sistema aprende distribuições de forma, linguagem, composição ou estilo e, a partir daí, produz novas saídas em resposta a condições ou </w:t>
      </w:r>
      <w:commentRangeStart w:id="20"/>
      <w:r>
        <w:rPr>
          <w:i/>
          <w:iCs/>
          <w:shd w:fill="FFFF00" w:val="clear"/>
        </w:rPr>
        <w:t>prompts</w:t>
      </w:r>
      <w:r>
        <w:rPr>
          <w:i/>
          <w:iCs/>
          <w:shd w:fill="FFFF00" w:val="clear"/>
        </w:rPr>
      </w:r>
      <w:commentRangeEnd w:id="20"/>
      <w:r>
        <w:commentReference w:id="20"/>
      </w:r>
      <w:r>
        <w:rPr/>
        <w:t>. Isto permite criar imagens, textos ou alternativas formais que não existiam previamente naquela forma exata, mas também significa que o resultado pode ser apenas plausível, e não necessariamente adequado, original ou tecnicamente robusto. No contexto do design, importa distinguir a capacidade de gerar alternativas da capacidade de formular respostas projetuais adequadas, uma vez que a quantidade de opções produzidas não corresponde necessariamente à qualidade da solução. (Burnap et al., 2019 (#ref-burnap-2019); Choudhury et al., 2025 (#ref-choudhury-2025); Li et al., 2021 (#ref-li-2021)).</w:t>
      </w:r>
    </w:p>
    <w:p>
      <w:pPr>
        <w:pStyle w:val="Heading3"/>
        <w:bidi w:val="0"/>
        <w:spacing w:before="0" w:after="283"/>
        <w:ind w:hanging="0" w:left="0" w:right="0"/>
        <w:jc w:val="left"/>
        <w:rPr/>
      </w:pPr>
      <w:r>
        <w:rPr/>
        <w:t>Formas de IA mais relevantes para o design</w:t>
      </w:r>
    </w:p>
    <w:p>
      <w:pPr>
        <w:pStyle w:val="BodyText"/>
        <w:bidi w:val="0"/>
        <w:spacing w:before="0" w:after="0"/>
        <w:ind w:hanging="0" w:left="0" w:right="0"/>
        <w:jc w:val="left"/>
        <w:rPr/>
      </w:pPr>
      <w:r>
        <w:rPr/>
        <w:t>A literatura identifica diferentes áreas de aplicação da IA com relevância direta para a prática do design. Entre estas, destaca-se o apoio à decisão, no qual sistemas analíticos permitem interpretar grandes volumes de informação, comparar alternativas e reduzir a carga cognitiva associada a problemas multivariados. A otimização constitui outra área relevante, sobretudo na engenharia de produto, na parametrização e no fabrico, ao permitir explorar combinações possíveis e identificar soluções com melhor desempenho estrutural, funcional ou produtivo. A visão por computador, por sua vez, é utilizada em processos que exigem a interpretação de imagens, formas ou padrões visuais. O processamento de linguagem natural permite a interação com sistemas complexos através de descrições semânticas, reduzindo a dependência de comandos técnicos rígidos. Por fim, os sistemas generativos, atualmente mais visíveis no debate público e académico, distinguem-se pela capacidade de produzir texto, imagem, forma ou variantes de projeto em resposta a determinadas condições de entrada. (Ao et al., 2025 (#ref-ao-2025); Khanolkar et al., 2023 (#ref-khanolkar-2023); Wang &amp; Hu, 2024 (#ref-wang-2024)).</w:t>
      </w:r>
    </w:p>
    <w:p>
      <w:pPr>
        <w:pStyle w:val="BodyText"/>
        <w:bidi w:val="0"/>
        <w:ind w:hanging="0" w:left="0" w:right="0"/>
        <w:jc w:val="left"/>
        <w:rPr/>
      </w:pPr>
      <w:r>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spacing w:before="0" w:after="283"/>
        <w:ind w:hanging="0" w:left="0" w:right="0"/>
        <w:jc w:val="left"/>
        <w:rPr/>
      </w:pPr>
      <w:r>
        <w:rPr/>
        <w:t>IA ao longo do processo de design</w:t>
      </w:r>
    </w:p>
    <w:p>
      <w:pPr>
        <w:pStyle w:val="BodyText"/>
        <w:bidi w:val="0"/>
        <w:spacing w:before="0" w:after="0"/>
        <w:ind w:hanging="0" w:left="0" w:right="0"/>
        <w:jc w:val="left"/>
        <w:rPr/>
      </w:pPr>
      <w:r>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nas tendências, nos dados de mercado ou nos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BodyText"/>
        <w:bidi w:val="0"/>
        <w:ind w:hanging="0" w:left="0" w:right="0"/>
        <w:jc w:val="left"/>
        <w:rPr/>
      </w:pPr>
      <w:r>
        <w:rP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w:t>
      </w:r>
      <w:commentRangeStart w:id="21"/>
      <w:r>
        <w:rPr>
          <w:shd w:fill="FFFF00" w:val="clear"/>
        </w:rPr>
        <w:t xml:space="preserve"> jul</w:t>
      </w:r>
      <w:r>
        <w:rPr>
          <w:shd w:fill="FFFF38" w:val="clear"/>
        </w:rPr>
        <w:t>gamento humano</w:t>
      </w:r>
      <w:r>
        <w:rPr>
          <w:shd w:fill="FFFF00" w:val="clear"/>
        </w:rPr>
      </w:r>
      <w:commentRangeEnd w:id="21"/>
      <w:r>
        <w:commentReference w:id="21"/>
      </w:r>
      <w:r>
        <w:rPr/>
        <w:t xml:space="preserve">. </w:t>
      </w:r>
      <w:r>
        <w:rPr>
          <w:shd w:fill="800080" w:val="clear"/>
        </w:rPr>
        <w:t>A IA pode ampliar o que é possível explorar e tornar mais rápida a comparação entre alternativas, mas não elimina a necessidade de decidir o que faz sentido desenvolver, para quem, em que contexto e com que consequência</w:t>
      </w:r>
      <w:r>
        <w:rPr/>
        <w:t>s (Ao et al., 2025 (#ref-ao-2025); Choudhury et al., 2025 (#ref-choudhury-2025); Virós-i-Martin &amp; Selva, 2021 (#ref-viros-i-martin-2021)).</w:t>
      </w:r>
    </w:p>
    <w:p>
      <w:pPr>
        <w:pStyle w:val="Heading3"/>
        <w:bidi w:val="0"/>
        <w:spacing w:before="0" w:after="283"/>
        <w:ind w:hanging="0" w:left="0" w:right="0"/>
        <w:jc w:val="left"/>
        <w:rPr/>
      </w:pPr>
      <w:r>
        <w:rPr/>
        <w:t>Papel do designer, riscos e necessidade de supervisão humana</w:t>
      </w:r>
    </w:p>
    <w:p>
      <w:pPr>
        <w:pStyle w:val="BodyText"/>
        <w:bidi w:val="0"/>
        <w:spacing w:before="0" w:after="0"/>
        <w:ind w:hanging="0" w:left="0" w:right="0"/>
        <w:jc w:val="left"/>
        <w:rPr/>
      </w:pPr>
      <w:r>
        <w:rPr>
          <w:shd w:fill="800080" w:val="clear"/>
        </w:rPr>
        <w:t>Neste quadro, a questão central deixa de ser se a IA substitui o designer e passa a ser como ela redistribui a agência no processo de projeto</w:t>
      </w:r>
      <w:r>
        <w:rPr/>
        <w:t xml:space="preserve">. A literatura descreve uma deslocação do designer, </w:t>
      </w:r>
      <w:commentRangeStart w:id="22"/>
      <w:r>
        <w:rPr/>
        <w:t>enquanto gerador exclusivo de forma</w:t>
      </w:r>
      <w:r>
        <w:rPr/>
      </w:r>
      <w:commentRangeEnd w:id="22"/>
      <w:r>
        <w:commentReference w:id="22"/>
      </w:r>
      <w:r>
        <w:rPr/>
        <w:t>,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p>
    <w:p>
      <w:pPr>
        <w:pStyle w:val="BodyText"/>
        <w:bidi w:val="0"/>
        <w:spacing w:before="0" w:after="0"/>
        <w:ind w:hanging="0" w:left="0" w:right="0"/>
        <w:jc w:val="left"/>
        <w:rPr/>
      </w:pPr>
      <w:r>
        <w:rPr/>
        <w:t xml:space="preserve">É também neste ponto que emergem riscos relevantes associados à utilização de IA no design, entre os quais se destaca o enviesamento. </w:t>
      </w:r>
      <w:r>
        <w:rPr/>
        <w:t>M</w:t>
      </w:r>
      <w:r>
        <w:rPr/>
        <w:t>odelos treinados com dados históricos ou desequilibrados podem reproduzir exclusões, preferências dominantes e padrões culturais pouco representativos. A este problema acrescenta-se a opacidade de muitos sistemas, cujos resultados podem ser eficazes, mas difíceis de explicar quanto aos processos internos que os originam, dificultando a confiança, a verificação crítica e a responsabilização. Outro risco relevante é o erro, manifesto em respostas plausíveis, mas incorretas, em simplificações abusivas ou em sugestões sem robustez técnica suficiente. Estes aspetos articulam-se ainda com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BodyText"/>
        <w:bidi w:val="0"/>
        <w:ind w:hanging="0" w:left="0" w:right="0"/>
        <w:jc w:val="left"/>
        <w:rPr/>
      </w:pPr>
      <w:r>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Heading3"/>
        <w:bidi w:val="0"/>
        <w:spacing w:before="0" w:after="283"/>
        <w:ind w:hanging="0" w:left="0" w:right="0"/>
        <w:jc w:val="left"/>
        <w:rPr/>
      </w:pPr>
      <w:r>
        <w:rPr/>
        <w:t>Síntese</w:t>
      </w:r>
    </w:p>
    <w:p>
      <w:pPr>
        <w:pStyle w:val="BodyText"/>
        <w:bidi w:val="0"/>
        <w:spacing w:before="0" w:after="0"/>
        <w:ind w:hanging="0" w:left="0" w:right="0"/>
        <w:jc w:val="left"/>
        <w:rPr/>
      </w:pPr>
      <w:r>
        <w:rPr/>
        <w:t>Em síntese, a IA pode ser compreendida como um conjunto de métodos computacionais baseados em dados, capazes de aprender padrões, apoiar a inferência, gerar conteúdo e acelerar tarefas distribuídas ao longo de várias fases do processo de design. A sua relevância para o Design Industrial decorre menos de uma promessa de substituir a criatividade humana do que da sua capacidade de ampliar a exploração, apoiar a avaliação e tornar operáveis espaços de decisão mais complexos. O seu valor depende, contudo, do enquadramento: quanto mais o sistema exige interpretação contextual, sensibilidade humana, responsabilidade ética ou validação técnica, mais importante se torna o papel do designer como agente de mediação e controlo (Choudhury et al., 2025 (#ref-choudhury-2025); Saeidnia &amp; Ausloos, 2024 (#ref-saeidnia-2024); Verganti et al., 2020 (#ref-verganti-2020)).</w:t>
      </w:r>
    </w:p>
    <w:p>
      <w:pPr>
        <w:pStyle w:val="BodyText"/>
        <w:bidi w:val="0"/>
        <w:ind w:hanging="0" w:left="0" w:right="0"/>
        <w:jc w:val="left"/>
        <w:rPr/>
      </w:pPr>
      <w:r>
        <w:rPr/>
        <w:t>No âmbito desta investigação, esta leitura é decisiva porque legitima a integração da IA como camada assistiva à parametrização, e não como instância autónoma de projeto. Para sistemas orientados à personalização, à adaptação anatómica e ao apoio à decisão, a IA é mais útil quando ajuda a organizar alternativas, interpretar relações complexas e apoiar escolhas em espaços paramétricos amplos, preservando sempre a validação técnica, a rastreabilidade e a supervisão humana ao longo do processo (Ao et al., 2025 (#ref-ao-2025); Menaka et al., 2025 (#ref-menaka-2025); Wang &amp; Hu, 2024 (#ref-wang-2024)).</w:t>
      </w:r>
    </w:p>
    <w:p>
      <w:pPr>
        <w:pStyle w:val="Heading3"/>
        <w:bidi w:val="0"/>
        <w:spacing w:before="0" w:after="283"/>
        <w:ind w:hanging="0" w:left="0" w:right="0"/>
        <w:jc w:val="left"/>
        <w:rPr/>
      </w:pPr>
      <w:r>
        <w:rPr/>
        <w:t>2.6 Plataformas digitais e sistemas configuráveis</w:t>
      </w:r>
    </w:p>
    <w:p>
      <w:pPr>
        <w:pStyle w:val="BodyText"/>
        <w:bidi w:val="0"/>
        <w:spacing w:before="0" w:after="0"/>
        <w:ind w:hanging="0" w:left="0" w:right="0"/>
        <w:jc w:val="left"/>
        <w:rPr/>
      </w:pPr>
      <w:r>
        <w:rPr/>
        <w:t>A evolução recente do desenvolvimento de produto, particularmente em contextos de saúde e de tecnologias de apoio, tem sido acompanhada de um crescimento de plataformas digitais configuráveis e de sistemas participativos orientados à personalização. A literatura caracteriza estes sistemas como infraestruturas sociotécnicas que articulam enquadramentos conceptuais que legitimam e estruturam a participação, mecanismos técnicos de configurabilidade, como configuradores, parametrização e modularidade, e workflows participativos que traduzem experiência vivida em requisitos, protótipos e iterações de projeto (Fischer et al., 2004 (#ref-fischer-2004); Hippel &amp; Katz, 2002 (#ref-hippel-2002); Howard et al., 2022 (#ref-howard-2022)).</w:t>
      </w:r>
    </w:p>
    <w:p>
      <w:pPr>
        <w:pStyle w:val="BodyText"/>
        <w:bidi w:val="0"/>
        <w:ind w:hanging="0" w:left="0" w:right="0"/>
        <w:jc w:val="left"/>
        <w:rPr/>
      </w:pPr>
      <w:r>
        <w:rPr/>
        <w:t>Em domínios como a reabilitação e as tecnologias assistivas,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spacing w:before="0" w:after="283"/>
        <w:ind w:hanging="0" w:left="0" w:right="0"/>
        <w:jc w:val="left"/>
        <w:rPr/>
      </w:pPr>
      <w:r>
        <w:rPr/>
        <w:t>Fundamentos conceptuais: toolkits, meta-design e end-user development.</w:t>
      </w:r>
    </w:p>
    <w:p>
      <w:pPr>
        <w:pStyle w:val="BodyText"/>
        <w:bidi w:val="0"/>
        <w:spacing w:before="0" w:after="0"/>
        <w:ind w:hanging="0" w:left="0" w:right="0"/>
        <w:jc w:val="left"/>
        <w:rPr/>
      </w:pPr>
      <w:r>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BodyText"/>
        <w:bidi w:val="0"/>
        <w:spacing w:before="0" w:after="0"/>
        <w:ind w:hanging="0" w:left="0" w:right="0"/>
        <w:jc w:val="left"/>
        <w:rPr/>
      </w:pPr>
      <w:r>
        <w:rP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(#ref-costabile-2007); Fischer et al., 2004 (#ref-fischer-2004)).</w:t>
      </w:r>
    </w:p>
    <w:p>
      <w:pPr>
        <w:pStyle w:val="BodyText"/>
        <w:bidi w:val="0"/>
        <w:spacing w:before="0" w:after="0"/>
        <w:ind w:hanging="0" w:left="0" w:right="0"/>
        <w:jc w:val="left"/>
        <w:rPr/>
      </w:pPr>
      <w:r>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jc w:val="center"/>
      </w:pPr>
      <w:r>
        <w:drawing>
          <wp:inline distT="0" distB="0" distL="0" distR="0">
            <wp:extent cx="5394960" cy="2830230"/>
            <wp:effectExtent l="0" t="0" r="0" b="0"/>
            <wp:docPr id="7" name="ch2_a_framework_for_configuring_partici_figure1_p4.png"/>
            <wp:cNvGraphicFramePr>
              <a:graphicFrameLocks noChangeAspect="1"/>
            </wp:cNvGraphicFramePr>
            <a:graphic>
              <a:graphicData uri="http://schemas.openxmlformats.org/drawingml/2006/picture">
                <pic:pic>
                  <pic:nvPicPr>
                    <pic:cNvPr id="0" name="ch2_a_framework_for_configuring_partici_figure1_p4.png"/>
                    <pic:cNvPicPr/>
                  </pic:nvPicPr>
                  <pic:blipFill>
                    <a:blip r:embed="rId13"/>
                    <a:stretch>
                      <a:fillRect/>
                    </a:stretch>
                  </pic:blipFill>
                  <pic:spPr>
                    <a:xfrm>
                      <a:off x="0" y="0"/>
                      <a:ext cx="5394960" cy="2830230"/>
                    </a:xfrm>
                    <a:prstGeom prst="rect">
                      <a:avLst/>
                    </a:prstGeom>
                  </pic:spPr>
                </pic:pic>
              </a:graphicData>
            </a:graphic>
          </wp:inline>
        </w:drawing>
      </w:r>
    </w:p>
    <w:p>
      <w:pPr>
        <w:pStyle w:val="BodyText"/>
        <w:bidi w:val="0"/>
        <w:spacing w:before="0" w:after="0"/>
        <w:ind w:hanging="0" w:left="0" w:right="0"/>
        <w:jc w:val="left"/>
        <w:rPr/>
      </w:pPr>
      <w:r>
        <w:rPr/>
        <w:t>Figura 2.7 — Modelo de processo para configurar participação em ecossistemas de inovação e cocriação.</w:t>
      </w:r>
    </w:p>
    <w:p>
      <w:pPr>
        <w:pStyle w:val="BodyText"/>
        <w:bidi w:val="0"/>
        <w:spacing w:before="0" w:after="0"/>
        <w:ind w:hanging="0" w:left="0" w:right="0"/>
        <w:jc w:val="left"/>
        <w:rPr/>
      </w:pPr>
      <w:r>
        <w:rPr/>
        <w:t>Fonte original (APA 7): Akasaka, M., Veeckman, C., Georges, A., Schuurman, D., &amp; Coorevits, L. (2022). A framework for configuring participation in living labs. https://www.semanticscholar.org/paper/305d55af5fda06b4d1b33e7d29c1f16d1b7ea488</w:t>
      </w:r>
    </w:p>
    <w:p>
      <w:pPr>
        <w:pStyle w:val="BodyText"/>
        <w:bidi w:val="0"/>
        <w:spacing w:before="0" w:after="0"/>
        <w:ind w:hanging="0" w:left="0" w:right="0"/>
        <w:jc w:val="left"/>
        <w:rPr/>
      </w:pPr>
      <w:r>
        <w:rPr/>
        <w:t>A literatura identifica, contudo, riscos como a participation overload, isto é, a transferência excessiva de carga de trabalho e de decisão para os utilizadores, o que requer mecanismos de apoio, curadoria e reutilização para tornar a participação sustentável (Fischer et al., 2017 (#ref-fischer-2017)).</w:t>
      </w:r>
    </w:p>
    <w:p>
      <w:pPr>
        <w:pStyle w:val="BodyText"/>
        <w:bidi w:val="0"/>
        <w:spacing w:before="0" w:after="0"/>
        <w:ind w:hanging="0" w:left="0" w:right="0"/>
        <w:jc w:val="left"/>
        <w:rPr/>
      </w:pPr>
      <w:r>
        <w:rPr/>
        <w:t>Em paralelo, o conceito de Software Shaping Workshop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pStyle w:val="BodyText"/>
        <w:bidi w:val="0"/>
        <w:spacing w:before="0" w:after="0"/>
        <w:ind w:hanging="0" w:left="0" w:right="0"/>
        <w:jc w:val="left"/>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BodyText"/>
        <w:bidi w:val="0"/>
        <w:spacing w:before="0" w:after="0"/>
        <w:ind w:hanging="0" w:left="0" w:right="0"/>
        <w:jc w:val="left"/>
        <w:rPr/>
      </w:pPr>
      <w:r>
        <w:rPr/>
        <w:t>Tabela 2.2 — Elementos centrais na configuração da participação em sistemas configuráveis</w:t>
      </w:r>
    </w:p>
    <w:tbl>
      <w:tblPr>
        <w:tblW w:w="9026" w:type="dxa"/>
        <w:jc w:val="left"/>
        <w:tblInd w:w="28" w:type="dxa"/>
        <w:tblLayout w:type="fixed"/>
        <w:tblCellMar>
          <w:top w:w="28" w:type="dxa"/>
          <w:left w:w="28" w:type="dxa"/>
          <w:bottom w:w="28" w:type="dxa"/>
          <w:right w:w="28" w:type="dxa"/>
        </w:tblCellMar>
      </w:tblPr>
      <w:tblGrid>
        <w:gridCol w:w="2189"/>
        <w:gridCol w:w="6837"/>
      </w:tblGrid>
      <w:tr>
        <w:trPr/>
        <w:tc>
          <w:tcPr>
            <w:tcW w:w="2189"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Participantes</w:t>
            </w:r>
          </w:p>
        </w:tc>
        <w:tc>
          <w:tcPr>
            <w:tcW w:w="6837"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Que perfis participam, em que número e com que papel</w:t>
            </w:r>
          </w:p>
        </w:tc>
      </w:tr>
      <w:tr>
        <w:trPr/>
        <w:tc>
          <w:tcPr>
            <w:tcW w:w="2189"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Formato</w:t>
            </w:r>
          </w:p>
        </w:tc>
        <w:tc>
          <w:tcPr>
            <w:tcW w:w="683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Que canais, espaços e métodos suportam a colaboração</w:t>
            </w:r>
          </w:p>
        </w:tc>
      </w:tr>
      <w:tr>
        <w:trPr/>
        <w:tc>
          <w:tcPr>
            <w:tcW w:w="2189"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Contacto</w:t>
            </w:r>
          </w:p>
        </w:tc>
        <w:tc>
          <w:tcPr>
            <w:tcW w:w="683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Como se recrutam participantes e como se mantém a relação</w:t>
            </w:r>
          </w:p>
        </w:tc>
      </w:tr>
      <w:tr>
        <w:trPr/>
        <w:tc>
          <w:tcPr>
            <w:tcW w:w="2189"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Gestão da motivação</w:t>
            </w:r>
          </w:p>
        </w:tc>
        <w:tc>
          <w:tcPr>
            <w:tcW w:w="6837"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Que fatores promovem adesão e que barreiras dificultam continuidade</w:t>
            </w:r>
          </w:p>
        </w:tc>
      </w:tr>
    </w:tbl>
    <w:p>
      <w:pPr>
        <w:pStyle w:val="BodyText"/>
        <w:bidi w:val="0"/>
        <w:ind w:hanging="0" w:left="0" w:right="0"/>
        <w:jc w:val="left"/>
        <w:rPr/>
      </w:pPr>
      <w:r>
        <w:rPr/>
        <w:t>Fonte adaptada. Referência original (APA 7): Akasaka, M., Veeckman, C., Georges, A., Schuurman, D., &amp; Coorevits, L. (2022). A framework for configuring participation in living labs. https://www.semanticscholar.org/paper/305d55af5fda06b4d1b33e7d29c1f16d1b7ea488</w:t>
      </w:r>
    </w:p>
    <w:p>
      <w:pPr>
        <w:pStyle w:val="Heading3"/>
        <w:bidi w:val="0"/>
        <w:spacing w:before="0" w:after="283"/>
        <w:ind w:hanging="0" w:left="0" w:right="0"/>
        <w:jc w:val="left"/>
        <w:rPr/>
      </w:pPr>
      <w:r>
        <w:rPr/>
        <w:t>Mecanismos de personalização: modularidade, parametrização e tailoring</w:t>
      </w:r>
    </w:p>
    <w:p>
      <w:pPr>
        <w:pStyle w:val="BodyText"/>
        <w:bidi w:val="0"/>
        <w:spacing w:before="0" w:after="0"/>
        <w:ind w:hanging="0" w:left="0" w:right="0"/>
        <w:jc w:val="left"/>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BodyText"/>
        <w:bidi w:val="0"/>
        <w:spacing w:before="0" w:after="0"/>
        <w:ind w:hanging="0" w:left="0" w:right="0"/>
        <w:jc w:val="lef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escalabilidade em ecossistemas de produto (Dechev et al., 2023 (#ref-dechev-2023); Peters &amp; Richter, 2023 (#ref-peters-2023)).</w:t>
      </w:r>
    </w:p>
    <w:p>
      <w:pPr>
        <w:pStyle w:val="BodyText"/>
        <w:bidi w:val="0"/>
        <w:spacing w:before="0" w:after="0"/>
        <w:ind w:hanging="0" w:left="0" w:right="0"/>
        <w:jc w:val="lef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bidi w:val="0"/>
        <w:spacing w:before="0" w:after="0"/>
        <w:ind w:hanging="0" w:left="0" w:right="0"/>
        <w:jc w:val="lef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BodyText"/>
        <w:bidi w:val="0"/>
        <w:ind w:hanging="0" w:left="0" w:right="0"/>
        <w:jc w:val="left"/>
        <w:rPr/>
      </w:pPr>
      <w:r>
        <w:rPr/>
        <w:t>A seleção do mecanismo mais adequado depende do locus de conhecimento: modularidade funciona quando as necessidades podem ser expressas como combinações de módulos conhecidos; parametrização é mais eficaz quando há dados mensuráveis que podem ser mapeados para variáveis de design; e toolkits são indicados quando a adaptação contínua em contexto é crítica e quando o utilizador ou intermediário tem conhecimento situado para ajustar o sistema (Hippel &amp; Katz, 2002 (#ref-hippel-2002); Peters &amp; Richter, 2023 (#ref-peters-2023); Zhu &amp; Zhong, 2022 (#ref-zhu-2022)).</w:t>
      </w:r>
    </w:p>
    <w:p>
      <w:pPr>
        <w:pStyle w:val="Heading3"/>
        <w:bidi w:val="0"/>
        <w:spacing w:before="0" w:after="283"/>
        <w:ind w:hanging="0" w:left="0" w:right="0"/>
        <w:jc w:val="left"/>
        <w:rPr/>
      </w:pPr>
      <w:r>
        <w:rPr/>
        <w:t>Workflows participativos e infraestruturas remotas</w:t>
      </w:r>
    </w:p>
    <w:p>
      <w:pPr>
        <w:pStyle w:val="BodyText"/>
        <w:bidi w:val="0"/>
        <w:spacing w:before="0" w:after="0"/>
        <w:ind w:hanging="0" w:left="0" w:right="0"/>
        <w:jc w:val="left"/>
        <w:rPr/>
      </w:pPr>
      <w:r>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BodyText"/>
        <w:bidi w:val="0"/>
        <w:ind w:hanging="0" w:left="0" w:right="0"/>
        <w:jc w:val="left"/>
        <w:rPr/>
      </w:pPr>
      <w:r>
        <w:rPr/>
        <w:t>No entanto, as fontes sublinham que a tecnologia não é suficiente. A eficácia destes sistemas depende de governance, isto é, de quem decide o quê e quando, de mediação por clínicos, designers ou técnicos, e de mecanismos de gestão da carga de trabalho e da comunicação. Em modelos abertos e distribuídos, surgem riscos de quebra de compromissos e de atrasos decorrentes da falta de accountability, o que exige o desenho explícito de regras, expectativas e responsabilidades (Frangos et al., 2016 (#ref-frangos-2016); Hussaini et al., 2023 (#ref-hussaini-2023); Kerr et al., 2024 (#ref-kerr-2024)).</w:t>
      </w:r>
    </w:p>
    <w:p>
      <w:pPr>
        <w:pStyle w:val="Heading3"/>
        <w:bidi w:val="0"/>
        <w:spacing w:before="0" w:after="283"/>
        <w:ind w:hanging="0" w:left="0" w:right="0"/>
        <w:jc w:val="left"/>
        <w:rPr/>
      </w:pPr>
      <w:r>
        <w:rPr/>
        <w:t>Aplicações em saúde, reabilitação e próteses</w:t>
      </w:r>
    </w:p>
    <w:p>
      <w:pPr>
        <w:pStyle w:val="BodyText"/>
        <w:bidi w:val="0"/>
        <w:spacing w:before="0" w:after="0"/>
        <w:ind w:hanging="0" w:left="0" w:right="0"/>
        <w:jc w:val="left"/>
        <w:rPr/>
      </w:pPr>
      <w:r>
        <w:rPr/>
        <w:t>Em saúde, plataformas baseadas em digital twins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BodyText"/>
        <w:bidi w:val="0"/>
        <w:spacing w:before="0" w:after="0"/>
        <w:ind w:hanging="0" w:left="0" w:right="0"/>
        <w:jc w:val="left"/>
        <w:rPr/>
      </w:pPr>
      <w:r>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BodyText"/>
        <w:bidi w:val="0"/>
        <w:spacing w:before="0" w:after="0"/>
        <w:ind w:hanging="0" w:left="0" w:right="0"/>
        <w:jc w:val="left"/>
        <w:rPr/>
      </w:pPr>
      <w:r>
        <w:rPr/>
        <w:t>No contexto protésico e assistivo, evidencia-se a relevância dos ecossistemas modulares e das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BodyText"/>
        <w:bidi w:val="0"/>
        <w:ind w:hanging="0" w:left="0" w:right="0"/>
        <w:jc w:val="left"/>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Heading3"/>
        <w:bidi w:val="0"/>
        <w:spacing w:before="0" w:after="283"/>
        <w:ind w:hanging="0" w:left="0" w:right="0"/>
        <w:jc w:val="left"/>
        <w:rPr/>
      </w:pPr>
      <w:r>
        <w:rPr/>
        <w:t>Limitações e lacunas: sustentabilidade, adoção e equilíbrio entre standardização e improviso</w:t>
      </w:r>
    </w:p>
    <w:p>
      <w:pPr>
        <w:pStyle w:val="BodyText"/>
        <w:bidi w:val="0"/>
        <w:spacing w:before="0" w:after="0"/>
        <w:ind w:hanging="0" w:left="0" w:right="0"/>
        <w:jc w:val="left"/>
        <w:rPr/>
      </w:pPr>
      <w:r>
        <w:rPr/>
        <w:t>Apesar do potencial, a evidência empírica frequentemente baseia-se em amostras pequenas e em estudos de caso, o que limita a generalização. Para além disso, surgem três tensões estruturais (Frangos et al., 2016 (#ref-frangos-2016); Howard et al., 2022 (#ref-howard-2022); Thorsen et al., 2023 (#ref-thorsen-2023)):</w:t>
      </w:r>
    </w:p>
    <w:p>
      <w:pPr>
        <w:pStyle w:val="BodyText"/>
        <w:bidi w:val="0"/>
        <w:spacing w:before="0" w:after="0"/>
        <w:ind w:hanging="0" w:left="0" w:right="0"/>
        <w:jc w:val="left"/>
        <w:rPr/>
      </w:pPr>
      <w:r>
        <w:rPr/>
        <w:t xml:space="preserve">– </w:t>
      </w:r>
      <w:r>
        <w:rPr/>
        <w:t>Sustentabilidade da participação: risco de sobrecarga de participação e de desistência; necessidade de mecanismos de apoio, curadoria e redistribuição da carga entre utilizadores e especialistas (Fischer et al., 2017 (#ref-fischer-2017)).</w:t>
      </w:r>
    </w:p>
    <w:p>
      <w:pPr>
        <w:pStyle w:val="BodyText"/>
        <w:bidi w:val="0"/>
        <w:spacing w:before="0" w:after="0"/>
        <w:ind w:hanging="0" w:left="0" w:right="0"/>
        <w:jc w:val="left"/>
        <w:rPr/>
      </w:pPr>
      <w:r>
        <w:rPr/>
        <w:t xml:space="preserve">– </w:t>
      </w:r>
      <w:r>
        <w:rPr/>
        <w:t>Standardização vs personalização: em domínios regulados, a personalização deve manter rastreabilidade, segurança e qualidade, o que pode colidir com improvisos locais necessários para responder a necessidades idiossincráticas (Costabile et al., 2007 (#ref-costabile-2007); Fischer et al., 2004 (#ref-fischer-2004)).</w:t>
      </w:r>
    </w:p>
    <w:p>
      <w:pPr>
        <w:pStyle w:val="BodyText"/>
        <w:bidi w:val="0"/>
        <w:ind w:hanging="0" w:left="0" w:right="0"/>
        <w:jc w:val="left"/>
        <w:rPr/>
      </w:pPr>
      <w:r>
        <w:rPr/>
        <w:t xml:space="preserve">– </w:t>
      </w:r>
      <w:r>
        <w:rPr/>
        <w:t>Adoção e valor realizado: a literatura sobre personalização em massa regista falhas frequentes na conversão e na adoção de configuradores; por analogia, em saúde e tecnologias assistivas, a configurabilidade não garante aceitação sem alinhamento com expectativas, confiança e integração nos serviços (Akasaka et al., 2022 (#ref-akasaka-2022); Frangos et al., 2016 (#ref-frangos-2016)).</w:t>
      </w:r>
    </w:p>
    <w:p>
      <w:pPr>
        <w:pStyle w:val="Heading3"/>
        <w:bidi w:val="0"/>
        <w:spacing w:before="0" w:after="283"/>
        <w:ind w:hanging="0" w:left="0" w:right="0"/>
        <w:jc w:val="left"/>
        <w:rPr/>
      </w:pPr>
      <w:r>
        <w:rPr/>
        <w:t>2.7 Análise crítica do estado da arte e lacunas identificadas</w:t>
      </w:r>
    </w:p>
    <w:p>
      <w:pPr>
        <w:pStyle w:val="BodyText"/>
        <w:bidi w:val="0"/>
        <w:spacing w:before="0" w:after="0"/>
        <w:ind w:hanging="0" w:left="0" w:right="0"/>
        <w:jc w:val="left"/>
        <w:rPr/>
      </w:pPr>
      <w:r>
        <w:rPr/>
        <w:t>A transição entre o entusiasmo técnico e a maturidade efetiva do campo torna-se particularmente visível ao se observarem os níveis de prontidão tecnológica na literatura. A Figura 2.8 antecipa esta leitura ao mostrar a distribuição dos estudos por technology readiness level (TRL), reforçando que muitos contributos permanecem concentrados em fases ainda distantes de adoção ampla e sustentada.</w:t>
      </w:r>
    </w:p>
    <w:p>
      <w:pPr>
        <w:jc w:val="center"/>
      </w:pPr>
      <w:r>
        <w:drawing>
          <wp:inline distT="0" distB="0" distL="0" distR="0">
            <wp:extent cx="5394960" cy="3847740"/>
            <wp:effectExtent l="0" t="0" r="0" b="0"/>
            <wp:docPr id="8" name="ch2_a_scoping_review_of_digital_fabrica_figure10_p9.png"/>
            <wp:cNvGraphicFramePr>
              <a:graphicFrameLocks noChangeAspect="1"/>
            </wp:cNvGraphicFramePr>
            <a:graphic>
              <a:graphicData uri="http://schemas.openxmlformats.org/drawingml/2006/picture">
                <pic:pic>
                  <pic:nvPicPr>
                    <pic:cNvPr id="0" name="ch2_a_scoping_review_of_digital_fabrica_figure10_p9.png"/>
                    <pic:cNvPicPr/>
                  </pic:nvPicPr>
                  <pic:blipFill>
                    <a:blip r:embed="rId14"/>
                    <a:stretch>
                      <a:fillRect/>
                    </a:stretch>
                  </pic:blipFill>
                  <pic:spPr>
                    <a:xfrm>
                      <a:off x="0" y="0"/>
                      <a:ext cx="5394960" cy="3847740"/>
                    </a:xfrm>
                    <a:prstGeom prst="rect">
                      <a:avLst/>
                    </a:prstGeom>
                  </pic:spPr>
                </pic:pic>
              </a:graphicData>
            </a:graphic>
          </wp:inline>
        </w:drawing>
      </w:r>
    </w:p>
    <w:p>
      <w:pPr>
        <w:pStyle w:val="BodyText"/>
        <w:bidi w:val="0"/>
        <w:spacing w:before="0" w:after="0"/>
        <w:ind w:hanging="0" w:left="0" w:right="0"/>
        <w:jc w:val="left"/>
        <w:rPr/>
      </w:pPr>
      <w:r>
        <w:rPr/>
        <w:t>Figura 2.8 — Distribuição dos estudos por nível de prontidão tecnológica (TRL) em próteses e ortóteses com fabrico digital.</w:t>
      </w:r>
    </w:p>
    <w:p>
      <w:pPr>
        <w:pStyle w:val="BodyText"/>
        <w:bidi w:val="0"/>
        <w:spacing w:before="0" w:after="0"/>
        <w:ind w:hanging="0" w:left="0" w:right="0"/>
        <w:jc w:val="left"/>
        <w:rPr/>
      </w:pPr>
      <w:r>
        <w:rP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odyText"/>
        <w:bidi w:val="0"/>
        <w:spacing w:before="0" w:after="0"/>
        <w:ind w:hanging="0" w:left="0" w:right="0"/>
        <w:jc w:val="left"/>
        <w:rPr/>
      </w:pPr>
      <w:r>
        <w:rPr/>
        <w:t>A síntese das secções anteriores evidencia um panorama marcado por avanços técnicos significativos, mas também por limitações estruturais persistentes na investigação e no desenvolvimento de próteses e de tecnologias assistivas. Um tema transversal é o desfasamento entre inovação tecnológica e evidência robusta: muitos desenvolvimentos permanecem em fase de protótipo, testados em amostras reduzidas e por períodos curtos, com escassa validação por meio de ensaios clínicos, estudos longitudinais e avaliações em contextos reais (Chadwell et al., 2020 (#ref-chadwell-2020); Samuelsson et al., 2012 (#ref-samuelsson-2012); Windrich et al., 2016 (#ref-windrich-2016)).</w:t>
      </w:r>
    </w:p>
    <w:p>
      <w:pPr>
        <w:pStyle w:val="BodyText"/>
        <w:bidi w:val="0"/>
        <w:ind w:hanging="0" w:left="0" w:right="0"/>
        <w:jc w:val="left"/>
        <w:rPr/>
      </w:pPr>
      <w:r>
        <w:rPr/>
        <w:t>Este padrão enfraquece a capacidade de comparar soluções, generalizar conclusões e traduzir melhorias laboratoriais em benefícios consistentes na vida quotidiana (Hafner &amp; Sawers, 2016 (#ref-hafner-2016); Samuelsson et al., 2012 (#ref-samuelsson-2012)).</w:t>
      </w:r>
    </w:p>
    <w:p>
      <w:pPr>
        <w:pStyle w:val="Heading3"/>
        <w:bidi w:val="0"/>
        <w:spacing w:before="0" w:after="283"/>
        <w:ind w:hanging="0" w:left="0" w:right="0"/>
        <w:jc w:val="left"/>
        <w:rPr/>
      </w:pPr>
      <w:r>
        <w:rPr/>
        <w:t>Lacuna 1 — Evidência insuficiente e fraca tradução para o mundo real</w:t>
      </w:r>
    </w:p>
    <w:p>
      <w:pPr>
        <w:pStyle w:val="BodyText"/>
        <w:bidi w:val="0"/>
        <w:spacing w:before="0" w:after="0"/>
        <w:ind w:hanging="0" w:left="0" w:right="0"/>
        <w:jc w:val="left"/>
        <w:rPr/>
      </w:pPr>
      <w:r>
        <w:rPr/>
        <w:t>A revisão de literatura aponta repetidamente a ausência de estudos comparativos robustos e de ensaios clínicos que confrontem dispositivos avançados com prescrições convencionais, particularmente em sistemas ativos e externamente alimentados. Em vários subdomínios, observa-se dependência de protótipos e de pequenas amostras, o que limita as inferências sobre eficácia, segurança e valor clínico. Em paralelo, verifica-se predominância de avaliações em laboratório e de tarefas pouco representativas, que não captam adequadamente o desempenho em ambientes naturais, com variabilidade de contextos, objetos e exigências funcionais (Ghillebert et al., 2019 (#ref-ghillebert-2019); Samuelsson et al., 2012 (#ref-samuelsson-2012); Windrich et al., 2016 (#ref-windrich-2016)).</w:t>
      </w:r>
    </w:p>
    <w:p>
      <w:pPr>
        <w:pStyle w:val="BodyText"/>
        <w:bidi w:val="0"/>
        <w:ind w:hanging="0" w:left="0" w:right="0"/>
        <w:jc w:val="left"/>
        <w:rPr/>
      </w:pPr>
      <w:r>
        <w:rPr/>
        <w:t>Esta lacuna é particularmente relevante porque a adaptação, a aprendizagem e o abandono de próteses ocorrem ao longo do tempo e em ecossistemas reais, como o trabalho, a casa e o espaço público. Quando a evidência se baseia em janelas de observação curtas, torna-se difícil compreender trajetórias de adoção, padrões de uso e emergências de problemas de conforto ou de manutenção (Chadwell et al., 2020 (#ref-chadwell-2020); Samuelsson et al., 2012 (#ref-samuelsson-2012)).</w:t>
      </w:r>
    </w:p>
    <w:p>
      <w:pPr>
        <w:pStyle w:val="Heading3"/>
        <w:bidi w:val="0"/>
        <w:spacing w:before="0" w:after="283"/>
        <w:ind w:hanging="0" w:left="0" w:right="0"/>
        <w:jc w:val="left"/>
        <w:rPr/>
      </w:pPr>
      <w:r>
        <w:rPr/>
        <w:t>Lacuna 2 — Desalinhamento entre necessidades identificadas, métricas objetivas, e qualidade de vida</w:t>
      </w:r>
    </w:p>
    <w:p>
      <w:pPr>
        <w:pStyle w:val="BodyText"/>
        <w:bidi w:val="0"/>
        <w:spacing w:before="0" w:after="0"/>
        <w:ind w:hanging="0" w:left="0" w:right="0"/>
        <w:jc w:val="left"/>
        <w:rPr/>
      </w:pPr>
      <w:r>
        <w:rPr/>
        <w:t>Um problema recorrente é a ligação frágil entre aquilo que os utilizadores referem como necessidades — como conforto, controlo intuitivo, aparência e participação social —, os indicadores objetivos habitualmente medidos — como desempenho em testes funcionais, parâmetros biomecânicos e contagens de atividade— e os resultados finais desejáveis — como autonomia e qualidade de vida. Revisões salientam que as necessidades são contextuais e interdependentes e que as medições laboratoriais podem não refletir tarefas relevantes do quotidiano, contribuindo para contradições entre resultados subjetivos e objetivos (Cordella et al., 2016 (#ref-cordella-2016); Manz et al., 2022 (#ref-manz-2022)).</w:t>
      </w:r>
    </w:p>
    <w:p>
      <w:pPr>
        <w:pStyle w:val="BodyText"/>
        <w:bidi w:val="0"/>
        <w:ind w:hanging="0" w:left="0" w:right="0"/>
        <w:jc w:val="left"/>
        <w:rPr/>
      </w:pPr>
      <w:r>
        <w:rPr/>
        <w:t>Esta desconexão tem implicações diretas no design: sem métricas ecologicamente válidas e sensíveis às prioridades do utilizador, torna-se difícil orientar decisões de projeto para benefícios significativos e sustentados, podendo ocorrer “melhorias técnicas” que não se traduzem em aceitação ou uso continuado (Manz et al., 2022 (#ref-manz-2022); Samuelsson et al., 2012 (#ref-samuelsson-2012)).</w:t>
      </w:r>
    </w:p>
    <w:p>
      <w:pPr>
        <w:pStyle w:val="Heading3"/>
        <w:bidi w:val="0"/>
        <w:spacing w:before="0" w:after="283"/>
        <w:ind w:hanging="0" w:left="0" w:right="0"/>
        <w:jc w:val="left"/>
        <w:rPr/>
      </w:pPr>
      <w:r>
        <w:rPr/>
        <w:t>Lacuna 3 — Persistência de problemas na interface corpo–dispositivo e na personalização</w:t>
      </w:r>
    </w:p>
    <w:p>
      <w:pPr>
        <w:pStyle w:val="BodyText"/>
        <w:bidi w:val="0"/>
        <w:spacing w:before="0" w:after="0"/>
        <w:ind w:hanging="0" w:left="0" w:right="0"/>
        <w:jc w:val="left"/>
        <w:rPr/>
      </w:pPr>
      <w:r>
        <w:rPr/>
        <w:t>Apesar do progresso em componentes e controlo, a literatura converge para a identificação da interface corpo–dispositivo como um ponto crítico ainda não resolvido. Problemas de ajuste, desconforto, irritação cutânea e dificuldades de adaptação persistem como fatores determinantes de insatisfação e de abandono. Nas revisões, a personalização é frequentemente descrita como insuficiente ou metodologicamente frágil, com evidência difícil de sintetizar devido à variabilidade das intervenções e ao registo incompleto (Alluhydan et al., 2023 (#ref-alluhydan-2023); Baldock et al., 2023 (#ref-baldock-2023); Richardson &amp; Dillon, 2017 (#ref-richardson-2017)).</w:t>
      </w:r>
    </w:p>
    <w:p>
      <w:pPr>
        <w:pStyle w:val="BodyText"/>
        <w:bidi w:val="0"/>
        <w:ind w:hanging="0" w:left="0" w:right="0"/>
        <w:jc w:val="left"/>
        <w:rPr/>
      </w:pPr>
      <w:r>
        <w:rPr/>
        <w:t>Um aspeto estruturante desta lacuna é a falta de pipelines “medição → decisão de design → validação” consistentes e acessíveis, com dados objetivos suficientes para orientar ajustes individualizados. Mesmo quando se propõem soluções baseadas em sensores e na monitorização do uso, emergem barreiras práticas, como o custo, a autonomia da bateria, a disponibilidade e a formação, o que limita a adoção como prática clínica padrão (Chadwell et al., 2020 (#ref-chadwell-2020); Richardson &amp; Dillon, 2017 (#ref-richardson-2017)).</w:t>
      </w:r>
    </w:p>
    <w:p>
      <w:pPr>
        <w:pStyle w:val="Heading3"/>
        <w:bidi w:val="0"/>
        <w:spacing w:before="0" w:after="283"/>
        <w:ind w:hanging="0" w:left="0" w:right="0"/>
        <w:jc w:val="left"/>
        <w:rPr/>
      </w:pPr>
      <w:r>
        <w:rPr/>
        <w:t>Lacuna 4 — Estagnação e fragilidade metodológica em controlo e interação humano–prótese</w:t>
      </w:r>
    </w:p>
    <w:p>
      <w:pPr>
        <w:pStyle w:val="BodyText"/>
        <w:bidi w:val="0"/>
        <w:spacing w:before="0" w:after="0"/>
        <w:ind w:hanging="0" w:left="0" w:right="0"/>
        <w:jc w:val="left"/>
        <w:rPr/>
      </w:pPr>
      <w:r>
        <w:rPr/>
        <w:t>No caso das próteses de membro superior, algumas revisões caracterizam uma estagnação relativa nas estratégias de controlo em aplicações comerciais, com evolução lenta desde as primeiras abordagens do século XX. Persistem dificuldades de robustez e de transferibilidade entre cenários laboratoriais e o uso real, bem como desafios associados ao esforço cognitivo, ao tempo de aprendizagem e à inconsistência de desempenho em situações cotidianas (Cordella et al., 2016 (#ref-cordella-2016); Marinelli et al., 2022 (#ref-marinelli-2022)).</w:t>
      </w:r>
    </w:p>
    <w:p>
      <w:pPr>
        <w:pStyle w:val="BodyText"/>
        <w:bidi w:val="0"/>
        <w:ind w:hanging="0" w:left="0" w:right="0"/>
        <w:jc w:val="left"/>
        <w:rPr/>
      </w:pPr>
      <w:r>
        <w:rPr/>
        <w:t>Esta lacuna não é apenas técnica: reflete também uma conceptualização insuficiente da interação humano–prótese como um sistema integrado, em que controlo, feedback, treino e contexto de uso devem ser co-otimizados (Domínguez-Ruiz et al., 2023 (#ref-dominguez-ruiz-2023); Marinelli et al., 2022 (#ref-marinelli-2022)).</w:t>
      </w:r>
    </w:p>
    <w:p>
      <w:pPr>
        <w:pStyle w:val="Heading3"/>
        <w:bidi w:val="0"/>
        <w:spacing w:before="0" w:after="283"/>
        <w:ind w:hanging="0" w:left="0" w:right="0"/>
        <w:jc w:val="left"/>
        <w:rPr/>
      </w:pPr>
      <w:r>
        <w:rPr/>
        <w:t>Lacuna 5 — Acesso, custo, manutenção e inequidades sistémicas</w:t>
      </w:r>
    </w:p>
    <w:p>
      <w:pPr>
        <w:pStyle w:val="BodyText"/>
        <w:bidi w:val="0"/>
        <w:spacing w:before="0" w:after="0"/>
        <w:ind w:hanging="0" w:left="0" w:right="0"/>
        <w:jc w:val="left"/>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trade-offs claros: soluções biomecanicamente mais sofisticadas podem ser mais frágeis e difíceis de manter, comprometendo a sustentabilidade do uso (Alluhydan et al., 2023 (#ref-alluhydan-2023); Andrysek, 2010 (#ref-andrysek-2010); Baumann &amp; Maria, 2023 (#ref-baumann-2023)).</w:t>
      </w:r>
    </w:p>
    <w:p>
      <w:pPr>
        <w:pStyle w:val="BodyText"/>
        <w:bidi w:val="0"/>
        <w:ind w:hanging="0" w:left="0" w:right="0"/>
        <w:jc w:val="left"/>
        <w:rPr/>
      </w:pPr>
      <w:r>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Heading3"/>
        <w:bidi w:val="0"/>
        <w:spacing w:before="0" w:after="283"/>
        <w:ind w:hanging="0" w:left="0" w:right="0"/>
        <w:jc w:val="left"/>
        <w:rPr/>
      </w:pPr>
      <w:r>
        <w:rPr/>
        <w:t>Lacuna 6 — Envolvimento do utilizador e registo metodológico insuficiente</w:t>
      </w:r>
    </w:p>
    <w:p>
      <w:pPr>
        <w:pStyle w:val="BodyText"/>
        <w:bidi w:val="0"/>
        <w:spacing w:before="0" w:after="0"/>
        <w:ind w:hanging="0" w:left="0" w:right="0"/>
        <w:jc w:val="left"/>
        <w:rPr/>
      </w:pPr>
      <w:r>
        <w:rPr/>
        <w:t>O envolvimento do utilizador é descrito como um problema metodológico e ético ainda não resolvido. Revisões relacionam explicitamente processos pouco patient-tailored ao abandono e à incapacidade de responder às necessidades relevantes. Em várias áreas, identifica-se a ausência de métodos qualitativos sistemáticos para captar a experiência e a aceitabilidade, mesmo em componentes centrados no conforto, como liners, o que limita a compreensão profunda dos fatores de uso e de rejeição (Marinelli et al., 2022 (#ref-marinelli-2022); Richardson &amp; Dillon, 2017 (#ref-richardson-2017); Walker et al., 2019 (#ref-walker-2019)).</w:t>
      </w:r>
    </w:p>
    <w:p>
      <w:pPr>
        <w:pStyle w:val="BodyText"/>
        <w:bidi w:val="0"/>
        <w:ind w:hanging="0" w:left="0" w:right="0"/>
        <w:jc w:val="left"/>
        <w:rPr/>
      </w:pPr>
      <w:r>
        <w:rPr/>
        <w:t>Adicionalmente, a heterogeneidade de métodos e a falta de critérios comuns de avaliação, como escalas partilhadas de utilidade e satisfação, dificultam a síntese e as meta-análises, mantendo o campo fragmentado e com baixa comparabilidade (Cordella et al., 2016 (#ref-cordella-2016); Hafner &amp; Sawers, 2016 (#ref-hafner-2016); Richardson &amp; Dillon, 2017 (#ref-richardson-2017)).</w:t>
      </w:r>
    </w:p>
    <w:p>
      <w:pPr>
        <w:pStyle w:val="Heading3"/>
        <w:bidi w:val="0"/>
        <w:spacing w:before="0" w:after="283"/>
        <w:ind w:hanging="0" w:left="0" w:right="0"/>
        <w:jc w:val="left"/>
        <w:rPr/>
      </w:pPr>
      <w:r>
        <w:rPr/>
        <w:t>Implicações para esta investigação</w:t>
      </w:r>
    </w:p>
    <w:p>
      <w:pPr>
        <w:pStyle w:val="BodyText"/>
        <w:bidi w:val="0"/>
        <w:spacing w:before="0" w:after="0"/>
        <w:ind w:hanging="0" w:left="0" w:right="0"/>
        <w:jc w:val="left"/>
        <w:rPr/>
      </w:pPr>
      <w:r>
        <w:rPr/>
        <w:t>Em conjunto, estas lacunas apontam para a necessidade de abordagens que:</w:t>
      </w:r>
    </w:p>
    <w:p>
      <w:pPr>
        <w:pStyle w:val="BodyText"/>
        <w:bidi w:val="0"/>
        <w:spacing w:before="0" w:after="0"/>
        <w:ind w:hanging="0" w:left="0" w:right="0"/>
        <w:jc w:val="left"/>
        <w:rPr/>
      </w:pPr>
      <w:r>
        <w:rPr/>
        <w:t>1. reforcem a ligação entre personalização e evidência, com pipelines integrados de aquisição de dados, geração de variantes e validação;</w:t>
      </w:r>
    </w:p>
    <w:p>
      <w:pPr>
        <w:pStyle w:val="BodyText"/>
        <w:bidi w:val="0"/>
        <w:spacing w:before="0" w:after="0"/>
        <w:ind w:hanging="0" w:left="0" w:right="0"/>
        <w:jc w:val="left"/>
        <w:rPr/>
      </w:pPr>
      <w:r>
        <w:rPr/>
        <w:t>2. privilegiem avaliação ecologicamente válida e longitudinal, aproximando métricas de resultados de participação e qualidade de vida;</w:t>
      </w:r>
    </w:p>
    <w:p>
      <w:pPr>
        <w:pStyle w:val="BodyText"/>
        <w:bidi w:val="0"/>
        <w:spacing w:before="0" w:after="0"/>
        <w:ind w:hanging="0" w:left="0" w:right="0"/>
        <w:jc w:val="left"/>
        <w:rPr/>
      </w:pPr>
      <w:r>
        <w:rPr/>
        <w:t>3. tratem a interface corpo–dispositivo e o conforto como requisitos estruturantes, não como otimizações posteriores;</w:t>
      </w:r>
    </w:p>
    <w:p>
      <w:pPr>
        <w:pStyle w:val="BodyText"/>
        <w:bidi w:val="0"/>
        <w:spacing w:before="0" w:after="0"/>
        <w:ind w:hanging="0" w:left="0" w:right="0"/>
        <w:jc w:val="left"/>
        <w:rPr/>
      </w:pPr>
      <w:r>
        <w:rPr/>
        <w:t>4. incorporem envolvimento do utilizador como elemento contínuo e reportável, articulando métodos qualitativos e quantitativos;</w:t>
      </w:r>
    </w:p>
    <w:p>
      <w:pPr>
        <w:pStyle w:val="BodyText"/>
        <w:bidi w:val="0"/>
        <w:ind w:hanging="0" w:left="0" w:right="0"/>
        <w:jc w:val="left"/>
        <w:rPr/>
      </w:pPr>
      <w:r>
        <w:rPr/>
        <w:t>5. Considerem a acessibilidade, a manutenção e o contexto de serviço como parte do problema de design (Anderson et al., 2024 (#ref-anderson-2024); Baumann &amp; Maria, 2023 (#ref-baumann-2023); Chadwell et al., 2020 (#ref-chadwell-2020)).</w:t>
      </w:r>
    </w:p>
    <w:p>
      <w:pPr>
        <w:pStyle w:val="Heading2"/>
        <w:bidi w:val="0"/>
        <w:spacing w:before="0" w:after="283"/>
        <w:ind w:hanging="0" w:left="0" w:right="0"/>
        <w:jc w:val="left"/>
        <w:rPr/>
      </w:pPr>
      <w:r>
        <w:rPr/>
        <w:t>Capítulo 3 — Metodologia de Investigação</w:t>
      </w:r>
    </w:p>
    <w:p>
      <w:pPr>
        <w:pStyle w:val="Heading3"/>
        <w:bidi w:val="0"/>
        <w:spacing w:before="0" w:after="283"/>
        <w:ind w:hanging="0" w:left="0" w:right="0"/>
        <w:jc w:val="left"/>
        <w:rPr/>
      </w:pPr>
      <w:r>
        <w:rPr/>
        <w:t>3.1 Enquadramento metodológico e abordagem Research Through Design</w:t>
      </w:r>
    </w:p>
    <w:p>
      <w:pPr>
        <w:pStyle w:val="BodyText"/>
        <w:bidi w:val="0"/>
        <w:spacing w:before="0" w:after="0"/>
        <w:ind w:hanging="0" w:left="0" w:right="0"/>
        <w:jc w:val="left"/>
        <w:rPr/>
      </w:pPr>
      <w:r>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BodyText"/>
        <w:bidi w:val="0"/>
        <w:spacing w:before="0" w:after="0"/>
        <w:ind w:hanging="0" w:left="0" w:right="0"/>
        <w:jc w:val="left"/>
        <w:rPr/>
      </w:pPr>
      <w:r>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BodyText"/>
        <w:bidi w:val="0"/>
        <w:spacing w:before="0" w:after="0"/>
        <w:ind w:hanging="0" w:left="0" w:right="0"/>
        <w:jc w:val="left"/>
        <w:rPr/>
      </w:pPr>
      <w:r>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BodyText"/>
        <w:bidi w:val="0"/>
        <w:ind w:hanging="0" w:left="0" w:right="0"/>
        <w:jc w:val="left"/>
        <w:rPr/>
      </w:pPr>
      <w:r>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Heading3"/>
        <w:bidi w:val="0"/>
        <w:spacing w:before="0" w:after="283"/>
        <w:ind w:hanging="0" w:left="0" w:right="0"/>
        <w:jc w:val="left"/>
        <w:rPr/>
      </w:pPr>
      <w:r>
        <w:rPr/>
        <w:t>3.2 O design industrial como prática investigativa</w:t>
      </w:r>
    </w:p>
    <w:p>
      <w:pPr>
        <w:pStyle w:val="BodyText"/>
        <w:bidi w:val="0"/>
        <w:spacing w:before="0" w:after="0"/>
        <w:ind w:hanging="0" w:left="0" w:right="0"/>
        <w:jc w:val="left"/>
        <w:rPr/>
      </w:pPr>
      <w:r>
        <w:rPr/>
        <w:t>O projeto parte do entendimento do design industrial como disciplina projetual, técnica e social, capaz de mediar entre a inovação tecnológica e a experiência humana. No domínio das próteses de membros superiores, esta mediação assume particular relevância, dado que o objeto projetado intervém diretamente na corporeidade, na autonomia e na identidade do utilizador. Esta perspetiva aproxima-se da ideia de designerly ways of knowing, segundo a qual o design possui modos próprios de formular problemas, produzir conhecimento e articular exigências funcionais, formais e humanas (Cross, 1982 (#ref-cross-1982)).</w:t>
      </w:r>
    </w:p>
    <w:p>
      <w:pPr>
        <w:pStyle w:val="BodyText"/>
        <w:bidi w:val="0"/>
        <w:spacing w:before="0" w:after="0"/>
        <w:ind w:hanging="0" w:left="0" w:right="0"/>
        <w:jc w:val="left"/>
        <w:rPr/>
      </w:pPr>
      <w:r>
        <w:rP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na personalização anatómica rigorosa, na reprodutibilidade dos processos e na integração sistemática de critérios ergonómicos e simbólicos.</w:t>
      </w:r>
    </w:p>
    <w:p>
      <w:pPr>
        <w:pStyle w:val="BodyText"/>
        <w:bidi w:val="0"/>
        <w:spacing w:before="0" w:after="0"/>
        <w:ind w:hanging="0" w:left="0" w:right="0"/>
        <w:jc w:val="left"/>
        <w:rPr/>
      </w:pPr>
      <w:r>
        <w:rPr/>
        <w:t>Neste enquadramento, o design industrial é entendido como uma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em ajustes empíricos, promovendo processos mais configuráveis, reprodutíveis e acessíveis. A dimensão investigativa não reside apenas na resolução do problema projetual, mas também na explicitação dos critérios, das relações paramétricas e dos mecanismos de decisão que tornam o processo analisável, criticável e transferível para outros contextos de desenvolvimento.</w:t>
      </w:r>
    </w:p>
    <w:p>
      <w:pPr>
        <w:pStyle w:val="BodyText"/>
        <w:bidi w:val="0"/>
        <w:ind w:hanging="0" w:left="0" w:right="0"/>
        <w:jc w:val="left"/>
        <w:rPr/>
      </w:pPr>
      <w:r>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Heading3"/>
        <w:bidi w:val="0"/>
        <w:spacing w:before="0" w:after="283"/>
        <w:ind w:hanging="0" w:left="0" w:right="0"/>
        <w:jc w:val="left"/>
        <w:rPr/>
      </w:pPr>
      <w:r>
        <w:rPr/>
        <w:t>3.3 Estrutura metodológica do projeto</w:t>
      </w:r>
    </w:p>
    <w:p>
      <w:pPr>
        <w:pStyle w:val="BodyText"/>
        <w:bidi w:val="0"/>
        <w:spacing w:before="0" w:after="0"/>
        <w:ind w:hanging="0" w:left="0" w:right="0"/>
        <w:jc w:val="left"/>
        <w:rPr/>
      </w:pPr>
      <w:r>
        <w:rPr/>
        <w:t>A metodologia organiza-se em três fases interligadas — conceptual, metodológica e empírica — que se desenvolvem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(#ref-design-council-2020); Zimmerman et al., 2007 (#ref-zimmerman-2007)).</w:t>
      </w:r>
    </w:p>
    <w:p>
      <w:pPr>
        <w:pStyle w:val="BodyText"/>
        <w:bidi w:val="0"/>
        <w:spacing w:before="0" w:after="0"/>
        <w:ind w:hanging="0" w:left="0" w:right="0"/>
        <w:jc w:val="left"/>
        <w:rPr/>
      </w:pPr>
      <w:r>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BodyText"/>
        <w:bidi w:val="0"/>
        <w:spacing w:before="0" w:after="0"/>
        <w:ind w:hanging="0" w:left="0" w:right="0"/>
        <w:jc w:val="left"/>
        <w:rPr/>
      </w:pPr>
      <w:r>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BodyText"/>
        <w:bidi w:val="0"/>
        <w:ind w:hanging="0" w:left="0" w:right="0"/>
        <w:jc w:val="left"/>
        <w:rPr/>
      </w:pPr>
      <w:r>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Heading3"/>
        <w:bidi w:val="0"/>
        <w:spacing w:before="0" w:after="283"/>
        <w:ind w:hanging="0" w:left="0" w:right="0"/>
        <w:jc w:val="left"/>
        <w:rPr/>
      </w:pPr>
      <w:r>
        <w:rPr/>
        <w:t>3.4 Métodos de recolha e análise de dados</w:t>
      </w:r>
    </w:p>
    <w:p>
      <w:pPr>
        <w:pStyle w:val="BodyText"/>
        <w:bidi w:val="0"/>
        <w:spacing w:before="0" w:after="0"/>
        <w:ind w:hanging="0" w:left="0" w:right="0"/>
        <w:jc w:val="left"/>
        <w:rPr/>
      </w:pPr>
      <w:r>
        <w:rP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pStyle w:val="BodyText"/>
        <w:bidi w:val="0"/>
        <w:spacing w:before="0" w:after="0"/>
        <w:ind w:hanging="0" w:left="0" w:right="0"/>
        <w:jc w:val="left"/>
        <w:rPr/>
      </w:pPr>
      <w:r>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BodyText"/>
        <w:bidi w:val="0"/>
        <w:spacing w:before="0" w:after="0"/>
        <w:ind w:hanging="0" w:left="0" w:right="0"/>
        <w:jc w:val="left"/>
        <w:rPr/>
      </w:pPr>
      <w:r>
        <w:rP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o seu desempenho.</w:t>
      </w:r>
    </w:p>
    <w:p>
      <w:pPr>
        <w:pStyle w:val="BodyText"/>
        <w:bidi w:val="0"/>
        <w:spacing w:before="0" w:after="0"/>
        <w:ind w:hanging="0" w:left="0" w:right="0"/>
        <w:jc w:val="left"/>
        <w:rPr/>
      </w:pPr>
      <w:r>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ao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informações sobre país, amostra, tipo de medida, estatística, fonte documental e a granularidade dos subconjuntos analisados, tornando explícitas a cobertura e as limitações de cada fonte antes de sua tradução em parâmetros de projeto.</w:t>
      </w:r>
    </w:p>
    <w:p>
      <w:pPr>
        <w:pStyle w:val="BodyText"/>
        <w:bidi w:val="0"/>
        <w:spacing w:before="0" w:after="0"/>
        <w:ind w:hanging="0" w:left="0" w:right="0"/>
        <w:jc w:val="left"/>
        <w:rPr/>
      </w:pPr>
      <w:r>
        <w:rPr/>
        <w:t>Embora o presente estudo não utilize participantes reais, a literatura metodológica da área ajuda a esclarecer como medições lineares e procedimentos de ajuste são normalmente operacionalizados em contextos aplicados. A Figura 3.1 ilustra esse tipo de recolha dimensional orientada para fabrico, servindo aqui como precedente metodológico para a tradução de medidas em parâmetros de projeto.</w:t>
      </w:r>
    </w:p>
    <w:p>
      <w:pPr>
        <w:jc w:val="center"/>
      </w:pPr>
      <w:r>
        <w:drawing>
          <wp:inline distT="0" distB="0" distL="0" distR="0">
            <wp:extent cx="5394960" cy="1801145"/>
            <wp:effectExtent l="0" t="0" r="0" b="0"/>
            <wp:docPr id="9" name="ch3_an_undergraduate_engineering_servic_figure1_p4.png"/>
            <wp:cNvGraphicFramePr>
              <a:graphicFrameLocks noChangeAspect="1"/>
            </wp:cNvGraphicFramePr>
            <a:graphic>
              <a:graphicData uri="http://schemas.openxmlformats.org/drawingml/2006/picture">
                <pic:pic>
                  <pic:nvPicPr>
                    <pic:cNvPr id="0" name="ch3_an_undergraduate_engineering_servic_figure1_p4.png"/>
                    <pic:cNvPicPr/>
                  </pic:nvPicPr>
                  <pic:blipFill>
                    <a:blip r:embed="rId15"/>
                    <a:stretch>
                      <a:fillRect/>
                    </a:stretch>
                  </pic:blipFill>
                  <pic:spPr>
                    <a:xfrm>
                      <a:off x="0" y="0"/>
                      <a:ext cx="5394960" cy="1801145"/>
                    </a:xfrm>
                    <a:prstGeom prst="rect">
                      <a:avLst/>
                    </a:prstGeom>
                  </pic:spPr>
                </pic:pic>
              </a:graphicData>
            </a:graphic>
          </wp:inline>
        </w:drawing>
      </w:r>
    </w:p>
    <w:p>
      <w:pPr>
        <w:pStyle w:val="BodyText"/>
        <w:bidi w:val="0"/>
        <w:spacing w:before="0" w:after="0"/>
        <w:ind w:hanging="0" w:left="0" w:right="0"/>
        <w:jc w:val="left"/>
        <w:rPr/>
      </w:pPr>
      <w:r>
        <w:rPr/>
        <w:t>Figura 3.1 — Exemplo de recolha dimensional para ajuste de prótese impressa em 3D.</w:t>
      </w:r>
    </w:p>
    <w:p>
      <w:pPr>
        <w:pStyle w:val="BodyText"/>
        <w:bidi w:val="0"/>
        <w:ind w:hanging="0" w:left="0" w:right="0"/>
        <w:jc w:val="left"/>
        <w:rPr/>
      </w:pPr>
      <w:r>
        <w:rP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spacing w:before="0" w:after="283"/>
        <w:ind w:hanging="0" w:left="0" w:right="0"/>
        <w:jc w:val="left"/>
        <w:rPr/>
      </w:pPr>
      <w:r>
        <w:rPr/>
        <w:t>3.5 Critérios de avaliação e limitações metodológicas</w:t>
      </w:r>
    </w:p>
    <w:p>
      <w:pPr>
        <w:pStyle w:val="BodyText"/>
        <w:bidi w:val="0"/>
        <w:spacing w:before="0" w:after="0"/>
        <w:ind w:hanging="0" w:left="0" w:right="0"/>
        <w:jc w:val="left"/>
        <w:rPr/>
      </w:pPr>
      <w:r>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BodyText"/>
        <w:bidi w:val="0"/>
        <w:spacing w:before="0" w:after="0"/>
        <w:ind w:hanging="0" w:left="0" w:right="0"/>
        <w:jc w:val="left"/>
        <w:rPr/>
      </w:pPr>
      <w:r>
        <w:rPr/>
        <w:t>No caso específico da parametrização assistida por IA, a avaliação foi estruturada em dois patamares. O primeiro incidiu sobre a plausibilidade numérica das sugestões, verificando a conformidade com o esquema de parâmetros, o respeito aos intervalos mínimos e máximos, a proporcionalidade entre os dedos, a adequação etária e a coerência de lateralidade nas amputações unilaterais. O segundo prolongou essa verificação até à geometria exportada, testando se os valores sugeridos eram efetivamente aplicados nos modelos OpenSCAD/WebAssembly e se os ficheiros STL resultantes apresentavam escalas coerentes com os perfis antropométricos simulados. Esta separação permite distinguir a validade interna do fluxo paramétrico da validação clínica, que permanece fora do âmbito empírico desta investigação.</w:t>
      </w:r>
    </w:p>
    <w:p>
      <w:pPr>
        <w:pStyle w:val="BodyText"/>
        <w:bidi w:val="0"/>
        <w:spacing w:before="0" w:after="0"/>
        <w:ind w:hanging="0" w:left="0" w:right="0"/>
        <w:jc w:val="left"/>
        <w:rPr/>
      </w:pPr>
      <w:r>
        <w:rPr/>
        <w:t>Adicionalmente, são considerados critérios de acessibilidade e de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BodyText"/>
        <w:bidi w:val="0"/>
        <w:spacing w:before="0" w:after="0"/>
        <w:ind w:hanging="0" w:left="0" w:right="0"/>
        <w:jc w:val="left"/>
        <w:rPr/>
      </w:pPr>
      <w:r>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pStyle w:val="BodyText"/>
        <w:bidi w:val="0"/>
        <w:spacing w:before="0" w:after="0"/>
        <w:ind w:hanging="0" w:left="0" w:right="0"/>
        <w:jc w:val="left"/>
        <w:rPr/>
      </w:pPr>
      <w:r>
        <w:rPr/>
        <w:t xml:space="preserve">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w:t>
      </w:r>
      <w:r>
        <w:rPr/>
        <w:t>de apoio</w:t>
      </w:r>
      <w:r>
        <w:rPr/>
        <w:t>.</w:t>
      </w:r>
    </w:p>
    <w:p>
      <w:pPr>
        <w:pStyle w:val="BodyText"/>
        <w:bidi w:val="0"/>
        <w:ind w:hanging="0" w:left="0" w:right="0"/>
        <w:jc w:val="left"/>
        <w:rPr/>
      </w:pPr>
      <w:r>
        <w:rPr/>
      </w:r>
    </w:p>
    <w:p>
      <w:pPr>
        <w:pStyle w:val="Heading2"/>
        <w:bidi w:val="0"/>
        <w:spacing w:before="0" w:after="283"/>
        <w:ind w:hanging="0" w:left="0" w:right="0"/>
        <w:jc w:val="left"/>
        <w:rPr/>
      </w:pPr>
      <w:r>
        <w:rPr/>
        <w:t>Capítulo 4 — Desenvolvimento do Modelo Paramétrico</w:t>
      </w:r>
    </w:p>
    <w:p>
      <w:pPr>
        <w:pStyle w:val="Heading3"/>
        <w:bidi w:val="0"/>
        <w:spacing w:before="0" w:after="283"/>
        <w:ind w:hanging="0" w:left="0" w:right="0"/>
        <w:jc w:val="left"/>
        <w:rPr/>
      </w:pPr>
      <w:r>
        <w:rPr/>
        <w:t>4.1 Definição do problema de design e requisitos</w:t>
      </w:r>
    </w:p>
    <w:p>
      <w:pPr>
        <w:pStyle w:val="BodyText"/>
        <w:bidi w:val="0"/>
        <w:spacing w:before="0" w:after="0"/>
        <w:ind w:hanging="0" w:left="0" w:right="0"/>
        <w:jc w:val="left"/>
        <w:rPr/>
      </w:pPr>
      <w:r>
        <w:rPr/>
        <w:t>A definição do problema de design no desenvolvimento de próteses de membro superior é enquadrada na literatura como um desafio multiobjetivo situado na interseção entre o desempenho biomecânico, a integração humano-dispositivo e a experiência vivida do utilizador (Cordella et al., 2016 (#ref-cordella-2016); Guo, 2025 (#ref-guo-2025); Peerdeman et al., 2011 (#ref-peerdeman-2011)).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registar-se taxas elevadas de rejeição e de abandono. A literatura associa estas taxas, de forma recorrente, a desconforto no encaixe, peso excessivo, limitações funcionais, baixa robustez e estratégias de controlo pouco intuitivas, revelando uma lacuna persistente entre a capacidade tecnológica e as necessidades reais de uso (Biddiss et al., 2007 (#ref-biddiss-2007); Cordella et al., 2016 (#ref-cordella-2016); Peerdeman et al., 2011 (#ref-peerdeman-2011)).</w:t>
      </w:r>
    </w:p>
    <w:p>
      <w:pPr>
        <w:pStyle w:val="BodyText"/>
        <w:bidi w:val="0"/>
        <w:spacing w:before="0" w:after="0"/>
        <w:ind w:hanging="0" w:left="0" w:right="0"/>
        <w:jc w:val="left"/>
        <w:rPr/>
      </w:pPr>
      <w:r>
        <w:rPr/>
        <w:t>No que respeita aos tipos de requisitos considerados, a conceção protésica integra múltiplas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de remoção e a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custos controlados e compatibilidade com fluxos de fabrico digitais e aditivos.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BodyText"/>
        <w:bidi w:val="0"/>
        <w:spacing w:before="0" w:after="0"/>
        <w:ind w:hanging="0" w:left="0" w:right="0"/>
        <w:jc w:val="left"/>
        <w:rPr/>
      </w:pPr>
      <w:r>
        <w:rP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projetual (Cordella et al., 2016 (#ref-cordella-2016); Hofmann et al., 2016 (#ref-hofmann-2016); Jones et al., 2023 (#ref-jones-2023)). Em contextos paramétricos, esta operacionalização materializa-se na definição de variáveis geométricas, mecânicas e construtivas controladas por parâmetros, permitindo a geração de geometrias adaptadas a dados antropométricos e a requisitos funcionais específicos.</w:t>
      </w:r>
    </w:p>
    <w:p>
      <w:pPr>
        <w:pStyle w:val="BodyText"/>
        <w:bidi w:val="0"/>
        <w:spacing w:before="0" w:after="0"/>
        <w:ind w:hanging="0" w:left="0" w:right="0"/>
        <w:jc w:val="left"/>
        <w:rPr/>
      </w:pPr>
      <w:r>
        <w:rPr/>
        <w:t>Diversos enquadramentos metodológicos sustentam a especificação de requisitos para sistemas protéticos paramétricos ou fabricados digitalmente. Para além dos modelos clássicos de engenharia sistemática, observa-se uma transição clara para abordagens centradas no utilizador,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ind w:hanging="0" w:left="0" w:right="0"/>
        <w:jc w:val="left"/>
        <w:rPr/>
      </w:pPr>
      <w:r>
        <w:rPr/>
        <w:t>A formalização de constrangimentos nas fases iniciais do design desempenha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cotidianas. Constrangimentos anatómicos são integrados com base em dados antropométricos e, quando possível, na digitalização do membro residual, o que condiciona as geometrias, as interfaces e os volumes internos. Finalmente, os constrangimentos produtivos relacionam-se com as capacidades e limitações do fabrico aditivo, as tolerâncias, a orientação de impressão, o tempo de fabrico, o custo e a escalabilidade. A formalização destes limites desde as fases conceptuais permite enquadrar o processo como um exercício de otimização sob múltiplas restrições, estruturando as decisões projetuais de forma explícita e verificável (Brack &amp; Amalu, 2021 (#ref-brack-2021); Herneth et al., 2024 (#ref-herneth-2024); Jones et al., 2023 (#ref-jones-2023)).</w:t>
      </w:r>
    </w:p>
    <w:p>
      <w:pPr>
        <w:pStyle w:val="Heading3"/>
        <w:bidi w:val="0"/>
        <w:spacing w:before="0" w:after="283"/>
        <w:ind w:hanging="0" w:left="0" w:right="0"/>
        <w:jc w:val="left"/>
        <w:rPr/>
      </w:pPr>
      <w:r>
        <w:rPr/>
        <w:t>4.2 Parâmetros antropométricos e estrutura do modelo</w:t>
      </w:r>
    </w:p>
    <w:p>
      <w:pPr>
        <w:pStyle w:val="BodyText"/>
        <w:bidi w:val="0"/>
        <w:spacing w:before="0" w:after="0"/>
        <w:ind w:hanging="0" w:left="0" w:right="0"/>
        <w:jc w:val="left"/>
        <w:rPr/>
      </w:pPr>
      <w:r>
        <w:rP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(#ref-chatzioglou-2024); Moreo, 2016 (#ref-moreo-2016); Rodríguez-Vega &amp; Rodríguez-Vega, 2024 (#ref-rodriguez-vega-2024)).</w:t>
      </w:r>
    </w:p>
    <w:p>
      <w:pPr>
        <w:pStyle w:val="BodyText"/>
        <w:bidi w:val="0"/>
        <w:spacing w:before="0" w:after="0"/>
        <w:ind w:hanging="0" w:left="0" w:right="0"/>
        <w:jc w:val="left"/>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jc w:val="center"/>
      </w:pPr>
      <w:r>
        <w:drawing>
          <wp:inline distT="0" distB="0" distL="0" distR="0">
            <wp:extent cx="5394960" cy="4007685"/>
            <wp:effectExtent l="0" t="0" r="0" b="0"/>
            <wp:docPr id="10" name="ch4_parametric_3d_modeling_of_a_customi_figure3_p2.png"/>
            <wp:cNvGraphicFramePr>
              <a:graphicFrameLocks noChangeAspect="1"/>
            </wp:cNvGraphicFramePr>
            <a:graphic>
              <a:graphicData uri="http://schemas.openxmlformats.org/drawingml/2006/picture">
                <pic:pic>
                  <pic:nvPicPr>
                    <pic:cNvPr id="0" name="ch4_parametric_3d_modeling_of_a_customi_figure3_p2.png"/>
                    <pic:cNvPicPr/>
                  </pic:nvPicPr>
                  <pic:blipFill>
                    <a:blip r:embed="rId16"/>
                    <a:stretch>
                      <a:fillRect/>
                    </a:stretch>
                  </pic:blipFill>
                  <pic:spPr>
                    <a:xfrm>
                      <a:off x="0" y="0"/>
                      <a:ext cx="5394960" cy="4007685"/>
                    </a:xfrm>
                    <a:prstGeom prst="rect">
                      <a:avLst/>
                    </a:prstGeom>
                  </pic:spPr>
                </pic:pic>
              </a:graphicData>
            </a:graphic>
          </wp:inline>
        </w:drawing>
      </w:r>
    </w:p>
    <w:p>
      <w:pPr>
        <w:pStyle w:val="BodyText"/>
        <w:bidi w:val="0"/>
        <w:spacing w:before="0" w:after="0"/>
        <w:ind w:hanging="0" w:left="0" w:right="0"/>
        <w:jc w:val="left"/>
        <w:rPr/>
      </w:pPr>
      <w:r>
        <w:rPr/>
        <w:t>Figura 4.1 — Parâmetros antropométricos utilizados na modelação paramétrica de dedos protésicos.</w:t>
      </w:r>
    </w:p>
    <w:p>
      <w:pPr>
        <w:pStyle w:val="BodyText"/>
        <w:bidi w:val="0"/>
        <w:spacing w:before="0" w:after="0"/>
        <w:ind w:hanging="0" w:left="0" w:right="0"/>
        <w:jc w:val="left"/>
        <w:rPr/>
      </w:pPr>
      <w:r>
        <w:rP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odyText"/>
        <w:bidi w:val="0"/>
        <w:spacing w:before="0" w:after="0"/>
        <w:ind w:hanging="0" w:left="0" w:right="0"/>
        <w:jc w:val="left"/>
        <w:rPr/>
      </w:pPr>
      <w:r>
        <w:rPr/>
        <w:t>Os parâmetros antropométricos mais relevantes concentram-se, em primeiro lugar, na definição da estrutura dimensional base da mão. Medidas como o comprimento e a largura da mão, bem como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do dispositivo (Chatzioglou et al., 2024 (#ref-chatzioglou-2024); Nag et al., 2003 (#ref-nag-2003)).</w:t>
      </w:r>
    </w:p>
    <w:p>
      <w:pPr>
        <w:pStyle w:val="BodyText"/>
        <w:bidi w:val="0"/>
        <w:spacing w:before="0" w:after="0"/>
        <w:ind w:hanging="0" w:left="0" w:right="0"/>
        <w:jc w:val="left"/>
        <w:rPr/>
      </w:pPr>
      <w:r>
        <w:rPr/>
        <w:t>Tabela 4.1 — Principais parâmetros antropométricos da mão e do membro superior relevantes para modelação paramétrica</w:t>
      </w:r>
    </w:p>
    <w:tbl>
      <w:tblPr>
        <w:tblW w:w="9026" w:type="dxa"/>
        <w:jc w:val="left"/>
        <w:tblInd w:w="28" w:type="dxa"/>
        <w:tblLayout w:type="fixed"/>
        <w:tblCellMar>
          <w:top w:w="28" w:type="dxa"/>
          <w:left w:w="28" w:type="dxa"/>
          <w:bottom w:w="28" w:type="dxa"/>
          <w:right w:w="28" w:type="dxa"/>
        </w:tblCellMar>
      </w:tblPr>
      <w:tblGrid>
        <w:gridCol w:w="1210"/>
        <w:gridCol w:w="2765"/>
        <w:gridCol w:w="2340"/>
        <w:gridCol w:w="2711"/>
      </w:tblGrid>
      <w:tr>
        <w:trPr/>
        <w:tc>
          <w:tcPr>
            <w:tcW w:w="1210"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Mão</w:t>
            </w:r>
          </w:p>
        </w:tc>
        <w:tc>
          <w:tcPr>
            <w:tcW w:w="2765"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Largura da mão</w:t>
            </w:r>
          </w:p>
        </w:tc>
        <w:tc>
          <w:tcPr>
            <w:tcW w:w="2340"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Distância entre metacarpos II e V</w:t>
            </w:r>
          </w:p>
        </w:tc>
        <w:tc>
          <w:tcPr>
            <w:tcW w:w="271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Definição do volume da palma</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Palma</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da palma</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Base do dedo médio até ao punho</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Estrutura e proporção da palma</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Dedos</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dos dedos</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MCP até ponta</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Dimensionamento funcional</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Dedos</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Proporções falângicas</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Relação entre segmentos</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Definição cinemática</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Dedos</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Largura/profundidade</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Secção transversal</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Ajuste estrutural e estético</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Polegar</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e orientação</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Geometria e oposição</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Preensão e usabilidade</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Punho</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Largura/profundidade</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Dimensões do punho</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Interface estrutural</w:t>
            </w:r>
          </w:p>
        </w:tc>
      </w:tr>
      <w:tr>
        <w:trPr/>
        <w:tc>
          <w:tcPr>
            <w:tcW w:w="121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Antebraço</w:t>
            </w:r>
          </w:p>
        </w:tc>
        <w:tc>
          <w:tcPr>
            <w:tcW w:w="276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Circunferência/comprimento residual</w:t>
            </w:r>
          </w:p>
        </w:tc>
        <w:tc>
          <w:tcPr>
            <w:tcW w:w="234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Medidas do membro residual</w:t>
            </w:r>
          </w:p>
        </w:tc>
        <w:tc>
          <w:tcPr>
            <w:tcW w:w="2711"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Ajuste do encaixe</w:t>
            </w:r>
          </w:p>
        </w:tc>
      </w:tr>
    </w:tbl>
    <w:p>
      <w:pPr>
        <w:pStyle w:val="Heading3"/>
        <w:bidi w:val="0"/>
        <w:spacing w:before="0" w:after="283"/>
        <w:ind w:hanging="0" w:left="0" w:right="0"/>
        <w:jc w:val="left"/>
        <w:rPr/>
      </w:pPr>
      <w:r>
        <w:rPr/>
        <w:t>Conjuntos mínimos de parâmetros por nível de amputação</w:t>
      </w:r>
    </w:p>
    <w:p>
      <w:pPr>
        <w:pStyle w:val="BodyText"/>
        <w:bidi w:val="0"/>
        <w:spacing w:before="0" w:after="0"/>
        <w:ind w:hanging="0" w:left="0" w:right="0"/>
        <w:jc w:val="left"/>
        <w:rPr/>
      </w:pPr>
      <w:r>
        <w:rPr/>
        <w:t>A definição de um conjunto mínimo de parâmetros antropométricos depende diretamente do nível de amputação, uma vez que diferentes configurações protésicas exigem graus distintos de detalhe. Em termos práticos, reduzir o número de medições necessárias é importante para viabilizar processos de personalização mais escaláveis, sobretudo quando a recolha de dados ocorre fora de contextos clínicos altamente especializados (Moreo, 2016 (#ref-moreo-2016); Romero et al., 2025 (#ref-da-silveira-romero-2025)).</w:t>
      </w:r>
    </w:p>
    <w:p>
      <w:pPr>
        <w:pStyle w:val="BodyText"/>
        <w:bidi w:val="0"/>
        <w:spacing w:before="0" w:after="0"/>
        <w:ind w:hanging="0" w:left="0" w:right="0"/>
        <w:jc w:val="left"/>
        <w:rPr/>
      </w:pPr>
      <w:r>
        <w:rPr/>
        <w:t>Tabela 4.2 — Conjuntos mínimos de parâmetros por nível de amputação</w:t>
      </w:r>
    </w:p>
    <w:tbl>
      <w:tblPr>
        <w:tblW w:w="9026" w:type="dxa"/>
        <w:jc w:val="left"/>
        <w:tblInd w:w="28" w:type="dxa"/>
        <w:tblLayout w:type="fixed"/>
        <w:tblCellMar>
          <w:top w:w="28" w:type="dxa"/>
          <w:left w:w="28" w:type="dxa"/>
          <w:bottom w:w="28" w:type="dxa"/>
          <w:right w:w="28" w:type="dxa"/>
        </w:tblCellMar>
      </w:tblPr>
      <w:tblGrid>
        <w:gridCol w:w="3355"/>
        <w:gridCol w:w="5671"/>
      </w:tblGrid>
      <w:tr>
        <w:trPr/>
        <w:tc>
          <w:tcPr>
            <w:tcW w:w="3355"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Desarticulação do punho</w:t>
            </w:r>
          </w:p>
        </w:tc>
        <w:tc>
          <w:tcPr>
            <w:tcW w:w="567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Largura e profundidade do punho, comprimento da mão</w:t>
            </w:r>
          </w:p>
        </w:tc>
      </w:tr>
      <w:tr>
        <w:trPr/>
        <w:tc>
          <w:tcPr>
            <w:tcW w:w="335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Parcial da mão</w:t>
            </w:r>
          </w:p>
        </w:tc>
        <w:tc>
          <w:tcPr>
            <w:tcW w:w="567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da palma, dimensões dos dedos remanescentes</w:t>
            </w:r>
          </w:p>
        </w:tc>
      </w:tr>
      <w:tr>
        <w:trPr/>
        <w:tc>
          <w:tcPr>
            <w:tcW w:w="335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Dedos (parcial)</w:t>
            </w:r>
          </w:p>
        </w:tc>
        <w:tc>
          <w:tcPr>
            <w:tcW w:w="567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e largura do dedo, proporções falângicas</w:t>
            </w:r>
          </w:p>
        </w:tc>
      </w:tr>
      <w:tr>
        <w:trPr/>
        <w:tc>
          <w:tcPr>
            <w:tcW w:w="335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Mão completa (cosmética/funcional)</w:t>
            </w:r>
          </w:p>
        </w:tc>
        <w:tc>
          <w:tcPr>
            <w:tcW w:w="5671"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Comprimento da mão, largura da palma, comprimento dos dedos</w:t>
            </w:r>
          </w:p>
        </w:tc>
      </w:tr>
    </w:tbl>
    <w:p>
      <w:pPr>
        <w:pStyle w:val="BodyText"/>
        <w:bidi w:val="0"/>
        <w:ind w:hanging="0" w:left="0" w:right="0"/>
        <w:jc w:val="left"/>
        <w:rPr/>
      </w:pPr>
      <w:r>
        <w:rPr/>
        <w:t>Esta abordagem permite estruturar o sistema paramétrico com base em entradas (inputs) essenciais, reduzindo a complexidade sem comprometer a funcionalidade. Importa, contudo, distinguir entre parâmetros mínimos de configuração e parâmetros de refinamento: os primeiros permitem gerar uma instância funcional do modelo; os segundos melhoram o ajuste, a coerência proporcional ou o desempenho cinemático quando há dados adicionais disponíveis.</w:t>
      </w:r>
    </w:p>
    <w:p>
      <w:pPr>
        <w:pStyle w:val="Heading3"/>
        <w:bidi w:val="0"/>
        <w:spacing w:before="0" w:after="283"/>
        <w:ind w:hanging="0" w:left="0" w:right="0"/>
        <w:jc w:val="left"/>
        <w:rPr/>
      </w:pPr>
      <w:r>
        <w:rPr/>
        <w:t>Limitações do escalonamento uniforme</w:t>
      </w:r>
    </w:p>
    <w:p>
      <w:pPr>
        <w:pStyle w:val="BodyText"/>
        <w:bidi w:val="0"/>
        <w:spacing w:before="0" w:after="0"/>
        <w:ind w:hanging="0" w:left="0" w:right="0"/>
        <w:jc w:val="left"/>
        <w:rPr/>
      </w:pPr>
      <w:r>
        <w:rPr/>
        <w:t>Uma limitação recorrente em abordagens simplificadas de modelação é o uso de escalonamento uniforme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(#ref-lim-2018); Nag et al., 2003 (#ref-nag-2003); Rodríguez-Vega &amp; Rodríguez-Vega, 2024 (#ref-rodriguez-vega-2024)).</w:t>
      </w:r>
    </w:p>
    <w:p>
      <w:pPr>
        <w:pStyle w:val="BodyText"/>
        <w:bidi w:val="0"/>
        <w:spacing w:before="0" w:after="0"/>
        <w:ind w:hanging="0" w:left="0" w:right="0"/>
        <w:jc w:val="left"/>
        <w:rPr/>
      </w:pPr>
      <w:r>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jc w:val="center"/>
      </w:pPr>
      <w:r>
        <w:drawing>
          <wp:inline distT="0" distB="0" distL="0" distR="0">
            <wp:extent cx="5394960" cy="2559407"/>
            <wp:effectExtent l="0" t="0" r="0" b="0"/>
            <wp:docPr id="11" name="ch4_customization_of_a_3d_printed_prost_figure8_p7.png"/>
            <wp:cNvGraphicFramePr>
              <a:graphicFrameLocks noChangeAspect="1"/>
            </wp:cNvGraphicFramePr>
            <a:graphic>
              <a:graphicData uri="http://schemas.openxmlformats.org/drawingml/2006/picture">
                <pic:pic>
                  <pic:nvPicPr>
                    <pic:cNvPr id="0" name="ch4_customization_of_a_3d_printed_prost_figure8_p7.png"/>
                    <pic:cNvPicPr/>
                  </pic:nvPicPr>
                  <pic:blipFill>
                    <a:blip r:embed="rId17"/>
                    <a:stretch>
                      <a:fillRect/>
                    </a:stretch>
                  </pic:blipFill>
                  <pic:spPr>
                    <a:xfrm>
                      <a:off x="0" y="0"/>
                      <a:ext cx="5394960" cy="2559407"/>
                    </a:xfrm>
                    <a:prstGeom prst="rect">
                      <a:avLst/>
                    </a:prstGeom>
                  </pic:spPr>
                </pic:pic>
              </a:graphicData>
            </a:graphic>
          </wp:inline>
        </w:drawing>
      </w:r>
    </w:p>
    <w:p>
      <w:pPr>
        <w:pStyle w:val="BodyText"/>
        <w:bidi w:val="0"/>
        <w:spacing w:before="0" w:after="0"/>
        <w:ind w:hanging="0" w:left="0" w:right="0"/>
        <w:jc w:val="left"/>
        <w:rPr/>
      </w:pPr>
      <w:r>
        <w:rPr/>
        <w:t>Figura 4.2 — Comparação entre o escalonamento uniforme e a modelação paramétrica de dedo protésico.</w:t>
      </w:r>
    </w:p>
    <w:p>
      <w:pPr>
        <w:pStyle w:val="BodyText"/>
        <w:bidi w:val="0"/>
        <w:ind w:hanging="0" w:left="0" w:right="0"/>
        <w:jc w:val="left"/>
        <w:rPr/>
      </w:pPr>
      <w:r>
        <w:rPr/>
        <w:t>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bidi w:val="0"/>
        <w:spacing w:before="0" w:after="283"/>
        <w:ind w:hanging="0" w:left="0" w:right="0"/>
        <w:jc w:val="left"/>
        <w:rPr/>
      </w:pPr>
      <w:r>
        <w:rPr/>
        <w:t>Métodos de recolha de dados antropométricos</w:t>
      </w:r>
    </w:p>
    <w:p>
      <w:pPr>
        <w:pStyle w:val="BodyText"/>
        <w:bidi w:val="0"/>
        <w:spacing w:before="0" w:after="0"/>
        <w:ind w:hanging="0" w:left="0" w:right="0"/>
        <w:jc w:val="left"/>
        <w:rPr/>
      </w:pPr>
      <w:r>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tipo de dado necessário (Çıklaçandır et al., 2022 (#ref-cklacandr-2022); Herbst et al., 2021 (#ref-herbst-2021)).</w:t>
      </w:r>
    </w:p>
    <w:p>
      <w:pPr>
        <w:pStyle w:val="BodyText"/>
        <w:bidi w:val="0"/>
        <w:spacing w:before="0" w:after="0"/>
        <w:ind w:hanging="0" w:left="0" w:right="0"/>
        <w:jc w:val="left"/>
        <w:rPr/>
      </w:pPr>
      <w:r>
        <w:rPr/>
        <w:t>Tabela 4.3 — Métodos de recolha de dados antropométricos e suas características</w:t>
      </w:r>
    </w:p>
    <w:tbl>
      <w:tblPr>
        <w:tblW w:w="9026" w:type="dxa"/>
        <w:jc w:val="left"/>
        <w:tblInd w:w="28" w:type="dxa"/>
        <w:tblLayout w:type="fixed"/>
        <w:tblCellMar>
          <w:top w:w="28" w:type="dxa"/>
          <w:left w:w="28" w:type="dxa"/>
          <w:bottom w:w="28" w:type="dxa"/>
          <w:right w:w="28" w:type="dxa"/>
        </w:tblCellMar>
      </w:tblPr>
      <w:tblGrid>
        <w:gridCol w:w="1730"/>
        <w:gridCol w:w="1682"/>
        <w:gridCol w:w="1668"/>
        <w:gridCol w:w="2235"/>
        <w:gridCol w:w="1711"/>
      </w:tblGrid>
      <w:tr>
        <w:trPr/>
        <w:tc>
          <w:tcPr>
            <w:tcW w:w="1730"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Digitalização 3D</w:t>
            </w:r>
          </w:p>
        </w:tc>
        <w:tc>
          <w:tcPr>
            <w:tcW w:w="1682"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Geometria superficial</w:t>
            </w:r>
          </w:p>
        </w:tc>
        <w:tc>
          <w:tcPr>
            <w:tcW w:w="1668"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Elevada precisão, rapidez</w:t>
            </w:r>
          </w:p>
        </w:tc>
        <w:tc>
          <w:tcPr>
            <w:tcW w:w="2235"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Equipamento e processamento necessários</w:t>
            </w:r>
          </w:p>
        </w:tc>
        <w:tc>
          <w:tcPr>
            <w:tcW w:w="171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Encaixe e forma</w:t>
            </w:r>
          </w:p>
        </w:tc>
      </w:tr>
      <w:tr>
        <w:trPr/>
        <w:tc>
          <w:tcPr>
            <w:tcW w:w="173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Imagiologia médica</w:t>
            </w:r>
          </w:p>
        </w:tc>
        <w:tc>
          <w:tcPr>
            <w:tcW w:w="168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Estrutura interna e externa</w:t>
            </w:r>
          </w:p>
        </w:tc>
        <w:tc>
          <w:tcPr>
            <w:tcW w:w="1668"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Dados anatómicos detalhados</w:t>
            </w:r>
          </w:p>
        </w:tc>
        <w:tc>
          <w:tcPr>
            <w:tcW w:w="223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Alto custo e menor acessibilidade</w:t>
            </w:r>
          </w:p>
        </w:tc>
        <w:tc>
          <w:tcPr>
            <w:tcW w:w="17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Modelação biomecânica</w:t>
            </w:r>
          </w:p>
        </w:tc>
      </w:tr>
      <w:tr>
        <w:trPr/>
        <w:tc>
          <w:tcPr>
            <w:tcW w:w="173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Fotogrametria</w:t>
            </w:r>
          </w:p>
        </w:tc>
        <w:tc>
          <w:tcPr>
            <w:tcW w:w="168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Geometria aproximada</w:t>
            </w:r>
          </w:p>
        </w:tc>
        <w:tc>
          <w:tcPr>
            <w:tcW w:w="1668"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Acessível, potencial remoto</w:t>
            </w:r>
          </w:p>
        </w:tc>
        <w:tc>
          <w:tcPr>
            <w:tcW w:w="223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Precisão variável</w:t>
            </w:r>
          </w:p>
        </w:tc>
        <w:tc>
          <w:tcPr>
            <w:tcW w:w="1711"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Aquisição preliminar</w:t>
            </w:r>
          </w:p>
        </w:tc>
      </w:tr>
    </w:tbl>
    <w:p>
      <w:pPr>
        <w:pStyle w:val="Heading3"/>
        <w:bidi w:val="0"/>
        <w:spacing w:before="0" w:after="283"/>
        <w:ind w:hanging="0" w:left="0" w:right="0"/>
        <w:jc w:val="left"/>
        <w:rPr/>
      </w:pPr>
      <w:r>
        <w:rPr/>
        <w:t>Bases de dados antropométricas, extração e normalização</w:t>
      </w:r>
    </w:p>
    <w:p>
      <w:pPr>
        <w:pStyle w:val="BodyText"/>
        <w:bidi w:val="0"/>
        <w:spacing w:before="0" w:after="0"/>
        <w:ind w:hanging="0" w:left="0" w:right="0"/>
        <w:jc w:val="left"/>
        <w:rPr/>
      </w:pPr>
      <w:r>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por meio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BodyText"/>
        <w:bidi w:val="0"/>
        <w:spacing w:before="0" w:after="0"/>
        <w:ind w:hanging="0" w:left="0" w:right="0"/>
        <w:jc w:val="left"/>
        <w:rPr/>
      </w:pPr>
      <w:r>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BodyText"/>
        <w:bidi w:val="0"/>
        <w:spacing w:before="0" w:after="0"/>
        <w:ind w:hanging="0" w:left="0" w:right="0"/>
        <w:jc w:val="left"/>
        <w:rPr/>
      </w:pPr>
      <w:r>
        <w:rPr/>
        <w:t>A seleção das fontes seguiu critérios explícitos. Foram incluídas fontes que apresentavam dados primários ou bases de dados reconhecidas, com pelo menos uma dimensão relevante para a mão, dedos, palma, punho ou antebraço, identificação da população ou subgrupo e estatística descritiva legível. Foram excluídos estudos que apenas reutilizavam dados secundários sem acesso claro à fonte original, artigos de engenharia que mencionavam dimensões de forma incidental, exemplos baseados num único sujeito e fontes sem informação suficiente sobre a população, o método ou a unidade. Esta decisão explica, por exemplo, a exclusão dos valores percentílicos reproduzidos por Moreo (2016) a partir da base DINED: apesar do trabalho ser relevante para a lógica de parametrização, a tabela não constitui recolha primária autónoma e seria metodologicamente redundante, quando a fonte DINED podia ser tratada diretamente (Moreo, 2016 (#ref-moreo-2016)).</w:t>
      </w:r>
    </w:p>
    <w:p>
      <w:pPr>
        <w:pStyle w:val="BodyText"/>
        <w:bidi w:val="0"/>
        <w:spacing w:before="0" w:after="0"/>
        <w:ind w:hanging="0" w:left="0" w:right="0"/>
        <w:jc w:val="left"/>
        <w:rPr/>
      </w:pPr>
      <w:r>
        <w:rPr/>
        <w:t>Tabela 4.4 — Fontes integradas na base local de dados antropométricos</w:t>
      </w:r>
    </w:p>
    <w:tbl>
      <w:tblPr>
        <w:tblW w:w="9026" w:type="dxa"/>
        <w:jc w:val="left"/>
        <w:tblInd w:w="28" w:type="dxa"/>
        <w:tblLayout w:type="fixed"/>
        <w:tblCellMar>
          <w:top w:w="28" w:type="dxa"/>
          <w:left w:w="28" w:type="dxa"/>
          <w:bottom w:w="28" w:type="dxa"/>
          <w:right w:w="28" w:type="dxa"/>
        </w:tblCellMar>
      </w:tblPr>
      <w:tblGrid>
        <w:gridCol w:w="2200"/>
        <w:gridCol w:w="2515"/>
        <w:gridCol w:w="3790"/>
        <w:gridCol w:w="521"/>
      </w:tblGrid>
      <w:tr>
        <w:trPr/>
        <w:tc>
          <w:tcPr>
            <w:tcW w:w="2200"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DINED kima1993, TU Delft</w:t>
            </w:r>
          </w:p>
        </w:tc>
        <w:tc>
          <w:tcPr>
            <w:tcW w:w="2515"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Crianças neerlandesas, 2–12 anos</w:t>
            </w:r>
          </w:p>
        </w:tc>
        <w:tc>
          <w:tcPr>
            <w:tcW w:w="3790"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Médias e desvios-padrão de medições da mão por idade e sexo</w:t>
            </w:r>
          </w:p>
        </w:tc>
        <w:tc>
          <w:tcPr>
            <w:tcW w:w="52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528</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DINED geron1998, TU Delft</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Idosos neerlandeses, 50–80+ anos</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Médias e desvios-padrão de medições da mão por grupos etários</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210</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DINED dined2004, TU Delft</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Adultos neerlandeses, 20–60+ anos</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Médias e desvios-padrão de medições da mão por sexo e idade</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114</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Rodríguez-Vega e Rodríguez-Vega (2024)</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População mexicana, 15–59 anos</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da mão, comprimento da palma, largura da mão e diâmetro de preensão, com valores gerais e por grupos etários</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360</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Nag et al. (2003)</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Mulheres indianas trabalhadoras</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51 dimensões da mão, incluindo comprimentos, larguras, circunferências, profundidades e aberturas</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255</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Gordon et al. (2015)</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Militares norte-americanos do ANSUR II</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Medições da mão, punho e antebraço extraídas das estatísticas públicas do inquérito</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154</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Chatzioglou et al. (2024)</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Jovens adultos da Turquia</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Comprimentos dos cinco dedos da mão direita, por sexo e combinado</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56</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Hu et al. (2007)</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Idosos chineses da área de Pequim</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Larguras, comprimento da mão, comprimento do dedo e comprimento antebraço-ponta dos dedos</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50</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Ibiwari et al. (2025)</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Atletas universitários da Nigéria</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da mão, largura da mão, comprimento palmar e 3.º dedo, por modalidade e sexo</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32</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Anacleto Filho et al. (2023)</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Trabalhadores industriais portugueses</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e largura da mão, por sexo</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20</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Mistarihi (2020)</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Trabalhadores com deficiência física na Jordânia</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da mão, largura da mão e comprimento cotovelo-ponta dos dedos</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9</w:t>
            </w:r>
          </w:p>
        </w:tc>
      </w:tr>
      <w:tr>
        <w:trPr/>
        <w:tc>
          <w:tcPr>
            <w:tcW w:w="220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Lim et al. (2018)</w:t>
            </w:r>
          </w:p>
        </w:tc>
        <w:tc>
          <w:tcPr>
            <w:tcW w:w="251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Adultos jovens nos EUA</w:t>
            </w:r>
          </w:p>
        </w:tc>
        <w:tc>
          <w:tcPr>
            <w:tcW w:w="379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e largura do dedo indicador para customização de dedo protésico</w:t>
            </w:r>
          </w:p>
        </w:tc>
        <w:tc>
          <w:tcPr>
            <w:tcW w:w="521"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2</w:t>
            </w:r>
          </w:p>
        </w:tc>
      </w:tr>
    </w:tbl>
    <w:p>
      <w:pPr>
        <w:pStyle w:val="BodyText"/>
        <w:bidi w:val="0"/>
        <w:spacing w:before="0" w:after="0"/>
        <w:ind w:hanging="0" w:left="0" w:right="0"/>
        <w:jc w:val="left"/>
        <w:rPr/>
      </w:pPr>
      <w:r>
        <w:rPr/>
        <w:t>A extração foi realizada a partir das tabelas dos artigos e, quando aplicável, da interface estruturada das bases de dados. Nos artigos científicos, a leitura concentrou-se em duas zonas: a metodologia, para identificar o instrumento, a postura, a mão medida e os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quando necessário, uma nota de qualidade. A decisão de preservar simultaneamente a fonte, a página, a população e a nota metodológica torna cada valor auditável e permite regressar ao documento original sempre que uma medida pareça incoerente.</w:t>
      </w:r>
    </w:p>
    <w:p>
      <w:pPr>
        <w:pStyle w:val="BodyText"/>
        <w:bidi w:val="0"/>
        <w:spacing w:before="0" w:after="0"/>
        <w:ind w:hanging="0" w:left="0" w:right="0"/>
        <w:jc w:val="left"/>
        <w:rPr/>
      </w:pPr>
      <w:r>
        <w:rPr/>
        <w:t>A opção pelo formato longo foi deliberada. Em vez de criar uma linha por dimensão com colunas fixas para média, desvio-padrão e percentis, cada estatística foi registada como uma linha própria. Assim, uma mesma dimensão pode originar várias linhas para a média, o desvio-padrão, P5, P50, P95, o mínimo ou o máximo. Este formato facilita a integração de fontes incompletas, pois nem todos os estudos reportam o mesmo conjunto de estatísticas. Na base atual, existem 612 médias, 609 desvios-padrão, 513 percentis, 28 mínimos e 28 máximos. Esta assimetria é metodologicamente relevante: os datasets ANSUR e algumas fontes DINED permitem uma leitura estatística mais ampla, enquanto estudos como Mistarihi (2020) ou Lim et al. (2018) oferecem apenas valores parciais, úteis como referência contextual, mas insuficientes para inferência populacional robusta (Gordon et al., 2015 (#ref-gordon-2015); Lim et al., 2018 (#ref-lim-2018); Mistarihi, 2020 (#ref-mistarihi-2020)).</w:t>
      </w:r>
    </w:p>
    <w:p>
      <w:pPr>
        <w:pStyle w:val="BodyText"/>
        <w:bidi w:val="0"/>
        <w:spacing w:before="0" w:after="0"/>
        <w:ind w:hanging="0" w:left="0" w:right="0"/>
        <w:jc w:val="left"/>
        <w:rPr/>
      </w:pPr>
      <w:r>
        <w:rPr/>
        <w:t>As principais dificuldades encontradas dizem respeito à heterogeneidade dos protocolos. A expressão “comprimento da mão”, por exemplo, nem sempre corresponde ao mesmo trajeto anatómico: alguns estudos usam a prega do punho, outros o processo estilóide, e outros definem o comprimento a partir de marcos funcionais da palma. Do mesmo modo, há estudos que medem a mão direita, outros a mão dominante, e o estudo português mede a mão esquerda devido a constrangimentos de recolha (Anacleto Filho et al., 2023 (#ref-anacleto-filho-2023)). Estas diferenças impedem tratar todas as entradas como equivalentes diretas e justificam o registo explícito do protocolo de medição. A base não apaga a heterogeneidade; torna-a explícita para que o modelo paramétrico possa usar os dados de forma informada.</w:t>
      </w:r>
    </w:p>
    <w:p>
      <w:pPr>
        <w:pStyle w:val="BodyText"/>
        <w:bidi w:val="0"/>
        <w:spacing w:before="0" w:after="0"/>
        <w:ind w:hanging="0" w:left="0" w:right="0"/>
        <w:jc w:val="left"/>
        <w:rPr/>
      </w:pPr>
      <w:r>
        <w:rPr/>
        <w:t>Houve também dificuldades de granularidade e de representatividade. Algumas fontes são estatisticamente sólidas, mas pouco específicas para a mão; outras são ricas em medidas da mão, mas limitadas a uma população muito particular. Nag et al. (2003), por exemplo, fornecem uma cobertura dimensional muito detalhada, mas apenas para mulheres indianas trabalhadoras. Rodríguez-Vega e Rodríguez-Vega (2024) oferecem uma amostra mexicana numerosa e grupos etários úteis, mas concentram-se em quatro dimensões principais. Ibiwari et al. (2025) acrescentam dados de África, mas a amostra é composta por atletas universitários, não pela população geral. Mistarihi (2020) é relevante por incluir trabalhadores com deficiência física, mas apresenta poucos registos e não desagrega por sexo. Estes casos foram mantidos porque aumentam a diversidade de referência, mas as suas limitações foram registadas nos metadados relativos à população, à dimensão amostral e à qualidade dos dados.</w:t>
      </w:r>
    </w:p>
    <w:p>
      <w:pPr>
        <w:pStyle w:val="BodyText"/>
        <w:bidi w:val="0"/>
        <w:spacing w:before="0" w:after="0"/>
        <w:ind w:hanging="0" w:left="0" w:right="0"/>
        <w:jc w:val="left"/>
        <w:rPr/>
      </w:pPr>
      <w:r>
        <w:rPr/>
        <w:t>Em sentido inverso, algumas fontes facilitaram a extração. As tabelas com percentis claros, unidades explícitas e separação por sexo ou idade permitiram codificação direta e maior confiança. A estrutura HTML da DINED facilitou a recuperação sistemática de médias e desvios-padrão por sub-base, sexo e grupo etário, embora não disponibilize percentis na mesma interface. O ANSUR II também foi particularmente útil por disponibilizar estatísticas amplas e uma grande amostra militar, permitindo trabalhar com medições da mão, do punho e do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militares, crianças neerlandesas ou idosos chineses não representam automaticamente utilizadores com amputação de membro superior.</w:t>
      </w:r>
    </w:p>
    <w:p>
      <w:pPr>
        <w:pStyle w:val="BodyText"/>
        <w:bidi w:val="0"/>
        <w:spacing w:before="0" w:after="0"/>
        <w:ind w:hanging="0" w:left="0" w:right="0"/>
        <w:jc w:val="left"/>
        <w:rPr/>
      </w:pPr>
      <w:r>
        <w:rPr/>
        <w:t>As decisões de normalização seguiram quatro princípios. Primeiro, todas as unidades foram convertidas para milímetros, centímetros e polegadas, mantendo uma unidade-fonte única para evitar conversões ambíguas no momento de utilização. Segundo, valores provenientes de subgrupos muito pequenos, figuras em vez de tabelas, desvios-padrão atípicos ou definições anatómicas incertas foram preservados, mas assinalados em notas de qualidade, em vez de serem eliminados sem rasto. Terceiro, as medidas foram agrupadas por região corporal para distinguir dimensões diretamente ligadas à geometria da mão, de dimensões úteis apenas para a interface com o punho ou o antebraço. Quarto, os dados foram tratados como referências paramétricas e não como prescrições dimensionais finais.</w:t>
      </w:r>
    </w:p>
    <w:p>
      <w:pPr>
        <w:pStyle w:val="BodyText"/>
        <w:bidi w:val="0"/>
        <w:spacing w:before="0" w:after="0"/>
        <w:ind w:hanging="0" w:left="0" w:right="0"/>
        <w:jc w:val="left"/>
        <w:rPr/>
      </w:pPr>
      <w:r>
        <w:rPr/>
        <w:t>Esta base faz sentido para o projeto porque responde a uma necessidade específica do modelo desenvolvido: transformar uma discussão genérica sobre personalização em intervalos, relações e restrições utilizáveis. O modelo precisa saber quais medidas são recorrentes na literatura, quais variações são plausíveis entre populações, quais dimensões podem servir como entradas mínimas e onde o escalonamento uniforme se torna arriscado. A base local permite comparar, de forma rastreável, o comprimento da mão, a largura da palma, os comprimentos digitais, as dimensões do punho e as relações com o antebraço. Por isso, ela sustenta a passagem entre o enquadramento antropométrico e a modelação em OpenSCAD: os dados não geram a prótese por si só, mas delimitam o espaço de variação no qual o modelo pode operar com maior coerência.</w:t>
      </w:r>
    </w:p>
    <w:p>
      <w:pPr>
        <w:pStyle w:val="BodyText"/>
        <w:bidi w:val="0"/>
        <w:ind w:hanging="0" w:left="0" w:right="0"/>
        <w:jc w:val="left"/>
        <w:rPr/>
      </w:pPr>
      <w:r>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a coerência dimensional e fundamentar decisões de parametrização; não são apresentados como substituto de avaliação clínica, de prova de conforto ou de validação individual.</w:t>
      </w:r>
    </w:p>
    <w:p>
      <w:pPr>
        <w:pStyle w:val="Heading3"/>
        <w:bidi w:val="0"/>
        <w:spacing w:before="0" w:after="283"/>
        <w:ind w:hanging="0" w:left="0" w:right="0"/>
        <w:jc w:val="left"/>
        <w:rPr/>
      </w:pPr>
      <w:r>
        <w:rPr/>
        <w:t>Estrutura paramétrica e mapeamento de parâmetros</w:t>
      </w:r>
    </w:p>
    <w:p>
      <w:pPr>
        <w:pStyle w:val="BodyText"/>
        <w:bidi w:val="0"/>
        <w:spacing w:before="0" w:after="0"/>
        <w:ind w:hanging="0" w:left="0" w:right="0"/>
        <w:jc w:val="left"/>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BodyText"/>
        <w:bidi w:val="0"/>
        <w:spacing w:before="0" w:after="0"/>
        <w:ind w:hanging="0" w:left="0" w:right="0"/>
        <w:jc w:val="left"/>
        <w:rPr/>
      </w:pPr>
      <w:r>
        <w:rPr/>
        <w:t>Tabela 4.5 — Estrutura hierárquica dos parâmetros no modelo paramétrico</w:t>
      </w:r>
    </w:p>
    <w:tbl>
      <w:tblPr>
        <w:tblW w:w="9026" w:type="dxa"/>
        <w:jc w:val="left"/>
        <w:tblInd w:w="28" w:type="dxa"/>
        <w:tblLayout w:type="fixed"/>
        <w:tblCellMar>
          <w:top w:w="28" w:type="dxa"/>
          <w:left w:w="28" w:type="dxa"/>
          <w:bottom w:w="28" w:type="dxa"/>
          <w:right w:w="28" w:type="dxa"/>
        </w:tblCellMar>
      </w:tblPr>
      <w:tblGrid>
        <w:gridCol w:w="1446"/>
        <w:gridCol w:w="3497"/>
        <w:gridCol w:w="2147"/>
        <w:gridCol w:w="1936"/>
      </w:tblGrid>
      <w:tr>
        <w:trPr/>
        <w:tc>
          <w:tcPr>
            <w:tcW w:w="1446"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Derivados</w:t>
            </w:r>
          </w:p>
        </w:tc>
        <w:tc>
          <w:tcPr>
            <w:tcW w:w="3497"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Proporções das falanges</w:t>
            </w:r>
          </w:p>
        </w:tc>
        <w:tc>
          <w:tcPr>
            <w:tcW w:w="2147"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Construção geométrica</w:t>
            </w:r>
          </w:p>
        </w:tc>
        <w:tc>
          <w:tcPr>
            <w:tcW w:w="1936"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Dependentes</w:t>
            </w:r>
          </w:p>
        </w:tc>
      </w:tr>
      <w:tr>
        <w:trPr/>
        <w:tc>
          <w:tcPr>
            <w:tcW w:w="1446"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Funcionais</w:t>
            </w:r>
          </w:p>
        </w:tc>
        <w:tc>
          <w:tcPr>
            <w:tcW w:w="349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Amplitude de movimento, posição articular</w:t>
            </w:r>
          </w:p>
        </w:tc>
        <w:tc>
          <w:tcPr>
            <w:tcW w:w="214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Desempenho</w:t>
            </w:r>
          </w:p>
        </w:tc>
        <w:tc>
          <w:tcPr>
            <w:tcW w:w="1936"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Ligação cinemática</w:t>
            </w:r>
          </w:p>
        </w:tc>
      </w:tr>
      <w:tr>
        <w:trPr/>
        <w:tc>
          <w:tcPr>
            <w:tcW w:w="1446"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Construtivos</w:t>
            </w:r>
          </w:p>
        </w:tc>
        <w:tc>
          <w:tcPr>
            <w:tcW w:w="349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Espessuras, folgas, tolerâncias</w:t>
            </w:r>
          </w:p>
        </w:tc>
        <w:tc>
          <w:tcPr>
            <w:tcW w:w="214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Fabrico</w:t>
            </w:r>
          </w:p>
        </w:tc>
        <w:tc>
          <w:tcPr>
            <w:tcW w:w="1936"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Ajuste técnico</w:t>
            </w:r>
          </w:p>
        </w:tc>
      </w:tr>
    </w:tbl>
    <w:p>
      <w:pPr>
        <w:pStyle w:val="BodyText"/>
        <w:bidi w:val="0"/>
        <w:spacing w:before="0" w:after="0"/>
        <w:ind w:hanging="0" w:left="0" w:right="0"/>
        <w:jc w:val="left"/>
        <w:rPr/>
      </w:pPr>
      <w:r>
        <w:rPr/>
        <w:t>A tradução destes parâmetros em geometria é realizada por meio de relações explícitas entre medições e componentes do modelo.</w:t>
      </w:r>
    </w:p>
    <w:p>
      <w:pPr>
        <w:pStyle w:val="BodyText"/>
        <w:bidi w:val="0"/>
        <w:spacing w:before="0" w:after="0"/>
        <w:ind w:hanging="0" w:left="0" w:right="0"/>
        <w:jc w:val="left"/>
        <w:rPr/>
      </w:pPr>
      <w:r>
        <w:rPr/>
        <w:t>Tabela 4.6 — Mapeamento entre parâmetros antropométricos e elementos do modelo</w:t>
      </w:r>
    </w:p>
    <w:tbl>
      <w:tblPr>
        <w:tblW w:w="8081" w:type="dxa"/>
        <w:jc w:val="left"/>
        <w:tblInd w:w="28" w:type="dxa"/>
        <w:tblLayout w:type="fixed"/>
        <w:tblCellMar>
          <w:top w:w="28" w:type="dxa"/>
          <w:left w:w="28" w:type="dxa"/>
          <w:bottom w:w="28" w:type="dxa"/>
          <w:right w:w="28" w:type="dxa"/>
        </w:tblCellMar>
      </w:tblPr>
      <w:tblGrid>
        <w:gridCol w:w="3118"/>
        <w:gridCol w:w="4963"/>
      </w:tblGrid>
      <w:tr>
        <w:trPr/>
        <w:tc>
          <w:tcPr>
            <w:tcW w:w="3118"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Largura da palma</w:t>
            </w:r>
          </w:p>
        </w:tc>
        <w:tc>
          <w:tcPr>
            <w:tcW w:w="4963"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Volume da palma e espaçamento entre dedos</w:t>
            </w:r>
          </w:p>
        </w:tc>
      </w:tr>
      <w:tr>
        <w:trPr/>
        <w:tc>
          <w:tcPr>
            <w:tcW w:w="3118"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Comprimento dos dedos</w:t>
            </w:r>
          </w:p>
        </w:tc>
        <w:tc>
          <w:tcPr>
            <w:tcW w:w="4963"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Geometria das falanges</w:t>
            </w:r>
          </w:p>
        </w:tc>
      </w:tr>
      <w:tr>
        <w:trPr/>
        <w:tc>
          <w:tcPr>
            <w:tcW w:w="3118"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Circunferência do antebraço</w:t>
            </w:r>
          </w:p>
        </w:tc>
        <w:tc>
          <w:tcPr>
            <w:tcW w:w="4963"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Geometria do encaixe</w:t>
            </w:r>
          </w:p>
        </w:tc>
      </w:tr>
      <w:tr>
        <w:trPr/>
        <w:tc>
          <w:tcPr>
            <w:tcW w:w="3118"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Largura do punho</w:t>
            </w:r>
          </w:p>
        </w:tc>
        <w:tc>
          <w:tcPr>
            <w:tcW w:w="4963"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Interface palma-punho</w:t>
            </w:r>
          </w:p>
        </w:tc>
      </w:tr>
      <w:tr>
        <w:trPr/>
        <w:tc>
          <w:tcPr>
            <w:tcW w:w="3118"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Proporções falângicas</w:t>
            </w:r>
          </w:p>
        </w:tc>
        <w:tc>
          <w:tcPr>
            <w:tcW w:w="4963"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Relações cinemáticas dos mecanismos digitais</w:t>
            </w:r>
          </w:p>
        </w:tc>
      </w:tr>
    </w:tbl>
    <w:p>
      <w:pPr>
        <w:pStyle w:val="BodyText"/>
        <w:bidi w:val="0"/>
        <w:spacing w:before="0" w:after="0"/>
        <w:ind w:hanging="0" w:left="0" w:right="0"/>
        <w:jc w:val="left"/>
        <w:rPr/>
      </w:pPr>
      <w:r>
        <w:rPr/>
        <w:t>Este mapeamento constitui a base da modelação paramétrica, permitindo converter dados antropométricos em configurações geométricas e funcionais. Em termos práticos, a passagem de medição para geometria não deve ser entendida como uma transposição linear, mas como a definição de relações controladas: certos parâmetros regulam a escala geral, outros definem proporções locais e outros ainda atuam como restrições de consistência ou de fabricabilidade. Antes de qualquer implementação em código, torna-se necessário estabilizar três níveis: os dados de entrada, as relações entre parâmetros e os limites técnicos que condicionam a sua transformação em forma.</w:t>
      </w:r>
    </w:p>
    <w:p>
      <w:pPr>
        <w:pStyle w:val="BodyText"/>
        <w:bidi w:val="0"/>
        <w:ind w:hanging="0" w:left="0" w:right="0"/>
        <w:jc w:val="left"/>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spacing w:before="0" w:after="283"/>
        <w:ind w:hanging="0" w:left="0" w:right="0"/>
        <w:jc w:val="left"/>
        <w:rPr/>
      </w:pPr>
      <w:r>
        <w:rPr/>
        <w:t>4.3 Modelação paramétrica em OpenSCAD</w:t>
      </w:r>
    </w:p>
    <w:p>
      <w:pPr>
        <w:pStyle w:val="BodyText"/>
        <w:bidi w:val="0"/>
        <w:spacing w:before="0" w:after="0"/>
        <w:ind w:hanging="0" w:left="0" w:right="0"/>
        <w:jc w:val="left"/>
        <w:rPr/>
      </w:pPr>
      <w:r>
        <w:rPr/>
        <w:t>A modelação paramétrica em OpenSCAD corresponde, nesta investigação, ao momento em que a estrutura definida na secção anterior passa de um quadro conceptual a um sistema operativo.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BodyText"/>
        <w:bidi w:val="0"/>
        <w:spacing w:before="0" w:after="0"/>
        <w:ind w:hanging="0" w:left="0" w:right="0"/>
        <w:jc w:val="left"/>
        <w:rPr/>
      </w:pPr>
      <w:r>
        <w:rP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pois permite tratar a prótese como uma família configurável de soluções, regenerável com base em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(#ref-machado-2019); Moreo, 2016 (#ref-moreo-2016); Romero et al., 2025 (#ref-da-silveira-romero-2025)).</w:t>
      </w:r>
    </w:p>
    <w:p>
      <w:pPr>
        <w:pStyle w:val="BodyText"/>
        <w:bidi w:val="0"/>
        <w:ind w:hanging="0" w:left="0" w:right="0"/>
        <w:jc w:val="left"/>
        <w:rPr/>
      </w:pPr>
      <w:r>
        <w:rPr/>
        <w:t>Ao contrário de ambientes centrados na manipulação gráfica direta, o OpenSCAD opera como uma especificação computacional do objeto. Essa característica é metodologicamente relevante para a presente investigação porque torna o modelo não apenas um resultado geométrico, mas também um artefacto explícito de projeto: um sistema em que se registam as relações entre entradas antropométricas, módulos geométricos, restrições construtivas e decisões formais. Neste sentido, a modelação baseada em código articula-se bem com uma perspetiva de Research Through Design, na medida em que o próprio modelo pode ser lido, revisto, testado e documentado como uma estrutura de conhecimento técnico.</w:t>
      </w:r>
    </w:p>
    <w:p>
      <w:pPr>
        <w:pStyle w:val="Heading3"/>
        <w:bidi w:val="0"/>
        <w:spacing w:before="0" w:after="283"/>
        <w:ind w:hanging="0" w:left="0" w:right="0"/>
        <w:jc w:val="left"/>
        <w:rPr/>
      </w:pPr>
      <w:r>
        <w:rPr/>
        <w:t>4.3.1 Estrutura técnica, parâmetros e restrições</w:t>
      </w:r>
    </w:p>
    <w:p>
      <w:pPr>
        <w:pStyle w:val="BodyText"/>
        <w:bidi w:val="0"/>
        <w:spacing w:before="0" w:after="0"/>
        <w:ind w:hanging="0" w:left="0" w:right="0"/>
        <w:jc w:val="left"/>
        <w:rPr/>
      </w:pPr>
      <w:r>
        <w:rP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fabricabilidade. Esta organização permite controlar a personalização sem comprometer a coerência interna do sistema (Moreo, 2016 (#ref-moreo-2016); Nini et al., 2024 (#ref-nini-2024); Saldarriaga et al., 2024 (#ref-saldarriaga-2024)).</w:t>
      </w:r>
    </w:p>
    <w:p>
      <w:pPr>
        <w:pStyle w:val="BodyText"/>
        <w:bidi w:val="0"/>
        <w:spacing w:before="0" w:after="0"/>
        <w:ind w:hanging="0" w:left="0" w:right="0"/>
        <w:jc w:val="left"/>
        <w:rPr/>
      </w:pPr>
      <w:r>
        <w:rPr/>
        <w:t>Tabela 4.7 — Estrutura técnica em camadas de um modelo paramétrico em OpenSCAD para próteses personalizadas</w:t>
      </w:r>
    </w:p>
    <w:tbl>
      <w:tblPr>
        <w:tblW w:w="9026" w:type="dxa"/>
        <w:jc w:val="left"/>
        <w:tblInd w:w="28" w:type="dxa"/>
        <w:tblLayout w:type="fixed"/>
        <w:tblCellMar>
          <w:top w:w="28" w:type="dxa"/>
          <w:left w:w="28" w:type="dxa"/>
          <w:bottom w:w="28" w:type="dxa"/>
          <w:right w:w="28" w:type="dxa"/>
        </w:tblCellMar>
      </w:tblPr>
      <w:tblGrid>
        <w:gridCol w:w="2057"/>
        <w:gridCol w:w="2111"/>
        <w:gridCol w:w="2416"/>
        <w:gridCol w:w="2442"/>
      </w:tblGrid>
      <w:tr>
        <w:trPr/>
        <w:tc>
          <w:tcPr>
            <w:tcW w:w="2057"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Derivação geométrica</w:t>
            </w:r>
          </w:p>
        </w:tc>
        <w:tc>
          <w:tcPr>
            <w:tcW w:w="211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Parâmetros calculados a partir das entradas</w:t>
            </w:r>
          </w:p>
        </w:tc>
        <w:tc>
          <w:tcPr>
            <w:tcW w:w="2416"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Traduzir medidas em relações formais</w:t>
            </w:r>
          </w:p>
        </w:tc>
        <w:tc>
          <w:tcPr>
            <w:tcW w:w="2442"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Comprimentos segmentares, espessuras, offsets</w:t>
            </w:r>
          </w:p>
        </w:tc>
      </w:tr>
      <w:tr>
        <w:trPr/>
        <w:tc>
          <w:tcPr>
            <w:tcW w:w="205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Comportamento funcional</w:t>
            </w:r>
          </w:p>
        </w:tc>
        <w:tc>
          <w:tcPr>
            <w:tcW w:w="21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Parâmetros ligados ao uso e ao mecanismo</w:t>
            </w:r>
          </w:p>
        </w:tc>
        <w:tc>
          <w:tcPr>
            <w:tcW w:w="2416"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Regular movimento, montagem e desempenho</w:t>
            </w:r>
          </w:p>
        </w:tc>
        <w:tc>
          <w:tcPr>
            <w:tcW w:w="244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Amplitude articular, espaço para tendões, eixos</w:t>
            </w:r>
          </w:p>
        </w:tc>
      </w:tr>
      <w:tr>
        <w:trPr/>
        <w:tc>
          <w:tcPr>
            <w:tcW w:w="205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Restrições produtivas</w:t>
            </w:r>
          </w:p>
        </w:tc>
        <w:tc>
          <w:tcPr>
            <w:tcW w:w="211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Limites de fabrico e consistência</w:t>
            </w:r>
          </w:p>
        </w:tc>
        <w:tc>
          <w:tcPr>
            <w:tcW w:w="2416"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Garantir fabricabilidade e robustez</w:t>
            </w:r>
          </w:p>
        </w:tc>
        <w:tc>
          <w:tcPr>
            <w:tcW w:w="2442"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Espessura mínima, folgas, raios mínimos</w:t>
            </w:r>
          </w:p>
        </w:tc>
      </w:tr>
    </w:tbl>
    <w:p>
      <w:pPr>
        <w:pStyle w:val="BodyText"/>
        <w:bidi w:val="0"/>
        <w:spacing w:before="0" w:after="0"/>
        <w:ind w:hanging="0" w:left="0" w:right="0"/>
        <w:jc w:val="left"/>
        <w:rPr/>
      </w:pPr>
      <w:r>
        <w:rPr/>
        <w:t>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de encaixe. A modularidade tem aqui duas vantagens diretas: reduz a opacidade do sistema e facilita a regeneração controlada de variantes. Num contexto protésico, isto permite que alterações nos parâmetros de entrada não se propaguem de forma arbitrária a todo o modelo, mas sim segundo relações previamente explícitas e localizáveis (Machado et al., 2019 (#ref-machado-2019); Romero et al., 2025 (#ref-da-silveira-romero-2025)).</w:t>
      </w:r>
    </w:p>
    <w:p>
      <w:pPr>
        <w:pStyle w:val="BodyText"/>
        <w:bidi w:val="0"/>
        <w:spacing w:before="0" w:after="0"/>
        <w:ind w:hanging="0" w:left="0" w:right="0"/>
        <w:jc w:val="left"/>
        <w:rPr/>
      </w:pPr>
      <w:r>
        <w:rPr/>
        <w:t>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nas quais pequenas alterações dimensionais podem comprometer a montagem, a resistência ou a imprimibilidade. Estudos sobre modelação paramétrica de dedos protésicos e sockets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BodyText"/>
        <w:bidi w:val="0"/>
        <w:ind w:hanging="0" w:left="0" w:right="0"/>
        <w:jc w:val="left"/>
        <w:rPr/>
      </w:pPr>
      <w:r>
        <w:rPr/>
        <w:t>Finalmente, 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contemporânea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bidi w:val="0"/>
        <w:spacing w:before="0" w:after="283"/>
        <w:ind w:hanging="0" w:left="0" w:right="0"/>
        <w:jc w:val="left"/>
        <w:rPr/>
      </w:pPr>
      <w:r>
        <w:rPr/>
        <w:t>4.3.2 Análise crítica da abordagem</w:t>
      </w:r>
    </w:p>
    <w:p>
      <w:pPr>
        <w:pStyle w:val="BodyText"/>
        <w:bidi w:val="0"/>
        <w:spacing w:before="0" w:after="0"/>
        <w:ind w:hanging="0" w:left="0" w:right="0"/>
        <w:jc w:val="left"/>
        <w:rPr/>
      </w:pPr>
      <w:r>
        <w:rPr/>
        <w:t>A adoção do OpenSCAD apresenta vantagens metodológicas claras para este projeto. A primeira é a transparência. Como o modelo é definido por código, as relações entre variáveis, dependências e restrições ficam mais explícitas do que em muitos fluxos CAD baseados apenas em operações gráficas. Esta condição favorece a rastreabilidade, a revisão crítica e a reprodutibilidade, qualidades particularmente importantes num trabalho académico em que o modelo paramétrico não é apenas um instrumento de produção formal, mas também um objeto de análise (Machado et al., 2019 (#ref-machado-2019)).</w:t>
      </w:r>
    </w:p>
    <w:p>
      <w:pPr>
        <w:pStyle w:val="BodyText"/>
        <w:bidi w:val="0"/>
        <w:spacing w:before="0" w:after="0"/>
        <w:ind w:hanging="0" w:left="0" w:right="0"/>
        <w:jc w:val="left"/>
        <w:rPr/>
      </w:pPr>
      <w:r>
        <w:rPr/>
        <w:t>Uma segunda vantagem reside na afinidade entre a modelação baseada em código, a automação e a partilha aberta. A literatura mostra que sistemas como o OpenSCAD articulam-se bem com lógicas de configuração web, de geração repetida de variantes e de circulação de ficheiros-fonte em comunidades distribuídas. O facto de um modelo poder ser exposto por meio de parâmetros, ligado a interfaces HTML e convertido em resultados fabricáveis, sem exigir edição direta do código a cada iteração, constitui um argumento forte para a sua utilização em contextos de personalização acessível (Nilsiam &amp; Pearce, 2017 (#ref-nilsiam-2017)). Para um projeto que pretende aproximar a parametrização, a interface e o apoio computacional, esta característica é especialmente relevante.</w:t>
      </w:r>
    </w:p>
    <w:p>
      <w:pPr>
        <w:pStyle w:val="BodyText"/>
        <w:bidi w:val="0"/>
        <w:spacing w:before="0" w:after="0"/>
        <w:ind w:hanging="0" w:left="0" w:right="0"/>
        <w:jc w:val="left"/>
        <w:rPr/>
      </w:pPr>
      <w:r>
        <w:rPr/>
        <w:t>Contudo, a abordagem apresenta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aumenta quando o sistema é mediado por camadas intermediárias de interface ou por procedimentos que exponham apenas os parâmetros realmente necessários à configuração. A segunda limitação é geométrica: a lógica de Constructive Solid Geometry favorece peças mecânicas, modulares e relativamente discretas, mas tende a ser menos fluida em superfícies orgânicas complexas ou em interfaces anatómicas altamente irregulares, sobretudo quando comparada com ferramentas mais orientadas para superfícies livres.</w:t>
      </w:r>
    </w:p>
    <w:p>
      <w:pPr>
        <w:pStyle w:val="BodyText"/>
        <w:bidi w:val="0"/>
        <w:spacing w:before="0" w:after="0"/>
        <w:ind w:hanging="0" w:left="0" w:right="0"/>
        <w:jc w:val="left"/>
        <w:rPr/>
      </w:pPr>
      <w:r>
        <w:rPr/>
        <w:t>Há ainda uma limitação na interoperabilidade. A literatura comparativa sobre OpenSCAD sublinha que o ecossistema está fortemente orientado para formatos tesselados e para fluxos de fabrico baseados em malhas, o que pode dificultar a integração com certos circuitos CAD industriais ou com ambientes que exijam preservação completa da informação paramétrica em formatos normalizados (Machado et al., 2019 (#ref-machado-2019)). 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BodyText"/>
        <w:bidi w:val="0"/>
        <w:ind w:hanging="0" w:left="0" w:right="0"/>
        <w:jc w:val="left"/>
        <w:rPr/>
      </w:pPr>
      <w:r>
        <w:rPr/>
        <w:t>Por fim, importa reconhecer que a robustez da abordagem não se esgota na geração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criticabilidade que justifica a sua escolha como base para a modelação paramétrica aqui desenvolvida.</w:t>
      </w:r>
    </w:p>
    <w:p>
      <w:pPr>
        <w:pStyle w:val="Heading3"/>
        <w:bidi w:val="0"/>
        <w:spacing w:before="0" w:after="283"/>
        <w:ind w:hanging="0" w:left="0" w:right="0"/>
        <w:jc w:val="left"/>
        <w:rPr/>
      </w:pPr>
      <w:r>
        <w:rPr/>
        <w:t>4.4 Iterações, refinamento e discussão intermédia</w:t>
      </w:r>
    </w:p>
    <w:p>
      <w:pPr>
        <w:pStyle w:val="BodyText"/>
        <w:bidi w:val="0"/>
        <w:spacing w:before="0" w:after="0"/>
        <w:ind w:hanging="0" w:left="0" w:right="0"/>
        <w:jc w:val="left"/>
        <w:rPr/>
      </w:pPr>
      <w:r>
        <w:rPr/>
        <w:t>O desenvolvimento do modelo paramétrico não ocorreu, desde o início, como uma sequência linear orientada a uma solução estável e definitiva. Pelo contrário, evoluiu através de ciclos sucessivos de formulação, teste, correção e reconfiguração, em coerência com a perspetiva de Research Through Design,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BodyText"/>
        <w:bidi w:val="0"/>
        <w:spacing w:before="0" w:after="0"/>
        <w:ind w:hanging="0" w:left="0" w:right="0"/>
        <w:jc w:val="left"/>
        <w:rPr/>
      </w:pPr>
      <w:r>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o que confirma a importância de limitar e estruturar cuidadosamente o espaço configurável (Ozdemir, Verlinden, &amp; Cascini, 2022; Lei, Yao, Moon, &amp; Bi, 2016).</w:t>
      </w:r>
    </w:p>
    <w:p>
      <w:pPr>
        <w:pStyle w:val="BodyText"/>
        <w:bidi w:val="0"/>
        <w:spacing w:before="0" w:after="0"/>
        <w:ind w:hanging="0" w:left="0" w:right="0"/>
        <w:jc w:val="left"/>
        <w:rPr/>
      </w:pPr>
      <w:r>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BodyText"/>
        <w:bidi w:val="0"/>
        <w:spacing w:before="0" w:after="0"/>
        <w:ind w:hanging="0" w:left="0" w:right="0"/>
        <w:jc w:val="left"/>
        <w:rPr/>
      </w:pPr>
      <w:r>
        <w:rPr/>
        <w:t>À medida que a estrutura geral se consolidou, o trabalho iterativo deslocou-se para a decomposição do sistema em módulos relativamente autónomos. Esta modularização permitiu isolar problemas, testar componentes localmente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uma clarificação progressiva da lógica do objeto, aproximando o modelo de uma estrutura configurável, mais disciplinada e compatível com futuros contextos de interface ou de configuração assistida (Nilsiam &amp; Pearce, 2017 (#ref-nilsiam-2017)).</w:t>
      </w:r>
    </w:p>
    <w:p>
      <w:pPr>
        <w:pStyle w:val="BodyText"/>
        <w:bidi w:val="0"/>
        <w:spacing w:before="0" w:after="0"/>
        <w:ind w:hanging="0" w:left="0" w:right="0"/>
        <w:jc w:val="left"/>
        <w:rPr/>
      </w:pPr>
      <w:r>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BodyText"/>
        <w:bidi w:val="0"/>
        <w:spacing w:before="0" w:after="0"/>
        <w:ind w:hanging="0" w:left="0" w:right="0"/>
        <w:jc w:val="left"/>
        <w:rPr/>
      </w:pPr>
      <w:r>
        <w:rPr/>
        <w:t>Outro eixo central do processo prendeu-se à relação entre personalização e fabricabilidade. Nem toda a variação admissível do ponto de vista formal mostrou-se viável do ponto de vista produtivo. Certas configurações geravam geometrias excessivamente finas, folgas inadequadas, transições abruptas ou zonas vulneráveis no contexto da impressão 3D.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BodyText"/>
        <w:bidi w:val="0"/>
        <w:spacing w:before="0" w:after="0"/>
        <w:ind w:hanging="0" w:left="0" w:right="0"/>
        <w:jc w:val="left"/>
        <w:rPr/>
      </w:pPr>
      <w:r>
        <w:rPr/>
        <w:t>A dimensão funcional introduziu um nível adicional de exigência. Em sistemas configuráveis para próteses, a coerência geométrica e a imprimibilidade não bastam para assegurar a adequação ao uso. A articulação entre segmentos, o posicionamento relativo dos mecanismos, a distribuição de massa, as zonas de esforço e a amplitude de movimento influenciam diretamente o desempenho esperado do objeto. Por essa razão, várias revisões do modelo implicaram reajustes que não se limitavam a problemas formais, mas também à necessidade de manter um equilíbrio plausível entre adaptação dimensional, comportamento funcional e viabilidade material. O refinamento correspondeu, assim, a uma negociação contínua entre a simplificação paramétrica e a exigência prototípica.</w:t>
      </w:r>
    </w:p>
    <w:p>
      <w:pPr>
        <w:pStyle w:val="BodyText"/>
        <w:bidi w:val="0"/>
        <w:spacing w:before="0" w:after="0"/>
        <w:ind w:hanging="0" w:left="0" w:right="0"/>
        <w:jc w:val="left"/>
        <w:rPr/>
      </w:pPr>
      <w:r>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BodyText"/>
        <w:bidi w:val="0"/>
        <w:spacing w:before="0" w:after="0"/>
        <w:ind w:hanging="0" w:left="0" w:right="0"/>
        <w:jc w:val="left"/>
        <w:rPr/>
      </w:pPr>
      <w:r>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BodyText"/>
        <w:bidi w:val="0"/>
        <w:ind w:hanging="0" w:left="0" w:right="0"/>
        <w:jc w:val="left"/>
        <w:rPr/>
      </w:pPr>
      <w:r>
        <w:rPr/>
      </w:r>
    </w:p>
    <w:p>
      <w:pPr>
        <w:pStyle w:val="Heading2"/>
        <w:bidi w:val="0"/>
        <w:spacing w:before="0" w:after="283"/>
        <w:ind w:hanging="0" w:left="0" w:right="0"/>
        <w:jc w:val="left"/>
        <w:rPr/>
      </w:pPr>
      <w:r>
        <w:rPr/>
        <w:t>Capítulo 5 — Plataforma Web e Integração Digital</w:t>
      </w:r>
    </w:p>
    <w:p>
      <w:pPr>
        <w:pStyle w:val="Heading3"/>
        <w:bidi w:val="0"/>
        <w:spacing w:before="0" w:after="283"/>
        <w:ind w:hanging="0" w:left="0" w:right="0"/>
        <w:jc w:val="left"/>
        <w:rPr/>
      </w:pPr>
      <w:r>
        <w:rPr/>
        <w:t>5.1 Enquadramento conceptual e perfis de utilizador</w:t>
      </w:r>
    </w:p>
    <w:p>
      <w:pPr>
        <w:pStyle w:val="BodyText"/>
        <w:bidi w:val="0"/>
        <w:spacing w:before="0" w:after="0"/>
        <w:ind w:hanging="0" w:left="0" w:right="0"/>
        <w:jc w:val="left"/>
        <w:rPr/>
      </w:pPr>
      <w:r>
        <w:rPr/>
        <w:t>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Esta leitura é coerente com a literatura sobre personalização digital e mass personalisation, que descreve os configuradores como infraestruturas que expõem uma parte controlada do espaço de variação, permitindo adaptar produtos sem comprometer a coerência interna do modelo-base (Ozdemir, Verlinden, &amp; Cascini, 2022; Stralen, 2018 (#ref-stralen-2018)).</w:t>
      </w:r>
    </w:p>
    <w:p>
      <w:pPr>
        <w:pStyle w:val="BodyText"/>
        <w:bidi w:val="0"/>
        <w:spacing w:before="0" w:after="0"/>
        <w:ind w:hanging="0" w:left="0" w:right="0"/>
        <w:jc w:val="left"/>
        <w:rPr/>
      </w:pPr>
      <w:r>
        <w:rPr/>
        <w:t>Do ponto de vista funcional, a plataforma foi concebida para suportar um processo de personalização progressiva,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 (#ref-peixoto-2025)).</w:t>
      </w:r>
    </w:p>
    <w:p>
      <w:pPr>
        <w:pStyle w:val="BodyText"/>
        <w:bidi w:val="0"/>
        <w:spacing w:before="0" w:after="0"/>
        <w:ind w:hanging="0" w:left="0" w:right="0"/>
        <w:jc w:val="left"/>
        <w:rPr/>
      </w:pPr>
      <w:r>
        <w:rPr/>
        <w:t>Neste sentido, a plataforma deve ser entendida como um sistema sociotécnico, e não apenas como um artefacto de software. A personalização deixa de ser concebida como um ato individual e isolado e passa a ser enquadrada como um processo distribuído, no qual diferentes agentes intervêm com graus distintos de responsabilidade e de controlo. 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BodyText"/>
        <w:bidi w:val="0"/>
        <w:spacing w:before="0" w:after="0"/>
        <w:ind w:hanging="0" w:left="0" w:right="0"/>
        <w:jc w:val="left"/>
        <w:rPr/>
      </w:pPr>
      <w:r>
        <w:rPr/>
        <w:t>A definição dos perfis de utilizador corresponde, por isso, a uma opção conceptual central. O sistema organiza-se em três perfis principais: administrador, técnico e utilizador. O perfil de administrador assegura a gestão global da plataforma, incluindo a criação de contas, a definição de permissões e a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pStyle w:val="BodyText"/>
        <w:bidi w:val="0"/>
        <w:spacing w:before="0" w:after="0"/>
        <w:ind w:hanging="0" w:left="0" w:right="0"/>
        <w:jc w:val="left"/>
        <w:rPr/>
      </w:pPr>
      <w:r>
        <w:rPr/>
        <w:t>Importa sublinhar que esta diferenciação não se limita a uma decisão administrativa. Ela participa diretamente na forma como a plataforma enquadra a personalização. Ao reservar certos parâmetros, decisões ou operações a perfis técnicos, o sistema reconhece que nem todos os aspetos da configuração devem ser apresentados ao utilizador final como opções de escolha.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BodyText"/>
        <w:bidi w:val="0"/>
        <w:ind w:hanging="0" w:left="0" w:right="0"/>
        <w:jc w:val="left"/>
        <w:rPr/>
      </w:pPr>
      <w:r>
        <w:rPr/>
        <w:t>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mas também em reconfigurar o próprio processo de personalização como uma sequência assistida, rastreável e criticável. É nessa articulação entre configurabilidade, mediação da interface e organização por perfis que a secção seguinte, dedicada à arquitetura geral do sistema, encontra a sua base conceptual.</w:t>
      </w:r>
    </w:p>
    <w:p>
      <w:pPr>
        <w:pStyle w:val="Heading3"/>
        <w:bidi w:val="0"/>
        <w:spacing w:before="0" w:after="283"/>
        <w:ind w:hanging="0" w:left="0" w:right="0"/>
        <w:jc w:val="left"/>
        <w:rPr/>
      </w:pPr>
      <w:r>
        <w:rPr/>
        <w:t>5.2 Arquitetura geral do sistema</w:t>
      </w:r>
    </w:p>
    <w:p>
      <w:pPr>
        <w:pStyle w:val="BodyText"/>
        <w:bidi w:val="0"/>
        <w:spacing w:before="0" w:after="0"/>
        <w:ind w:hanging="0" w:left="0" w:right="0"/>
        <w:jc w:val="left"/>
        <w:rPr/>
      </w:pPr>
      <w:r>
        <w:rPr/>
        <w:t>A arquitetura geral do sistema foi concebida como uma estrutura em camadas, organizada para separar a interface, a lógica de aplicação, a persistência de dados e os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BodyText"/>
        <w:bidi w:val="0"/>
        <w:spacing w:before="0" w:after="0"/>
        <w:ind w:hanging="0" w:left="0" w:right="0"/>
        <w:jc w:val="left"/>
        <w:rPr/>
      </w:pPr>
      <w:r>
        <w:rPr/>
        <w:t>Do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e “retaguarda”, mas sim a uma estratégia de contenção da complexidade e de delimitação explícita de responsabilidades.</w:t>
      </w:r>
    </w:p>
    <w:p>
      <w:pPr>
        <w:pStyle w:val="BodyText"/>
        <w:bidi w:val="0"/>
        <w:spacing w:before="0" w:after="0"/>
        <w:ind w:hanging="0" w:left="0" w:right="0"/>
        <w:jc w:val="left"/>
        <w:rPr/>
      </w:pPr>
      <w:r>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também como infraestrutura que sustenta a continuidade, o versionamento prático e a rastreabilidade das variantes produzidas.</w:t>
      </w:r>
    </w:p>
    <w:p>
      <w:pPr>
        <w:pStyle w:val="BodyText"/>
        <w:bidi w:val="0"/>
        <w:spacing w:before="0" w:after="0"/>
        <w:ind w:hanging="0" w:left="0" w:right="0"/>
        <w:jc w:val="left"/>
        <w:rPr/>
      </w:pPr>
      <w:r>
        <w:rPr/>
        <w:t>Um dos aspetos mais relevantes da arquitetura é que a renderização geométrica não é executada no servidor. Em vez disso, o cálculo e a geração da geometria tridimensional ocorrem localmente no navegador, por meio de um processo baseado em OpenSCAD, compilado para WebAssembly e executado em um Web Worker. Esta decisão reduz a carga computacional do backend,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BodyText"/>
        <w:bidi w:val="0"/>
        <w:ind w:hanging="0" w:left="0" w:right="0"/>
        <w:jc w:val="left"/>
        <w:rPr/>
      </w:pPr>
      <w:r>
        <w:rPr/>
        <w:t>No plano da segurança e do controlo de acesso, a arquitetura incorpora autenticação baseada em JWT, utilização de tokens de atualização em cookies HttpOnly,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spacing w:before="0" w:after="283"/>
        <w:ind w:hanging="0" w:left="0" w:right="0"/>
        <w:jc w:val="left"/>
        <w:rPr/>
      </w:pPr>
      <w:r>
        <w:rPr/>
        <w:t>5.3 Integração OpenSCAD via WebAssembly (WASM)</w:t>
      </w:r>
    </w:p>
    <w:p>
      <w:pPr>
        <w:pStyle w:val="BodyText"/>
        <w:bidi w:val="0"/>
        <w:spacing w:before="0" w:after="0"/>
        <w:ind w:hanging="0" w:left="0" w:right="0"/>
        <w:jc w:val="left"/>
        <w:rPr/>
      </w:pPr>
      <w:r>
        <w:rPr/>
        <w:t>A integração do OpenSCAD por meio de WebAssembly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BodyText"/>
        <w:bidi w:val="0"/>
        <w:spacing w:before="0" w:after="0"/>
        <w:ind w:hanging="0" w:left="0" w:right="0"/>
        <w:jc w:val="left"/>
        <w:rPr/>
      </w:pPr>
      <w:r>
        <w:rPr/>
        <w:t>Em termos operacionais, o processo organiza-se em uma cadeia relativamente clara. Os ficheiros .scad, que contêm a definição algorítmica do modelo, e os conjuntos de parâmetros produzidos pela interface são carregados no frontend. 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p>
    <w:p>
      <w:pPr>
        <w:pStyle w:val="BodyText"/>
        <w:bidi w:val="0"/>
        <w:spacing w:before="0" w:after="0"/>
        <w:ind w:hanging="0" w:left="0" w:right="0"/>
        <w:jc w:val="left"/>
        <w:rPr/>
      </w:pPr>
      <w:r>
        <w:rPr/>
        <w:t>Do ponto de vista metodológico, esta solução tem implicações importantes. Em primeiro lugar,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BodyText"/>
        <w:bidi w:val="0"/>
        <w:spacing w:before="0" w:after="0"/>
        <w:ind w:hanging="0" w:left="0" w:right="0"/>
        <w:jc w:val="left"/>
        <w:rPr/>
      </w:pPr>
      <w:r>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BodyText"/>
        <w:bidi w:val="0"/>
        <w:spacing w:before="0" w:after="0"/>
        <w:ind w:hanging="0" w:left="0" w:right="0"/>
        <w:jc w:val="left"/>
        <w:rPr/>
      </w:pPr>
      <w:r>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protésicos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BodyText"/>
        <w:bidi w:val="0"/>
        <w:ind w:hanging="0" w:left="0" w:right="0"/>
        <w:jc w:val="left"/>
        <w:rPr/>
      </w:pPr>
      <w:r>
        <w:rP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o faz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bidi w:val="0"/>
        <w:spacing w:before="0" w:after="283"/>
        <w:ind w:hanging="0" w:left="0" w:right="0"/>
        <w:jc w:val="left"/>
        <w:rPr/>
      </w:pPr>
      <w:r>
        <w:rPr/>
        <w:t>5.4 Estrutura funcional da plataforma</w:t>
      </w:r>
    </w:p>
    <w:p>
      <w:pPr>
        <w:pStyle w:val="BodyText"/>
        <w:bidi w:val="0"/>
        <w:spacing w:before="0" w:after="0"/>
        <w:ind w:hanging="0" w:left="0" w:right="0"/>
        <w:jc w:val="left"/>
        <w:rPr/>
      </w:pPr>
      <w:r>
        <w:rPr/>
        <w:t>A estrutura funcional da plataforma organiza-se em 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feedback com decisão (Ozdemir et al., 2022 (#ref-ozdemir-2022); Peixoto et al., 2025 (#ref-peixoto-2025)).</w:t>
      </w:r>
    </w:p>
    <w:p>
      <w:pPr>
        <w:pStyle w:val="BodyText"/>
        <w:bidi w:val="0"/>
        <w:spacing w:before="0" w:after="0"/>
        <w:ind w:hanging="0" w:left="0" w:right="0"/>
        <w:jc w:val="left"/>
        <w:rPr/>
      </w:pPr>
      <w:r>
        <w:rPr/>
        <w:t>O ponto de entrada do sistema é o módulo de seleção de modelos. Cada modelo é descrito por um ficheiro de configuração que inclui o identificador, a descrição, o ficheiro OpenSCAD associado e a lista de parâmetros editáveis. A partir dessa estrutura, a interface consegue gerar dinamicamente os controlos de edição necessários, como sliders,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BodyText"/>
        <w:bidi w:val="0"/>
        <w:spacing w:before="0" w:after="0"/>
        <w:ind w:hanging="0" w:left="0" w:right="0"/>
        <w:jc w:val="left"/>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BodyText"/>
        <w:bidi w:val="0"/>
        <w:spacing w:before="0" w:after="0"/>
        <w:ind w:hanging="0" w:left="0" w:right="0"/>
        <w:jc w:val="left"/>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atuais. Esse pedido é enviado ao servidor por meio de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no OpenSCAD/WebAssembly.</w:t>
      </w:r>
    </w:p>
    <w:p>
      <w:pPr>
        <w:pStyle w:val="BodyText"/>
        <w:bidi w:val="0"/>
        <w:spacing w:before="0" w:after="0"/>
        <w:ind w:hanging="0" w:left="0" w:right="0"/>
        <w:jc w:val="left"/>
        <w:rPr/>
      </w:pPr>
      <w:r>
        <w:rPr/>
        <w:t>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com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human-in-the-loop assumida no projeto.</w:t>
      </w:r>
    </w:p>
    <w:p>
      <w:pPr>
        <w:pStyle w:val="BodyText"/>
        <w:bidi w:val="0"/>
        <w:spacing w:before="0" w:after="0"/>
        <w:ind w:hanging="0" w:left="0" w:right="0"/>
        <w:jc w:val="left"/>
        <w:rPr/>
      </w:pPr>
      <w:r>
        <w:rPr/>
        <w:t>A evolução posterior do módulo acrescentou uma ancoragem opcional aos dados populacionais. Quando o frontend envia a descrição do utilizador e o identificador do modelo, o servidor procura o perfil antropométrico populacional mais próximo, considerando atributos como sexo, idade aproximada e país, e projeta as médias desse perfil sobre os parâmetros disponíveis no modelo ativo. O bloco de referência é então anexado ao pedido enviado à IA como referência inicial quantificada, servindo de ponto de partida antropométrico, sem substituir nem se sobrepor às medições fornecidas diretamente pelo utilizador. Esta solução reforça a continuidade entre três caminhos da plataforma: seleção manual de uma referência populacional, importação de perfis antropométricos e sugestão assistida por IA.</w:t>
      </w:r>
    </w:p>
    <w:p>
      <w:pPr>
        <w:pStyle w:val="BodyText"/>
        <w:bidi w:val="0"/>
        <w:spacing w:before="0" w:after="0"/>
        <w:ind w:hanging="0" w:left="0" w:right="0"/>
        <w:jc w:val="left"/>
        <w:rPr/>
      </w:pPr>
      <w:r>
        <w:rP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BodyText"/>
        <w:bidi w:val="0"/>
        <w:spacing w:before="0" w:after="0"/>
        <w:ind w:hanging="0" w:left="0" w:right="0"/>
        <w:jc w:val="left"/>
        <w:rPr/>
      </w:pPr>
      <w:r>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da plataforma não se esgota na manipulação de parâmetros e na visualização de formas; inclui também a gestão das relações entre agentes, das responsabilidades e dos níveis de intervenção. Neste sentido, a aplicação obtém sugestões paramétricas através do servidor, que se comunica com serviços externos por intermédio de um proxy seguro¹, mas enquadra essa capacidade dentro de uma estrutura funcional mais ampla, em que configuração, supervisão e persistência coexistem como partes de um mesmo sistema operativo.</w:t>
      </w:r>
    </w:p>
    <w:p>
      <w:pPr>
        <w:pStyle w:val="BodyText"/>
        <w:bidi w:val="0"/>
        <w:spacing w:before="0" w:after="0"/>
        <w:ind w:hanging="0" w:left="0" w:right="0"/>
        <w:jc w:val="left"/>
        <w:rPr/>
      </w:pPr>
      <w:r>
        <w:rPr/>
        <w:t xml:space="preserve">¹ </w:t>
      </w:r>
      <w:r>
        <w:rPr/>
        <w:t>Entende-se por proxy seguro uma camada intermédia de comunicação que permite ao servidor gerir os pedidos enviados a serviços externos, protegendo credenciais sensíveis, controlando o acesso e reduzindo a exposição direta da aplicação a sistemas externos.</w:t>
      </w:r>
    </w:p>
    <w:p>
      <w:pPr>
        <w:pStyle w:val="BodyText"/>
        <w:bidi w:val="0"/>
        <w:spacing w:before="0" w:after="0"/>
        <w:ind w:hanging="0" w:left="0" w:right="0"/>
        <w:jc w:val="left"/>
        <w:rPr/>
      </w:pPr>
      <w:r>
        <w:rPr/>
        <w:t>A biblioteca de modelos integrada na plataforma confirma esta lógica modular. Em vez de tratar a prótese como um único ficheiro estático, o sistema organiza diferentes famílias de mãos protésicas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à nomenclatura antropométrica da plataforma. A integração não consistiu, portanto, apenas em “carregar” ficheiros tridimensionais; consistiu em traduzir cada modelo para uma interface comum de parâmetros, mantendo as respetivas restrições mecânicas específicas.</w:t>
      </w:r>
    </w:p>
    <w:p>
      <w:pPr>
        <w:pStyle w:val="BodyText"/>
        <w:bidi w:val="0"/>
        <w:spacing w:before="0" w:after="0"/>
        <w:ind w:hanging="0" w:left="0" w:right="0"/>
        <w:jc w:val="left"/>
        <w:rPr/>
      </w:pPr>
      <w:r>
        <w:rPr/>
        <w:t>No caso da prótese “Paraglider Hand” (também conhecida como Flexible Flyer), a integração partiu de uma mão mecânica acionada pelo corpo, derivada das linhagens Phoenix e UnLimbited. O desafio principal não foi reconstruir a geometria dos dedos, já definida em OpenSCAD, mas sim alinhar a lógica original do modelo com os nomes canónicos utilizados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um escalonamento uniforme, uma vez que os furos cilíndricos para pinos metálicos não podem ser deformados em elipses sem comprometer a montagem. Assim, certas medidas, como o comprimento e a espessura da palma, foram mantidas como informações contextuais para a IA e para o perfil antropométrico, mas não foram utilizadas como transformações geométricas ativas nesse modelo.</w:t>
      </w:r>
    </w:p>
    <w:p>
      <w:pPr>
        <w:pStyle w:val="BodyText"/>
        <w:bidi w:val="0"/>
        <w:spacing w:before="0" w:after="0"/>
        <w:ind w:hanging="0" w:left="0" w:right="0"/>
        <w:jc w:val="left"/>
        <w:rPr/>
      </w:pPr>
      <w:r>
        <w:rPr/>
        <w:t>A integração do Paraglider também revelou limitações práticas na execução do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no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BodyText"/>
        <w:bidi w:val="0"/>
        <w:spacing w:before="0" w:after="0"/>
        <w:ind w:hanging="0" w:left="0" w:right="0"/>
        <w:jc w:val="left"/>
        <w:rPr/>
      </w:pPr>
      <w:r>
        <w:rPr/>
        <w:t>O trabalho realizado sobre os modelos do tipo Cyborg Beast/Flexy Hand teve uma função complementar. Estes modelos foram usados como base exploratória para testar uma reparametrização mais ampla, na qual a geometria original foi reorganizada em torno de medidas antropométricas da palma, dos dedos, do punho e do membro residual. A versão antropométrica resultante não foi tratada como uma simples escala global: incorporou comprimentos digitais, espessuras estruturais, canais internos, parâmetros de hardware e dimensões de encaixe, todos derivados das medidas do antebraço. Essa experiência foi útil para esclarecer a diferença entre adaptar um modelo existente por meio de multiplicadores gerais e reconstruir sua lógica dimensional em torno de uma estrutura antropométrica coerente. Mesmo quando determinados modelos permaneceram como material de desenvolvimento e comparação, contribuíram para estabilizar a taxonomia de parâmetros que a plataforma passou a exigir dos modelos ativos.</w:t>
      </w:r>
    </w:p>
    <w:p>
      <w:pPr>
        <w:pStyle w:val="BodyText"/>
        <w:bidi w:val="0"/>
        <w:ind w:hanging="0" w:left="0" w:right="0"/>
        <w:jc w:val="left"/>
        <w:rPr/>
      </w:pPr>
      <w:r>
        <w:rPr/>
        <w:t>Em conjunto, estes casos mostram que a escalabilidade da plataforma depende menos da quantidade de modelos disponíveis e mais da existência de uma gramática comum de integração. Cada nova mão exige três operações: identificar quais parâmetros antropométricos são relevantes, decidir quais parâmetros podem alterar a geometria sem quebrar as interfaces mecânicas e declarar essas relações de forma compreensível para a interface, o renderizador e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Heading3"/>
        <w:bidi w:val="0"/>
        <w:spacing w:before="0" w:after="283"/>
        <w:ind w:hanging="0" w:left="0" w:right="0"/>
        <w:jc w:val="left"/>
        <w:rPr/>
      </w:pPr>
      <w:r>
        <w:rPr/>
        <w:t>5.5 Gestão de parâmetros, versões e escalabilidade</w:t>
      </w:r>
    </w:p>
    <w:p>
      <w:pPr>
        <w:pStyle w:val="BodyText"/>
        <w:bidi w:val="0"/>
        <w:spacing w:before="0" w:after="0"/>
        <w:ind w:hanging="0" w:left="0" w:right="0"/>
        <w:jc w:val="left"/>
        <w:rPr/>
      </w:pPr>
      <w:r>
        <w:rPr/>
        <w:t>A gestão de parâmetros constitui uma das condições centrais para transformar um modelo paramétrico em 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BodyText"/>
        <w:bidi w:val="0"/>
        <w:spacing w:before="0" w:after="0"/>
        <w:ind w:hanging="0" w:left="0" w:right="0"/>
        <w:jc w:val="left"/>
        <w:rPr/>
      </w:pPr>
      <w:r>
        <w:rPr/>
        <w:t>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A segunda é a reconfigurabilidade do próprio sistema: a adição, remoção ou ajuste de parâmetros pode ser realizada sem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w:t>
      </w:r>
    </w:p>
    <w:p>
      <w:pPr>
        <w:pStyle w:val="BodyText"/>
        <w:bidi w:val="0"/>
        <w:spacing w:before="0" w:after="0"/>
        <w:ind w:hanging="0" w:left="0" w:right="0"/>
        <w:jc w:val="left"/>
        <w:rPr/>
      </w:pPr>
      <w:r>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Embora esta solução ainda não corresponda a um sistema de versionamento completo nos moldes tradicionais do desenvolvimento de software, já suporta uma função projetualmente relevante: acompanhar o processo iterativo de configuração, preservar variantes e permitir a comparação entre estados sucessivos do mesmo artefacto.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BodyText"/>
        <w:bidi w:val="0"/>
        <w:spacing w:before="0" w:after="0"/>
        <w:ind w:hanging="0" w:left="0" w:right="0"/>
        <w:jc w:val="left"/>
        <w:rPr/>
      </w:pPr>
      <w:r>
        <w:rP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ainda não pretende substituir mecanismos mais sofisticados de gestão de revisões, mas fornece uma base suficiente para sustentar o acompanhamento iterativo do desenvolvimento e a análise reflexiva do processo.</w:t>
      </w:r>
    </w:p>
    <w:p>
      <w:pPr>
        <w:pStyle w:val="BodyText"/>
        <w:bidi w:val="0"/>
        <w:spacing w:before="0" w:after="0"/>
        <w:ind w:hanging="0" w:left="0" w:right="0"/>
        <w:jc w:val="left"/>
        <w:rPr/>
      </w:pPr>
      <w:r>
        <w:rPr/>
        <w:t>Quanto à escalabilidade, a plataforma beneficia de uma arquitetura modular e orientada para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respetivo registo em models-config.json, o que evidencia uma forma de escalabilidade baseada menos na duplicação de código e mais na extensão configurável.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BodyText"/>
        <w:bidi w:val="0"/>
        <w:spacing w:before="0" w:after="0"/>
        <w:ind w:hanging="0" w:left="0" w:right="0"/>
        <w:jc w:val="left"/>
        <w:rPr/>
      </w:pPr>
      <w:r>
        <w:rPr/>
        <w:t>Todavia, esta escalabilidade deve ser analisada criticamente. O recurso ao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pStyle w:val="BodyText"/>
        <w:bidi w:val="0"/>
        <w:spacing w:before="0" w:after="0"/>
        <w:ind w:hanging="0" w:left="0" w:right="0"/>
        <w:jc w:val="left"/>
        <w:rPr/>
      </w:pPr>
      <w:r>
        <w:rP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a configurabilidade, a persistência e o crescimento controlado são condições para que a personalização paramétrica permaneça tecnicamente viável e metodologicamente rastreável ao longo do desenvolvimento.</w:t>
      </w:r>
    </w:p>
    <w:p>
      <w:pPr>
        <w:pStyle w:val="BodyText"/>
        <w:bidi w:val="0"/>
        <w:ind w:hanging="0" w:left="0" w:right="0"/>
        <w:jc w:val="left"/>
        <w:rPr/>
      </w:pPr>
      <w:r>
        <w:rPr/>
      </w:r>
    </w:p>
    <w:p>
      <w:pPr>
        <w:pStyle w:val="Heading2"/>
        <w:bidi w:val="0"/>
        <w:spacing w:before="0" w:after="283"/>
        <w:ind w:hanging="0" w:left="0" w:right="0"/>
        <w:jc w:val="left"/>
        <w:rPr/>
      </w:pPr>
      <w:r>
        <w:rPr/>
        <w:t>Capítulo 6 — Integração da Inteligência Artificial</w:t>
      </w:r>
    </w:p>
    <w:p>
      <w:pPr>
        <w:pStyle w:val="Heading3"/>
        <w:bidi w:val="0"/>
        <w:spacing w:before="0" w:after="283"/>
        <w:ind w:hanging="0" w:left="0" w:right="0"/>
        <w:jc w:val="left"/>
        <w:rPr/>
      </w:pPr>
      <w:r>
        <w:rPr/>
        <w:t>6.1 Papel da IA no sistema proposto</w:t>
      </w:r>
    </w:p>
    <w:p>
      <w:pPr>
        <w:pStyle w:val="BodyText"/>
        <w:bidi w:val="0"/>
        <w:spacing w:before="0" w:after="0"/>
        <w:ind w:hanging="0" w:left="0" w:right="0"/>
        <w:jc w:val="left"/>
        <w:rPr/>
      </w:pPr>
      <w:r>
        <w:rPr/>
        <w:t>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próteses e ortóteses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não como repetição do estado da arte, mas como tentativa de ligação entre componentes que a literatura tende a desenvolver de forma fragmentada.</w:t>
      </w:r>
    </w:p>
    <w:p>
      <w:pPr>
        <w:pStyle w:val="BodyText"/>
        <w:bidi w:val="0"/>
        <w:spacing w:before="0" w:after="0"/>
        <w:ind w:hanging="0" w:left="0" w:right="0"/>
        <w:jc w:val="left"/>
        <w:rPr/>
      </w:pPr>
      <w:r>
        <w:rPr/>
        <w:t>Neste enquadramento, o papel da IA não consiste em substituir o processo de projeto, a lógica geométrica nem a validação técnica. A sua função é a de uma camada complementar de apoio à configuração, operando sobre uma base paramétrica já definida.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da mão, sobre customização de dedos protésicos por modelação paramétrica e sobre sockets personalizados para próteses transradiais demonstram que a personalização pode ser estruturada por meio de modelos explícitos e fluxos CAD/CAM ajustáveis (da Silveira Romero et al., 2025 (#ref-da-silveira-romero-2025); Lim et al., 2018 (#ref-lim-2018); Saldarriaga et al., 2024 (#ref-saldarriaga-2024)). O sistema aqui proposto parte precisamente desta premissa: a geometria não é gerada de forma opaca por um modelo autónomo, mas sim por um modelo paramétrico explícito, definido em OpenSCAD e manipulável por meio de parâmetros rastreáveis.</w:t>
      </w:r>
    </w:p>
    <w:p>
      <w:pPr>
        <w:pStyle w:val="BodyText"/>
        <w:bidi w:val="0"/>
        <w:spacing w:before="0" w:after="0"/>
        <w:ind w:hanging="0" w:left="0" w:right="0"/>
        <w:jc w:val="left"/>
        <w:rPr/>
      </w:pPr>
      <w:r>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data-driven orientadas a melhorar a adaptação, o conforto e a adequação estrutural, sem eliminar a necessidade de interpretação humana (Gu et al., 2024 (#ref-gu-2024)). Em termos projetuais, a IA funciona como instrumento de apoio à decisão e à iteração: propõe pontos de partida, ajuda a comparar cenários e acelera os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(#ref-da-silveira-romero-2025), bem como quadros de otimização estrutural orientados por dados anatómicos e por constrangimentos de adaptação, como o proposto por Gu et al. (2024) (#ref-gu-2024).</w:t>
      </w:r>
    </w:p>
    <w:p>
      <w:pPr>
        <w:pStyle w:val="BodyText"/>
        <w:bidi w:val="0"/>
        <w:ind w:hanging="0" w:left="0" w:right="0"/>
        <w:jc w:val="left"/>
        <w:rPr/>
      </w:pPr>
      <w:r>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a entrada, a sugestão e o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assim, menos na promessa de automatização total e mais na sua capacidade de reforçar um processo de personalização já estruturado por lógica paramétrica explícita, por requisitos de fabrico e por responsabilidade humana.</w:t>
      </w:r>
    </w:p>
    <w:p>
      <w:pPr>
        <w:pStyle w:val="Heading3"/>
        <w:bidi w:val="0"/>
        <w:spacing w:before="0" w:after="283"/>
        <w:ind w:hanging="0" w:left="0" w:right="0"/>
        <w:jc w:val="left"/>
        <w:rPr/>
      </w:pPr>
      <w:r>
        <w:rPr/>
        <w:t>6.2 IA na parametrização, personalização e apoio à decisão</w:t>
      </w:r>
    </w:p>
    <w:p>
      <w:pPr>
        <w:pStyle w:val="BodyText"/>
        <w:bidi w:val="0"/>
        <w:spacing w:before="0" w:after="0"/>
        <w:ind w:hanging="0" w:left="0" w:right="0"/>
        <w:jc w:val="left"/>
        <w:rPr/>
      </w:pPr>
      <w:r>
        <w:rP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Neste enquadramento, a IA não elimina a lógica determinística do modelo paramétrico; antes, aumenta a sua operabilidade, ajudando a propor intervalos plausíveis, combinações coerentes entre variáveis e pontos de partida mais ajustados ao caso específico.</w:t>
      </w:r>
    </w:p>
    <w:p>
      <w:pPr>
        <w:pStyle w:val="BodyText"/>
        <w:bidi w:val="0"/>
        <w:spacing w:before="0" w:after="0"/>
        <w:ind w:hanging="0" w:left="0" w:right="0"/>
        <w:jc w:val="left"/>
        <w:rPr/>
      </w:pPr>
      <w:r>
        <w:rPr/>
        <w:t>No plano da personalização, esta mediação é importante porque a adaptação de uma prótese não se reduz ao escalonamento uniforme da forma. A literatura indica que diferentes parâmetros podem ter de ser controlados de forma independente para respeitar as proporções anatómicas, o conforto, a mobilidade e os requisitos de montagem. O estudo de Lim et al. (2018) (#ref-lim-2018), por exemplo, demonstra que o comprimento e a largura de um dedo protésico não devem ser ajustados como se fossem variáveis que variam de forma linear e proporcional, reforçando a necessidade de parametrizações mais finas do que simples operações de escala. De forma convergente, Gu et al. (2024) (#ref-gu-2024) mostram que abordagens data-driven podem apoiar a adaptação estrutural e a melhoria da vestibilidade, sugerindo que métodos inteligentes podem ser úteis para antecipar as relações entre geometria, desempenho e conforto. Para o sistema proposto, isto significa que a IA pode funcionar como uma camada de inferência preliminar sobre um espaço paramétrico já estruturado, e não como um gerador autónomo de soluções.</w:t>
      </w:r>
    </w:p>
    <w:p>
      <w:pPr>
        <w:pStyle w:val="BodyText"/>
        <w:bidi w:val="0"/>
        <w:spacing w:before="0" w:after="0"/>
        <w:ind w:hanging="0" w:left="0" w:right="0"/>
        <w:jc w:val="left"/>
        <w:rPr/>
      </w:pPr>
      <w:r>
        <w:rPr/>
        <w:t>Esta abordagem é concretizada em dois objetos distintos. O primeiro é um vetor numérico de parâmetros geométricos, consumido diretamente pela interface e pelos modelos do OpenSCAD. O segundo é um contexto semântico para a IA, que descreve a origem das medições, campos em falta, incerteza, valores atípicos, tolerâncias, hardware selecionado e notas sobre parâmetros derivados. Esta separação é importante porque impede a confusão entre cálculo geométrico e raciocínio assistido: os parâmetros numéricos alimentam o modelo; o contexto semântico ajuda a IA a explicar, ponderar ou sugerir ajustes, mas não substitui as regras determinísticas que geram a geometria.</w:t>
      </w:r>
    </w:p>
    <w:p>
      <w:pPr>
        <w:pStyle w:val="BodyText"/>
        <w:bidi w:val="0"/>
        <w:spacing w:before="0" w:after="0"/>
        <w:ind w:hanging="0" w:left="0" w:right="0"/>
        <w:jc w:val="left"/>
        <w:rPr/>
      </w:pPr>
      <w:r>
        <w:rPr/>
        <w:t>No protótipo implementado, esta separação é materializada pela construção dinâmica do pedido enviado ao modelo de linguagem. O pedido inclui a descrição livre do paciente, o esquema vivo do modelo selecionado, os nomes exatos dos parâmetros, as legendas, os tipos, os limites e os valores atuais. Quando há correspondência com um perfil populacional importado, inclui também as médias desse grupo como referência explícita. Deste modo, a IA não infere valores em um espaço aberto: opera dentro de uma gramática paramétrica previamente declarada, limitada pelo modelo ativo e sujeita à filtragem posterior pela aplicação.</w:t>
      </w:r>
    </w:p>
    <w:p>
      <w:pPr>
        <w:pStyle w:val="BodyText"/>
        <w:bidi w:val="0"/>
        <w:spacing w:before="0" w:after="0"/>
        <w:ind w:hanging="0" w:left="0" w:right="0"/>
        <w:jc w:val="left"/>
        <w:rPr/>
      </w:pPr>
      <w:r>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evidenciar que a personalização digital e a camada inteligente podem coexistir no mesmo fluxo, desde que cada componente mantenha uma função claramente delimitada.</w:t>
      </w:r>
    </w:p>
    <w:p>
      <w:pPr>
        <w:pStyle w:val="BodyText"/>
        <w:bidi w:val="0"/>
        <w:ind w:hanging="0" w:left="0" w:right="0"/>
        <w:jc w:val="left"/>
        <w:rPr/>
      </w:pPr>
      <w:r>
        <w:rPr/>
        <w:t>É por isso que, nesta investigação, a personalização assistida por IA deve ser entendida como uma prática de human-in-the-loop. O sistema não procura substituir o protésico, o designer ou o utilizador informado, mas sim ampliar a sua capacidade de análise e de exploração. A IA pode sugerir configurações iniciais, organizar alternativas, sinalizar dependências entre parâmetros e tornar mais legíveis certas consequências projetuais; 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3"/>
        <w:bidi w:val="0"/>
        <w:spacing w:before="0" w:after="283"/>
        <w:ind w:hanging="0" w:left="0" w:right="0"/>
        <w:jc w:val="left"/>
        <w:rPr/>
      </w:pPr>
      <w:r>
        <w:rPr/>
        <w:t>6.3 Validação antropométrica assistida por IA no sistema</w:t>
      </w:r>
    </w:p>
    <w:p>
      <w:pPr>
        <w:pStyle w:val="BodyText"/>
        <w:bidi w:val="0"/>
        <w:spacing w:before="0" w:after="0"/>
        <w:ind w:hanging="0" w:left="0" w:right="0"/>
        <w:jc w:val="left"/>
        <w:rPr/>
      </w:pPr>
      <w:r>
        <w:rPr/>
        <w:t>A validação antropométrica assistida por IA realizada no sistema deve ser entendida como validação interna de plausibilidade e de coerência paramétrica, não como validação clínica da prótese final. O objetivo foi verificar se uma pessoa sem conhecimento técnico em medições da mão poderia descrever um caso em linguagem comum e obter, como ponto de partida, um conjunto de parâmetros anatómicos e tecnicamente plausíveis para o modelo Flexy Beast. Esta distinção é metodologicamente essencial: a plataforma consegue testar a conformidade com o esquema, os intervalos declarados, a proporcionalidade digital e a coerência de lateralidade, mas não consegue, por si só, comprovar conforto, segurança, desempenho funcional ou adequação terapêutica.</w:t>
      </w:r>
    </w:p>
    <w:p>
      <w:pPr>
        <w:pStyle w:val="BodyText"/>
        <w:bidi w:val="0"/>
        <w:spacing w:before="0" w:after="0"/>
        <w:ind w:hanging="0" w:left="0" w:right="0"/>
        <w:jc w:val="left"/>
        <w:rPr/>
      </w:pPr>
      <w:r>
        <w:rPr/>
        <w:t>O ensaio foi estruturado a partir da cadeia funcional implementada na plataforma: descrição livre do caso, construção do pedido no frontend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com uma lista genérica de medidas, mas com os parâmetros efetivamente disponíveis no modelo ativo, incluindo nomes exatos, legendas, limites e valores atuais. Assim, a validação não incidiu apenas sobre os números sugeridos, mas também sobre a capacidade do fluxo de manter a continuidade entre a linguagem natural, a estrutura antropométrica, a interface e a geração geométrica.</w:t>
      </w:r>
    </w:p>
    <w:p>
      <w:pPr>
        <w:pStyle w:val="BodyText"/>
        <w:bidi w:val="0"/>
        <w:spacing w:before="0" w:after="0"/>
        <w:ind w:hanging="0" w:left="0" w:right="0"/>
        <w:jc w:val="left"/>
        <w:rPr/>
      </w:pPr>
      <w:r>
        <w:rPr/>
        <w:t>Foram definidos cinco critérios de verificação. O primeiro foi a conformidade com o esquema: a saída deveria ser JSON válido, conter apenas nomes de parâmetros existentes e respeitar os limites mínimo e máximo declarados. O segundo foi a proporcionalidade dos dedos, exigindo uma ordenação anatómica plausível, com o dedo médio como referência mais longa, o dedo mínimo como mais curto e o polegar inferior ao comprimento do dedo médio. O terceiro foi a plausibilidade adulta, tendo como referência os intervalos antropométricos canónicos já adotados no sistema. O quarto foi adequado à etária, sobretudo para perfis infantis ou adolescentes. O quinto foi a lateralidade em casos de amputação unilateral, verificando se o parâmetro de espelhamento produzia a mão do lado amputado e não uma cópia do lado medido.</w:t>
      </w:r>
    </w:p>
    <w:p>
      <w:pPr>
        <w:pStyle w:val="BodyText"/>
        <w:bidi w:val="0"/>
        <w:spacing w:before="0" w:after="0"/>
        <w:ind w:hanging="0" w:left="0" w:right="0"/>
        <w:jc w:val="left"/>
        <w:rPr/>
      </w:pPr>
      <w:r>
        <w:rPr/>
        <w:t>O primeiro conjunto experimental usou cinco perfis sintéticos descritos apenas por indicadores populacionais indiretos, como idade, sexo, altura, peso, país, envergadura ou constituição física, sem qualquer medição direta da mão. Este cenário é relevante porque corresponde ao caso de menor literacia técnica: o utilizador não sabe medir à mão com rigor, mas consegue fornecer informação demográfica geral. Nas cinco situações, a IA produziu valores dentro dos limites do modelo, manteve a ordem anatómica dos dedos e gerou dimensões compatíveis com a idade e a constituição descritas. A redução espontânea de parâmetros de hardware num perfil infantil também mostrou que o modelo de linguagem usou as legendas do esquema, e não apenas os nomes técnicos dos parâmetros.</w:t>
      </w:r>
    </w:p>
    <w:p>
      <w:pPr>
        <w:pStyle w:val="BodyText"/>
        <w:bidi w:val="0"/>
        <w:spacing w:before="0" w:after="0"/>
        <w:ind w:hanging="0" w:left="0" w:right="0"/>
        <w:jc w:val="left"/>
        <w:rPr/>
      </w:pPr>
      <w:r>
        <w:rPr/>
        <w:t>O segundo conjunto experimental avaliou três níveis de riqueza de entrada em cenários de amputação unilateral. Num caso com medições completas da mão intacta, os valores foram preservados literalmente e o sistema sugeriu a mão oposta. Num caso parcial, com apenas a largura da palma e dados demográficos, a medida fornecida foi mantida e as dimensões em falta foram estimadas proporcionalmente. Num caso apenas demográfico, a IA gerou um conjunto completo de medidas plausíveis. Nos três casos, a lateralidade sugerida foi correta. Este resultado é relevante porque mostra que a IA consegue degradar o comportamento de forma gradual: usa medições diretas quando existem, ancora estimativas em dados parciais e recorre a normas populacionais quando só há descrições gerais.</w:t>
      </w:r>
    </w:p>
    <w:p>
      <w:pPr>
        <w:pStyle w:val="BodyText"/>
        <w:bidi w:val="0"/>
        <w:spacing w:before="0" w:after="0"/>
        <w:ind w:hanging="0" w:left="0" w:right="0"/>
        <w:jc w:val="left"/>
        <w:rPr/>
      </w:pPr>
      <w:r>
        <w:rPr/>
        <w:t>Numa etapa posterior, a validação foi prolongada para além da resposta numérica, acompanhando o percurso completo até à exportação em STL. Esta verificação intermodelos aplicou descrições de pacientes a três mãos ativas na plataforma — Flexy Beast, Paraglider Hand e UnLimbited Phoenix —, acionou o fluxo de sugestão de IA em tempo real, aplicou os parâmetros, exportou as geometrias e mediu as malhas resultantes. O objetivo desta etapa foi confirmar se a coerência paramétrica observada no JSON se refletia efetivamente na geometria imprimível e se diferentes modelos respondiam de forma previsível aos mesmos perfis antropométricos.</w:t>
      </w:r>
    </w:p>
    <w:p>
      <w:pPr>
        <w:pStyle w:val="BodyText"/>
        <w:bidi w:val="0"/>
        <w:spacing w:before="0" w:after="0"/>
        <w:ind w:hanging="0" w:left="0" w:right="0"/>
        <w:jc w:val="left"/>
        <w:rPr/>
      </w:pPr>
      <w:r>
        <w:rPr/>
        <w:t>Os resultados devem, contudo, ser lidos com cautela. A execução documentada corresponde a uma amostra representativa, não a uma caracterização estatística completa da distribuição de saídas. A repetição do mesmo perfil produziu pequenas variações, na ordem de poucos milímetros, preservando os invariantes anatómicos e os limites do modelo; ainda assim, essa variabilidade confirma que a componente de IA é estocástica. Também se observou uma forma de variabilidade estrutural: em algumas execuções, certos parâmetros de hardware foram emitidos explicitamente; noutras, foram omitidos, deixando o valor corrente do modelo. Ambas as respostas são aceitáveis no contrato atual, mas reforçam a necessidade de avaliar propriedades invariantes e não valores exatos isolados.</w:t>
      </w:r>
    </w:p>
    <w:p>
      <w:pPr>
        <w:pStyle w:val="BodyText"/>
        <w:bidi w:val="0"/>
        <w:spacing w:before="0" w:after="0"/>
        <w:ind w:hanging="0" w:left="0" w:right="0"/>
        <w:jc w:val="left"/>
        <w:rPr/>
      </w:pPr>
      <w:r>
        <w:rPr/>
        <w:t>A principal fragilidade identificada prende-se à lateralidade. Embora os ensaios tenham produzido o lado correto, a regra de espelhamento foi inferida pelo modelo a partir da linguagem natural, e não foi imposta explicitamente no pedido. Esta situação é aceitável como evidência preliminar de capacidade inferencial, mas é insuficiente como salvaguarda de um parâmetro crítico: uma prótese gerada para o lado errado é inutilizável e o erro pode não ser imediatamente evidente para um utilizador não especializado. Por isso, a evolução do sistema deve incluir uma instrução explícita sobre mão intacta, lado amputado e espelhamento, bem como validação no servidor por meio de um esquema JSON e reenvio automático do pedido quando a saída não cumprir o contrato esperado.</w:t>
      </w:r>
    </w:p>
    <w:p>
      <w:pPr>
        <w:pStyle w:val="BodyText"/>
        <w:bidi w:val="0"/>
        <w:ind w:hanging="0" w:left="0" w:right="0"/>
        <w:jc w:val="left"/>
        <w:rPr/>
      </w:pPr>
      <w:r>
        <w:rPr/>
        <w:t>A principal conclusão desta validação é que a IA pode desempenhar uma função útil de acessibilidade paramétrica: transformar descrições incompletas e não técnicas em pontos de partida editáveis, coerentes e auditáveis. No entanto, a sua utilidade depende da arquitetura que a contém. A sugestão só é metodologicamente defensável porque está ancorada no esquema do modelo, limitada por intervalos, filtrada pela interface e sujeita a revisão humana. Deste modo, a validação antropométrica assistida por IA contribui para reduzir a barreira inicial de configuração e tornar a parametrização mais acessível, mas não substitui a medição direta, a avaliação técnica, a prototipagem física nem a validação clínica.</w:t>
      </w:r>
    </w:p>
    <w:p>
      <w:pPr>
        <w:pStyle w:val="Heading3"/>
        <w:bidi w:val="0"/>
        <w:spacing w:before="0" w:after="283"/>
        <w:ind w:hanging="0" w:left="0" w:right="0"/>
        <w:jc w:val="left"/>
        <w:rPr/>
      </w:pPr>
      <w:r>
        <w:rPr/>
        <w:t>6.4 Ajuste, validação e limitações éticas e técnicas</w:t>
      </w:r>
    </w:p>
    <w:p>
      <w:pPr>
        <w:pStyle w:val="BodyText"/>
        <w:bidi w:val="0"/>
        <w:spacing w:before="0" w:after="0"/>
        <w:ind w:hanging="0" w:left="0" w:right="0"/>
        <w:jc w:val="left"/>
        <w:rPr/>
      </w:pPr>
      <w:r>
        <w:rPr/>
        <w:t>A introdução de IA num sistema deste tipo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pStyle w:val="BodyText"/>
        <w:bidi w:val="0"/>
        <w:spacing w:before="0" w:after="0"/>
        <w:ind w:hanging="0" w:left="0" w:right="0"/>
        <w:jc w:val="left"/>
        <w:rPr/>
      </w:pPr>
      <w:r>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uma caixa-preta autojustificada (Panchal et al., 2019 (#ref-panchal-2019); Yüksel et al., 2023 (#ref-yuksel-2023)).</w:t>
      </w:r>
    </w:p>
    <w:p>
      <w:pPr>
        <w:pStyle w:val="BodyText"/>
        <w:bidi w:val="0"/>
        <w:spacing w:before="0" w:after="0"/>
        <w:ind w:hanging="0" w:left="0" w:right="0"/>
        <w:jc w:val="left"/>
        <w:rPr/>
      </w:pPr>
      <w:r>
        <w:rPr/>
        <w:t>As limitações éticas são igualmente centrais. Num domínio associado a dispositivos personalizados e potencialmente sensíveis, importa evitar a recolha excessiva de dados, a exposição desnecessária de informação pessoal e a falsa perceção de objetividade algorítmica. Mesmo quando o sistema trabalha com dados antropométricos não clínicos ou em cenários experimentais, a sua arquitetura deve assumir princípios de minimização de dados, controlo de acesso e transparência quanto ao papel efetivo da IA. O utilizador deve compreender que está perante um sistema de apoio à decisão e não perante uma autoridade clínica autónoma. Esta clareza é essencial para evitar deslocamentos indevidos de responsabilidade e definir corretamente o escopo da ferramenta.</w:t>
      </w:r>
    </w:p>
    <w:p>
      <w:pPr>
        <w:pStyle w:val="BodyText"/>
        <w:bidi w:val="0"/>
        <w:spacing w:before="0" w:after="0"/>
        <w:ind w:hanging="0" w:left="0" w:right="0"/>
        <w:jc w:val="left"/>
        <w:rPr/>
      </w:pPr>
      <w:r>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BodyText"/>
        <w:bidi w:val="0"/>
        <w:ind w:hanging="0" w:left="0" w:right="0"/>
        <w:jc w:val="left"/>
        <w:rPr/>
      </w:pPr>
      <w:r>
        <w:rPr/>
      </w:r>
    </w:p>
    <w:p>
      <w:pPr>
        <w:pStyle w:val="Heading2"/>
        <w:bidi w:val="0"/>
        <w:spacing w:before="0" w:after="283"/>
        <w:ind w:hanging="0" w:left="0" w:right="0"/>
        <w:jc w:val="left"/>
        <w:rPr/>
      </w:pPr>
      <w:r>
        <w:rPr/>
        <w:t>Capítulo 7 — Interface, Interação e Experiência de Utilização</w:t>
      </w:r>
    </w:p>
    <w:p>
      <w:pPr>
        <w:pStyle w:val="Heading3"/>
        <w:bidi w:val="0"/>
        <w:spacing w:before="0" w:after="283"/>
        <w:ind w:hanging="0" w:left="0" w:right="0"/>
        <w:jc w:val="left"/>
        <w:rPr/>
      </w:pPr>
      <w:r>
        <w:rPr/>
        <w:t>7.1 Estratégia de interação e decisões de UI/UX</w:t>
      </w:r>
    </w:p>
    <w:p>
      <w:pPr>
        <w:pStyle w:val="BodyText"/>
        <w:bidi w:val="0"/>
        <w:spacing w:before="0" w:after="0"/>
        <w:ind w:hanging="0" w:left="0" w:right="0"/>
        <w:jc w:val="left"/>
        <w:rPr/>
      </w:pPr>
      <w:r>
        <w:rP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a clareza do onboarding, a navegação guiada e a redução da carga interpretativa em plataformas de personalização protésica (Colombo et al., 2015 (#ref-colombo-2015); Peixoto et al., 2025 (#ref-peixoto-2025)).</w:t>
      </w:r>
    </w:p>
    <w:p>
      <w:pPr>
        <w:pStyle w:val="BodyText"/>
        <w:bidi w:val="0"/>
        <w:spacing w:before="0" w:after="0"/>
        <w:ind w:hanging="0" w:left="0" w:right="0"/>
        <w:jc w:val="left"/>
        <w:rPr/>
      </w:pPr>
      <w:r>
        <w:rP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revisada sugere precisamente que sistemas de configuração mais eficazes tendem a separar a visualização, o ajuste e a validação em camadas de interação mais inteligíveis, quer em plataformas web orientadas ao utilizador final, quer em interfaces destinadas a profissionais de ajuste protésico (Peixoto et al., 2025 (#ref-peixoto-2025); Quintero et al., 2018 (#ref-quintero-2018)).</w:t>
      </w:r>
    </w:p>
    <w:p>
      <w:pPr>
        <w:pStyle w:val="BodyText"/>
        <w:bidi w:val="0"/>
        <w:spacing w:before="0" w:after="0"/>
        <w:ind w:hanging="0" w:left="0" w:right="0"/>
        <w:jc w:val="left"/>
        <w:rPr/>
      </w:pPr>
      <w:r>
        <w:rP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BodyText"/>
        <w:bidi w:val="0"/>
        <w:spacing w:before="0" w:after="0"/>
        <w:ind w:hanging="0" w:left="0" w:right="0"/>
        <w:jc w:val="left"/>
        <w:rPr/>
      </w:pPr>
      <w:r>
        <w:rPr/>
        <w:t>Outra decisão relevante diz respeito à articulação entre a edição paramétrica e a pré-visualização. A renderização local via WebAssembly permite que a resposta visual decorra da própria lógica geométrica do sistema, e não de imagens estáticas ou de simplificações visuais desconexas do modelo. 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BodyText"/>
        <w:bidi w:val="0"/>
        <w:spacing w:before="0" w:after="0"/>
        <w:ind w:hanging="0" w:left="0" w:right="0"/>
        <w:jc w:val="left"/>
        <w:rPr/>
      </w:pPr>
      <w:r>
        <w:rPr/>
        <w:t>Em termos de linguagem visual e de uso, a plataforma privilegia a clareza funcional em relação à exuberância formal. Isto é coerente com o contexto do projeto: trata-se de uma ferramenta de configuração protésica, não de um configurador lúdico ou promocional. Assim, as decisões de UI/UX visam favorecer a legibilidade, a consistência entre os controlos, a previsibilidade das ações e a rastreabilidade das alterações. O valor da interface não reside apenas na aparência, mas na sua capacidade de mediar, com o mínimo de ambiguidade possível, a passagem entre os dados do utilizador, as regras paramétricas, a assistência algorítmica e o resultado tridimensional. Essa necessidade de clareza torna-se ainda mais evidente quando a literatura sobre próteses inteligentes sublinha a importância de equilibrar a autonomia do utilizador, os mecanismos de supervisão e a diferenciação de permissões entre utilizadores e profissionais (Bai et al., 2024 (#ref-bai-2024); Quintero et al., 2018 (#ref-quintero-2018)).</w:t>
      </w:r>
    </w:p>
    <w:p>
      <w:pPr>
        <w:pStyle w:val="BodyText"/>
        <w:bidi w:val="0"/>
        <w:ind w:hanging="0" w:left="0" w:right="0"/>
        <w:jc w:val="left"/>
        <w:rPr/>
      </w:pPr>
      <w:r>
        <w:rPr/>
        <w:t>Deste modo, a estratégia de interação adotada não deve ser lida apenas como um conjunto de escolhas de interface, mas como uma decisão metodológica sobre a forma de tornar o processo de personalização observável, configurável e criticável. A UI/UX participa diretamente na construção do sistema, atuando como infraestrutura de mediação entre o conhecimento técnico, os dados individuais e a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3"/>
        <w:bidi w:val="0"/>
        <w:spacing w:before="0" w:after="283"/>
        <w:ind w:hanging="0" w:left="0" w:right="0"/>
        <w:jc w:val="left"/>
        <w:rPr/>
      </w:pPr>
      <w:r>
        <w:rPr/>
        <w:t>7.2 Experiência do designer e do utilizador final</w:t>
      </w:r>
    </w:p>
    <w:p>
      <w:pPr>
        <w:pStyle w:val="BodyText"/>
        <w:bidi w:val="0"/>
        <w:spacing w:before="0" w:after="0"/>
        <w:ind w:hanging="0" w:left="0" w:right="0"/>
        <w:jc w:val="left"/>
        <w:rPr/>
      </w:pPr>
      <w:r>
        <w:rP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também do próprio tipo de decisão que cada agente é chamado a tomar. 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BodyText"/>
        <w:bidi w:val="0"/>
        <w:spacing w:before="0" w:after="0"/>
        <w:ind w:hanging="0" w:left="0" w:right="0"/>
        <w:jc w:val="left"/>
        <w:rPr/>
      </w:pPr>
      <w:r>
        <w:rPr/>
        <w:t>Para o designer, protésico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pStyle w:val="BodyText"/>
        <w:bidi w:val="0"/>
        <w:spacing w:before="0" w:after="0"/>
        <w:ind w:hanging="0" w:left="0" w:right="0"/>
        <w:jc w:val="left"/>
        <w:rPr/>
      </w:pPr>
      <w:r>
        <w:rPr/>
        <w:t>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em um processo parcialmente observável e inteligível. Este aspeto é particularmente relevante num domínio em que a aceitação de uma prótese não depende apenas do desempenho funcional, mas também da perceção de adequação, de participação e de controlo sobre o resultado. A literatura revisada sugere, de forma consistente, que a inteligibilidade da lógica do sistema influencia a experiência de uso: quando o sistema torna mais visíveis os efeitos das ações, os limites das escolhas ou a relação entre input e comportamento, tende a aumentar tanto a capacidade de uso quanto a confiança subjetiva. Plataformas de personalização estética e sistemas com uma visualização mais explícita do espaço de decisão sugerem, precisamente, que a agência do utilizador cresce quando o domínio editável é legível e de baixo risco (Peixoto et al., 2025 (#ref-peixoto-2025)).</w:t>
      </w:r>
    </w:p>
    <w:p>
      <w:pPr>
        <w:pStyle w:val="BodyText"/>
        <w:bidi w:val="0"/>
        <w:spacing w:before="0" w:after="0"/>
        <w:ind w:hanging="0" w:left="0" w:right="0"/>
        <w:jc w:val="left"/>
        <w:rPr/>
      </w:pPr>
      <w:r>
        <w:rPr/>
        <w:t>Esta diferenciação torna-se mais clara quando se distinguem três domínios de personalização que a literatura tende a tratar de forma distinta. No primeiro, correspondente à geometria do encaixe e ao ajustamento biomecânico, predomina uma lógica clínica: a pessoa fornece feedback sobre conforto, tolerância ou preferência, mas a decisão permanece concentrada em quem detém competência técnica e responsabilidade pela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a “participação do utilizador” como uma categoria homogénea.</w:t>
      </w:r>
    </w:p>
    <w:p>
      <w:pPr>
        <w:pStyle w:val="BodyText"/>
        <w:bidi w:val="0"/>
        <w:spacing w:before="0" w:after="0"/>
        <w:ind w:hanging="0" w:left="0" w:right="0"/>
        <w:jc w:val="left"/>
        <w:rPr/>
      </w:pPr>
      <w:r>
        <w:rP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tornar-se acessíveis ao utilizador final (Bai et al., 2024 (#ref-bai-2024); Quintero et al., 2018 (#ref-quintero-2018)).</w:t>
      </w:r>
    </w:p>
    <w:p>
      <w:pPr>
        <w:pStyle w:val="BodyText"/>
        <w:bidi w:val="0"/>
        <w:ind w:hanging="0" w:left="0" w:right="0"/>
        <w:jc w:val="left"/>
        <w:rPr/>
      </w:pPr>
      <w:r>
        <w:rPr/>
        <w:t>Do ponto de vista da experiência global, a plataforma revela-se mais forte quando entendida como um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o conhecimento especializado e a necessidade individual. A utilização da plataforma não se resume, por isso, à ergonomia dos ecrãs, mas à forma como distribui a agência entre diferentes participantes no processo de personalização.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É precisamente essa distribuição desigual, mas intencional, de acesso, interpretação e decisão que prepara a questão seguinte: não apenas quem usa a plataforma, mas também de que modo ela própria medeia o processo de design.</w:t>
      </w:r>
    </w:p>
    <w:p>
      <w:pPr>
        <w:pStyle w:val="Heading3"/>
        <w:bidi w:val="0"/>
        <w:spacing w:before="0" w:after="283"/>
        <w:ind w:hanging="0" w:left="0" w:right="0"/>
        <w:jc w:val="left"/>
        <w:rPr/>
      </w:pPr>
      <w:r>
        <w:rPr/>
        <w:t>7.3 Mediação do processo de design e reflexão crítica</w:t>
      </w:r>
    </w:p>
    <w:p>
      <w:pPr>
        <w:pStyle w:val="BodyText"/>
        <w:bidi w:val="0"/>
        <w:spacing w:before="0" w:after="0"/>
        <w:ind w:hanging="0" w:left="0" w:right="0"/>
        <w:jc w:val="left"/>
        <w:rPr/>
      </w:pPr>
      <w:r>
        <w:rP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revisada reforça que esta dimensão processual não constitui mero efeito secundário da interface, mas sim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pStyle w:val="BodyText"/>
        <w:bidi w:val="0"/>
        <w:spacing w:before="0" w:after="0"/>
        <w:ind w:hanging="0" w:left="0" w:right="0"/>
        <w:jc w:val="left"/>
        <w:rPr/>
      </w:pPr>
      <w:r>
        <w:rPr/>
        <w:t>Neste sentido, a interface funciona como um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rastreável. Contudo, essa mesma estrutura também estabelece limites: o utilizador explora o espaço de soluções que o modelo e a interface permitem. A mediação digital aumenta a capacidade de ação, mas também enquadra e delimita o campo do possível. A literatura revisada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 ampliação da capacidade e o enquadramento do campo de decisão torna-se particularmente visível em sistemas que diferenciam deliberadamente entre parâmetros acessíveis ao utilizador e parâmetros reservados a profissionais ou a rotinas automáticas de afinação (Bai et al., 2024 (#ref-bai-2024); Alili et al., 2023 (#ref-alili-2023)).</w:t>
      </w:r>
    </w:p>
    <w:p>
      <w:pPr>
        <w:pStyle w:val="BodyText"/>
        <w:bidi w:val="0"/>
        <w:spacing w:before="0" w:after="0"/>
        <w:ind w:hanging="0" w:left="0" w:right="0"/>
        <w:jc w:val="left"/>
        <w:rPr/>
      </w:pPr>
      <w:r>
        <w:rP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pStyle w:val="BodyText"/>
        <w:bidi w:val="0"/>
        <w:spacing w:before="0" w:after="0"/>
        <w:ind w:hanging="0" w:left="0" w:right="0"/>
        <w:jc w:val="left"/>
        <w:rPr/>
      </w:pPr>
      <w:r>
        <w:rPr/>
        <w:t>Esta observação conduz a uma importante reflexão crítica. Uma interface bem desenhada pode criar a sensação de evidência ou de neutralidade em decisões que continuam contingentes e projetuais.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BodyText"/>
        <w:bidi w:val="0"/>
        <w:spacing w:before="0" w:after="0"/>
        <w:ind w:hanging="0" w:left="0" w:right="0"/>
        <w:jc w:val="left"/>
        <w:rPr/>
      </w:pPr>
      <w:r>
        <w:rPr/>
        <w:t>Deste ponto de vista, o sistema proposto assume uma posição produtiva: utiliza a interface para ampliar a acessibilidade, a inteligibilidade e a capacidade iterativa, sem eliminar a necessidade de julgamento humano. A mediação do processo de design não elimina a autoria projetual nem substitui a validação técnica; reorganiza-as num ambiente digital mais controlado e explícito. A plataforma redistribui a agência, mas não o faz de forma uniforme: concentra certas decisões em agentes tecnicamente qualificados, abre outras à participação informada do utilizador e deixa outras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BodyText"/>
        <w:bidi w:val="0"/>
        <w:ind w:hanging="0" w:left="0" w:right="0"/>
        <w:jc w:val="left"/>
        <w:rPr/>
      </w:pPr>
      <w:r>
        <w:rPr/>
      </w:r>
    </w:p>
    <w:p>
      <w:pPr>
        <w:pStyle w:val="Heading2"/>
        <w:bidi w:val="0"/>
        <w:spacing w:before="0" w:after="283"/>
        <w:ind w:hanging="0" w:left="0" w:right="0"/>
        <w:jc w:val="left"/>
        <w:rPr/>
      </w:pPr>
      <w:r>
        <w:rPr/>
        <w:t>Capítulo 8 — Avaliação e Discussão</w:t>
      </w:r>
    </w:p>
    <w:p>
      <w:pPr>
        <w:pStyle w:val="Heading3"/>
        <w:bidi w:val="0"/>
        <w:spacing w:before="0" w:after="283"/>
        <w:ind w:hanging="0" w:left="0" w:right="0"/>
        <w:jc w:val="left"/>
        <w:rPr/>
      </w:pPr>
      <w:r>
        <w:rPr/>
        <w:t>8.1 Estratégia e critérios de avaliação</w:t>
      </w:r>
    </w:p>
    <w:p>
      <w:pPr>
        <w:pStyle w:val="BodyText"/>
        <w:bidi w:val="0"/>
        <w:spacing w:before="0" w:after="0"/>
        <w:ind w:hanging="0" w:left="0" w:right="0"/>
        <w:jc w:val="left"/>
        <w:rPr/>
      </w:pPr>
      <w:r>
        <w:rPr/>
        <w:t>A avaliação do sistema foi organizada em torno de três níveis complementares: coerência técnica do modelo paramétrico, funcionamento da plataforma digital e plausibilidade das sugestões assistidas por IA. Esta separação é necessária porque o projeto combina componentes de naturezas distintas. Um modelo OpenSCAD pode ser parametricamente consistente e, ainda assim, a interface pode não tornar essa consistência compreensível; do mesmo modo, uma sugestão de IA pode ser plausível como ponto de partida e, ainda assim, permanecer insuficiente como validação final da prótese. Assim, os critérios usados visam avaliar o encadeamento entre dados, parâmetros, renderização, exportação e revisão humana, em vez de tratar cada componente como uma solução autónoma.</w:t>
      </w:r>
    </w:p>
    <w:p>
      <w:pPr>
        <w:pStyle w:val="BodyText"/>
        <w:bidi w:val="0"/>
        <w:spacing w:before="0" w:after="0"/>
        <w:ind w:hanging="0" w:left="0" w:right="0"/>
        <w:jc w:val="left"/>
        <w:rPr/>
      </w:pPr>
      <w:r>
        <w:rPr/>
        <w:t>Esta abordagem é concretizada em dois objetos distintos. O primeiro é um vetor numérico de parâmetros geométricos, consumido diretamente pela interface e pelos modelos do OpenSCAD. O segundo é um contexto semântico para a IA, que descreve a origem das medições, campos em falta, incerteza, valores atípicos, tolerâncias, hardware selecionado e notas sobre parâmetros derivados. Esta separação é importante porque impede a confusão entre cálculo geométrico e raciocínio assistido: os parâmetros numéricos alimentam o modelo; o contexto semântico ajuda a IA a explicar, ponderar ou sugerir ajustes, mas não substitui as regras determinísticas que geram a geometria.</w:t>
      </w:r>
    </w:p>
    <w:p>
      <w:pPr>
        <w:pStyle w:val="BodyText"/>
        <w:bidi w:val="0"/>
        <w:ind w:hanging="0" w:left="0" w:right="0"/>
        <w:jc w:val="left"/>
        <w:rPr/>
      </w:pPr>
      <w:r>
        <w:rPr/>
        <w:t>A avaliação geométrica estendeu estes critérios até à saída fabricável. Para isso, foram executados fluxos de ponta a ponta com a interface real: autenticação, introdução da descrição do paciente, chamada ao serviço de IA, aplicação dos valores sugeridos, renderização com OpenSCAD/WebAssembly, exportação em STL e medição das malhas resultantes. Esta etapa foi importante porque uma resposta numérica correta não garante, por si só, que a geometria final escale da forma esperada. Ao medir as peças exportadas, foi possível verificar se as relações paramétricas declaradas abrangiam, de fato, toda a arquitetura da plataforma.</w:t>
      </w:r>
    </w:p>
    <w:p>
      <w:pPr>
        <w:pStyle w:val="Heading3"/>
        <w:bidi w:val="0"/>
        <w:spacing w:before="0" w:after="283"/>
        <w:ind w:hanging="0" w:left="0" w:right="0"/>
        <w:jc w:val="left"/>
        <w:rPr/>
      </w:pPr>
      <w:r>
        <w:rPr/>
        <w:t>8.2 Validação antropométrica das sugestões de IA</w:t>
      </w:r>
    </w:p>
    <w:p>
      <w:pPr>
        <w:pStyle w:val="BodyText"/>
        <w:bidi w:val="0"/>
        <w:spacing w:before="0" w:after="0"/>
        <w:ind w:hanging="0" w:left="0" w:right="0"/>
        <w:jc w:val="left"/>
        <w:rPr/>
      </w:pPr>
      <w:r>
        <w:rPr/>
        <w:t>O primeiro conjunto experimental incidiu sobre cinco perfis descritos apenas por indicadores populacionais indiretos, como idade, sexo, altura, peso, país, comprimento do braço e constituição física. Não foram fornecidas medições diretas da mão. Este é o cenário de maior relevância para a acessibilidade do sistema, pois corresponde ao utilizador que consegue descrever o paciente em linguagem comum, mas não domina os procedimentos de medição antropométrica. Nas cinco situações, a IA produziu JSON válido, utilizou apenas parâmetros existentes, respeitou os limites declarados do modelo e manteve a ordenação anatómica esperada entre os dedos.</w:t>
      </w:r>
    </w:p>
    <w:p>
      <w:pPr>
        <w:pStyle w:val="BodyText"/>
        <w:bidi w:val="0"/>
        <w:spacing w:before="0" w:after="0"/>
        <w:ind w:hanging="0" w:left="0" w:right="0"/>
        <w:jc w:val="left"/>
        <w:rPr/>
      </w:pPr>
      <w:r>
        <w:rPr/>
        <w:t>A leitura dos resultados revela uma degradação graciosa da informação disponível. Em adultos, as dimensões sugeridas permaneceram dentro dos intervalos antropométricos canónicos utilizados como referência no sistema. No perfil infantil, as dimensões foram reduzidas de forma coerente e o modelo diminuiu espontaneamente os parâmetros de hardware das articulações flexíveis, usando informação presente nas legendas do esquema. No perfil adolescente, uma heurística inicial do teste assinalou a palma como potencialmente excessiva, mas a análise posterior mostrou que o valor era compatível com um adolescente alto de meia-adolescência. A falha, neste caso, estava na regra de teste demasiado rígida e não na sugestão da IA.</w:t>
      </w:r>
    </w:p>
    <w:p>
      <w:pPr>
        <w:pStyle w:val="BodyText"/>
        <w:bidi w:val="0"/>
        <w:spacing w:before="0" w:after="0"/>
        <w:ind w:hanging="0" w:left="0" w:right="0"/>
        <w:jc w:val="left"/>
        <w:rPr/>
      </w:pPr>
      <w:r>
        <w:rPr/>
        <w:t>O segundo conjunto experimental avaliou três cenários de amputação unilateral com riqueza variável de dados. No caso de medições completas da mão intacta, os valores fornecidos foram literalmente preservados e o lado sugerido correspondeu à mão amputada. No caso parcial, a largura da palma fornecida foi mantida e os restantes comprimentos foram estimados proporcionalmente. No caso apenas demográfico, a IA gerou um conjunto completo de medidas plausíveis. Nos três casos, a lateralidade foi correta, embora dependente de inferência linguística e não de uma regra explícita no pedido.</w:t>
      </w:r>
    </w:p>
    <w:p>
      <w:pPr>
        <w:pStyle w:val="BodyText"/>
        <w:bidi w:val="0"/>
        <w:spacing w:before="0" w:after="0"/>
        <w:ind w:hanging="0" w:left="0" w:right="0"/>
        <w:jc w:val="left"/>
        <w:rPr/>
      </w:pPr>
      <w:r>
        <w:rPr/>
        <w:t>Tabela 8.1 — Síntese da validação antropométrica assistida por IA</w:t>
      </w:r>
    </w:p>
    <w:tbl>
      <w:tblPr>
        <w:tblW w:w="9026" w:type="dxa"/>
        <w:jc w:val="left"/>
        <w:tblInd w:w="28" w:type="dxa"/>
        <w:tblLayout w:type="fixed"/>
        <w:tblCellMar>
          <w:top w:w="28" w:type="dxa"/>
          <w:left w:w="28" w:type="dxa"/>
          <w:bottom w:w="28" w:type="dxa"/>
          <w:right w:w="28" w:type="dxa"/>
        </w:tblCellMar>
      </w:tblPr>
      <w:tblGrid>
        <w:gridCol w:w="2421"/>
        <w:gridCol w:w="3314"/>
        <w:gridCol w:w="3291"/>
      </w:tblGrid>
      <w:tr>
        <w:trPr/>
        <w:tc>
          <w:tcPr>
            <w:tcW w:w="242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Conformidade com o esquema</w:t>
            </w:r>
          </w:p>
        </w:tc>
        <w:tc>
          <w:tcPr>
            <w:tcW w:w="3314"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Saídas parseáveis, chaves conhecidas e valores dentro dos limites</w:t>
            </w:r>
          </w:p>
        </w:tc>
        <w:tc>
          <w:tcPr>
            <w:tcW w:w="3291"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O esquema vivo do modelo reduziu sugestões inválidas</w:t>
            </w:r>
          </w:p>
        </w:tc>
      </w:tr>
      <w:tr>
        <w:trPr/>
        <w:tc>
          <w:tcPr>
            <w:tcW w:w="24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Proporcionalidade digital</w:t>
            </w:r>
          </w:p>
        </w:tc>
        <w:tc>
          <w:tcPr>
            <w:tcW w:w="331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Dedo médio mais longo, mindinho mais curto e polegar abaixo do dedo médio</w:t>
            </w:r>
          </w:p>
        </w:tc>
        <w:tc>
          <w:tcPr>
            <w:tcW w:w="329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As relações anatómicas principais foram preservadas</w:t>
            </w:r>
          </w:p>
        </w:tc>
      </w:tr>
      <w:tr>
        <w:trPr/>
        <w:tc>
          <w:tcPr>
            <w:tcW w:w="24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Entradas ricas</w:t>
            </w:r>
          </w:p>
        </w:tc>
        <w:tc>
          <w:tcPr>
            <w:tcW w:w="331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Medições fornecidas mantidas literalmente</w:t>
            </w:r>
          </w:p>
        </w:tc>
        <w:tc>
          <w:tcPr>
            <w:tcW w:w="329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 IA não reestimou valores diretamente declarados</w:t>
            </w:r>
          </w:p>
        </w:tc>
      </w:tr>
      <w:tr>
        <w:trPr/>
        <w:tc>
          <w:tcPr>
            <w:tcW w:w="24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Entradas parciais</w:t>
            </w:r>
          </w:p>
        </w:tc>
        <w:tc>
          <w:tcPr>
            <w:tcW w:w="331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Campos em falta estimados em torno da medida fornecida</w:t>
            </w:r>
          </w:p>
        </w:tc>
        <w:tc>
          <w:tcPr>
            <w:tcW w:w="329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O sistema combinou dados explícitos e priors populacionais</w:t>
            </w:r>
          </w:p>
        </w:tc>
      </w:tr>
      <w:tr>
        <w:trPr/>
        <w:tc>
          <w:tcPr>
            <w:tcW w:w="24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Entradas apenas demográficas</w:t>
            </w:r>
          </w:p>
        </w:tc>
        <w:tc>
          <w:tcPr>
            <w:tcW w:w="331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Conjunto completo e plausível de parâmetros</w:t>
            </w:r>
          </w:p>
        </w:tc>
        <w:tc>
          <w:tcPr>
            <w:tcW w:w="329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O fluxo oferece um ponto de partida para utilizadores não especialistas</w:t>
            </w:r>
          </w:p>
        </w:tc>
      </w:tr>
      <w:tr>
        <w:trPr/>
        <w:tc>
          <w:tcPr>
            <w:tcW w:w="2421"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Lateralidade</w:t>
            </w:r>
          </w:p>
        </w:tc>
        <w:tc>
          <w:tcPr>
            <w:tcW w:w="331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Correta nos três cenários unilaterais</w:t>
            </w:r>
          </w:p>
        </w:tc>
        <w:tc>
          <w:tcPr>
            <w:tcW w:w="3291"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Resultado útil, mas ainda insuficiente como salvaguarda formal</w:t>
            </w:r>
          </w:p>
        </w:tc>
      </w:tr>
    </w:tbl>
    <w:p>
      <w:pPr>
        <w:pStyle w:val="BodyText"/>
        <w:bidi w:val="0"/>
        <w:ind w:hanging="0" w:left="0" w:right="0"/>
        <w:jc w:val="left"/>
        <w:rPr/>
      </w:pPr>
      <w:r>
        <w:rPr/>
        <w:t>A repetição de perfis idênticos evidenciou a natureza estocástica da componente de IA. As diferenças observadas foram pequenas, tipicamente de poucos milímetros, e preservaram as relações anatómicas essenciais e os limites do modelo. Também se observou variação estrutural aceitável: em algumas execuções, certos parâmetros de hardware foram explicitamente sugeridos; noutras, foram omitidos e mantiveram-se nos valores atuais. Esta variabilidade confirma que a avaliação deve privilegiar propriedades invariantes e taxas de aprovação, e não valores absolutos isolados.</w:t>
      </w:r>
    </w:p>
    <w:p>
      <w:pPr>
        <w:pStyle w:val="Heading3"/>
        <w:bidi w:val="0"/>
        <w:spacing w:before="0" w:after="283"/>
        <w:ind w:hanging="0" w:left="0" w:right="0"/>
        <w:jc w:val="left"/>
        <w:rPr/>
      </w:pPr>
      <w:r>
        <w:rPr/>
        <w:t>8.3 Validação geométrica intermodelos</w:t>
      </w:r>
    </w:p>
    <w:p>
      <w:pPr>
        <w:pStyle w:val="BodyText"/>
        <w:bidi w:val="0"/>
        <w:spacing w:before="0" w:after="0"/>
        <w:ind w:hanging="0" w:left="0" w:right="0"/>
        <w:jc w:val="left"/>
        <w:rPr/>
      </w:pPr>
      <w:r>
        <w:rPr/>
        <w:t>A validação geométrica testou se os valores sugeridos eram compatíveis com a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em valores dentro dos intervalos declarados.</w:t>
      </w:r>
    </w:p>
    <w:p>
      <w:pPr>
        <w:pStyle w:val="BodyText"/>
        <w:bidi w:val="0"/>
        <w:spacing w:before="0" w:after="0"/>
        <w:ind w:hanging="0" w:left="0" w:right="0"/>
        <w:jc w:val="left"/>
        <w:rPr/>
      </w:pPr>
      <w:r>
        <w:rPr/>
        <w:t>Tabela 8.2 — Modelos e mecanismos de escala avaliados</w:t>
      </w:r>
    </w:p>
    <w:tbl>
      <w:tblPr>
        <w:tblW w:w="9026" w:type="dxa"/>
        <w:jc w:val="left"/>
        <w:tblInd w:w="28" w:type="dxa"/>
        <w:tblLayout w:type="fixed"/>
        <w:tblCellMar>
          <w:top w:w="28" w:type="dxa"/>
          <w:left w:w="28" w:type="dxa"/>
          <w:bottom w:w="28" w:type="dxa"/>
          <w:right w:w="28" w:type="dxa"/>
        </w:tblCellMar>
      </w:tblPr>
      <w:tblGrid>
        <w:gridCol w:w="1575"/>
        <w:gridCol w:w="2570"/>
        <w:gridCol w:w="2307"/>
        <w:gridCol w:w="2574"/>
      </w:tblGrid>
      <w:tr>
        <w:trPr/>
        <w:tc>
          <w:tcPr>
            <w:tcW w:w="1575"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Flexy Beast</w:t>
            </w:r>
          </w:p>
        </w:tc>
        <w:tc>
          <w:tcPr>
            <w:tcW w:w="2570"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Largura da palma e comprimentos dos cinco dedos</w:t>
            </w:r>
          </w:p>
        </w:tc>
        <w:tc>
          <w:tcPr>
            <w:tcW w:w="2307"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Escalas independentes para palma e dedos</w:t>
            </w:r>
          </w:p>
        </w:tc>
        <w:tc>
          <w:tcPr>
            <w:tcW w:w="2574"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Adequado a crianças e mãos pequenas</w:t>
            </w:r>
          </w:p>
        </w:tc>
      </w:tr>
      <w:tr>
        <w:trPr/>
        <w:tc>
          <w:tcPr>
            <w:tcW w:w="157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Paraglider Hand</w:t>
            </w:r>
          </w:p>
        </w:tc>
        <w:tc>
          <w:tcPr>
            <w:tcW w:w="257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Palma e dedos, com parâmetros adicionais de contexto</w:t>
            </w:r>
          </w:p>
        </w:tc>
        <w:tc>
          <w:tcPr>
            <w:tcW w:w="230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Escala geral da palma e ajustes por dedo</w:t>
            </w:r>
          </w:p>
        </w:tc>
        <w:tc>
          <w:tcPr>
            <w:tcW w:w="257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Adequado a adultos e a uma gama ampla de perfis</w:t>
            </w:r>
          </w:p>
        </w:tc>
      </w:tr>
      <w:tr>
        <w:trPr/>
        <w:tc>
          <w:tcPr>
            <w:tcW w:w="1575"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UnLimbited Phoenix</w:t>
            </w:r>
          </w:p>
        </w:tc>
        <w:tc>
          <w:tcPr>
            <w:tcW w:w="2570"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Largura da palma</w:t>
            </w:r>
          </w:p>
        </w:tc>
        <w:tc>
          <w:tcPr>
            <w:tcW w:w="2307"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Escala uniforme limitada por piso mínimo</w:t>
            </w:r>
          </w:p>
        </w:tc>
        <w:tc>
          <w:tcPr>
            <w:tcW w:w="2574"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Fiel ao modelo original, mas inadequado para mãos pequenas</w:t>
            </w:r>
          </w:p>
        </w:tc>
      </w:tr>
    </w:tbl>
    <w:p>
      <w:pPr>
        <w:pStyle w:val="BodyText"/>
        <w:bidi w:val="0"/>
        <w:spacing w:before="0" w:after="0"/>
        <w:ind w:hanging="0" w:left="0" w:right="0"/>
        <w:jc w:val="left"/>
        <w:rPr/>
      </w:pPr>
      <w:r>
        <w:rPr/>
        <w:t>Os resultados mostraram que o Flexy Beast e o Paraglider Hand respondem de forma semelhante, com perfis similares,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da palma, fazendo com que perfis pequenos fossem truncados ao tamanho mínimo suportado pelo próprio modelo.</w:t>
      </w:r>
    </w:p>
    <w:p>
      <w:pPr>
        <w:pStyle w:val="BodyText"/>
        <w:bidi w:val="0"/>
        <w:spacing w:before="0" w:after="0"/>
        <w:ind w:hanging="0" w:left="0" w:right="0"/>
        <w:jc w:val="left"/>
        <w:rPr/>
      </w:pPr>
      <w:r>
        <w:rPr/>
        <w:t>Tabela 8.3 — Rácio da maior dimensão da palma exportada face ao baseline</w:t>
      </w:r>
    </w:p>
    <w:tbl>
      <w:tblPr>
        <w:tblW w:w="8171" w:type="dxa"/>
        <w:jc w:val="left"/>
        <w:tblInd w:w="28" w:type="dxa"/>
        <w:tblLayout w:type="fixed"/>
        <w:tblCellMar>
          <w:top w:w="28" w:type="dxa"/>
          <w:left w:w="28" w:type="dxa"/>
          <w:bottom w:w="28" w:type="dxa"/>
          <w:right w:w="28" w:type="dxa"/>
        </w:tblCellMar>
      </w:tblPr>
      <w:tblGrid>
        <w:gridCol w:w="1683"/>
        <w:gridCol w:w="652"/>
        <w:gridCol w:w="652"/>
        <w:gridCol w:w="5184"/>
      </w:tblGrid>
      <w:tr>
        <w:trPr/>
        <w:tc>
          <w:tcPr>
            <w:tcW w:w="1683"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Baseline</w:t>
            </w:r>
          </w:p>
        </w:tc>
        <w:tc>
          <w:tcPr>
            <w:tcW w:w="652"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1,000</w:t>
            </w:r>
          </w:p>
        </w:tc>
        <w:tc>
          <w:tcPr>
            <w:tcW w:w="652"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1,000</w:t>
            </w:r>
          </w:p>
        </w:tc>
        <w:tc>
          <w:tcPr>
            <w:tcW w:w="5184" w:type="dxa"/>
            <w:tcBorders>
              <w:top w:val="single" w:sz="2" w:space="0" w:color="E0E0E0"/>
              <w:left w:val="single" w:sz="2" w:space="0" w:color="E0E0E0"/>
              <w:bottom w:val="single" w:sz="2" w:space="0" w:color="E0E0E0"/>
              <w:right w:val="single" w:sz="2" w:space="0" w:color="E0E0E0"/>
            </w:tcBorders>
            <w:vAlign w:val="center"/>
          </w:tcPr>
          <w:p>
            <w:pPr>
              <w:pStyle w:val="TableContents"/>
              <w:bidi w:val="0"/>
              <w:ind w:hanging="0" w:left="0" w:right="0"/>
              <w:jc w:val="left"/>
              <w:rPr/>
            </w:pPr>
            <w:r>
              <w:rPr/>
              <w:t>1,000</w:t>
            </w:r>
          </w:p>
        </w:tc>
      </w:tr>
      <w:tr>
        <w:trPr/>
        <w:tc>
          <w:tcPr>
            <w:tcW w:w="1683"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Criança</w:t>
            </w:r>
          </w:p>
        </w:tc>
        <w:tc>
          <w:tcPr>
            <w:tcW w:w="65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0,761</w:t>
            </w:r>
          </w:p>
        </w:tc>
        <w:tc>
          <w:tcPr>
            <w:tcW w:w="65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0,747</w:t>
            </w:r>
          </w:p>
        </w:tc>
        <w:tc>
          <w:tcPr>
            <w:tcW w:w="518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0,760 antes da correção; 1,000 após impor o piso</w:t>
            </w:r>
          </w:p>
        </w:tc>
      </w:tr>
      <w:tr>
        <w:trPr/>
        <w:tc>
          <w:tcPr>
            <w:tcW w:w="1683"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Mulher adulta</w:t>
            </w:r>
          </w:p>
        </w:tc>
        <w:tc>
          <w:tcPr>
            <w:tcW w:w="65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0,932</w:t>
            </w:r>
          </w:p>
        </w:tc>
        <w:tc>
          <w:tcPr>
            <w:tcW w:w="65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0,928</w:t>
            </w:r>
          </w:p>
        </w:tc>
        <w:tc>
          <w:tcPr>
            <w:tcW w:w="5184"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1,000</w:t>
            </w:r>
          </w:p>
        </w:tc>
      </w:tr>
      <w:tr>
        <w:trPr/>
        <w:tc>
          <w:tcPr>
            <w:tcW w:w="1683"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Homem adulto</w:t>
            </w:r>
          </w:p>
        </w:tc>
        <w:tc>
          <w:tcPr>
            <w:tcW w:w="65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1,148</w:t>
            </w:r>
          </w:p>
        </w:tc>
        <w:tc>
          <w:tcPr>
            <w:tcW w:w="652" w:type="dxa"/>
            <w:tcBorders>
              <w:left w:val="single" w:sz="2" w:space="0" w:color="E0E0E0"/>
              <w:bottom w:val="single" w:sz="2" w:space="0" w:color="E0E0E0"/>
              <w:right w:val="single" w:sz="2" w:space="0" w:color="E0E0E0"/>
            </w:tcBorders>
            <w:tcMar>
              <w:top w:w="0" w:type="dxa"/>
            </w:tcMar>
            <w:vAlign w:val="center"/>
          </w:tcPr>
          <w:p>
            <w:pPr>
              <w:pStyle w:val="TableContents"/>
              <w:bidi w:val="0"/>
              <w:ind w:hanging="0" w:left="0" w:right="0"/>
              <w:jc w:val="left"/>
              <w:rPr/>
            </w:pPr>
            <w:r>
              <w:rPr/>
              <w:t>1,157</w:t>
            </w:r>
          </w:p>
        </w:tc>
        <w:tc>
          <w:tcPr>
            <w:tcW w:w="5184" w:type="dxa"/>
            <w:tcBorders>
              <w:left w:val="single" w:sz="2" w:space="0" w:color="E0E0E0"/>
              <w:bottom w:val="single" w:sz="2" w:space="0" w:color="E0E0E0"/>
              <w:right w:val="single" w:sz="2" w:space="0" w:color="E0E0E0"/>
            </w:tcBorders>
            <w:tcMar>
              <w:top w:w="0" w:type="dxa"/>
            </w:tcMar>
            <w:vAlign w:val="center"/>
          </w:tcPr>
          <w:p>
            <w:pPr>
              <w:pStyle w:val="TableContents"/>
              <w:widowControl w:val="false"/>
              <w:suppressLineNumbers/>
              <w:bidi w:val="0"/>
              <w:jc w:val="left"/>
              <w:rPr/>
            </w:pPr>
            <w:r>
              <w:rPr/>
              <w:t>1,171</w:t>
            </w:r>
          </w:p>
        </w:tc>
      </w:tr>
    </w:tbl>
    <w:p>
      <w:pPr>
        <w:pStyle w:val="BodyText"/>
        <w:bidi w:val="0"/>
        <w:spacing w:before="0" w:after="0"/>
        <w:ind w:hanging="0" w:left="0" w:right="0"/>
        <w:jc w:val="left"/>
        <w:rPr/>
      </w:pPr>
      <w:r>
        <w:rPr/>
        <w:t>Esta validação revelou três fragilidades técnicas que não eram visíveis na análise numérica isolada. A primeira estava no mecanismo de correspondência populacional: a análise inicial de género e idade era demasiado frágil, e certos tokens abreviados confundiam unidades de medida com indicação de sexo masculino. A correção passou por análise multilíngue com reconhecimento de fronteiras de palavras e por uma classificação mais robusta dos grupos etários. A segunda fragilidade estava no Paraglider, cuja palma permanecia congelada numa escala interna herdada da biblioteca original; a correção reaplicou a escala no ponto de chamada relevante. A terceira surgiu no Phoenix, onde um parâmetro de override permitia contornar o piso mínimo de escala; a correção consistiu em aplicar o mesmo limite ao ramo alternativo.</w:t>
      </w:r>
    </w:p>
    <w:p>
      <w:pPr>
        <w:pStyle w:val="BodyText"/>
        <w:bidi w:val="0"/>
        <w:ind w:hanging="0" w:left="0" w:right="0"/>
        <w:jc w:val="left"/>
        <w:rPr/>
      </w:pPr>
      <w:r>
        <w:rPr/>
        <w:t>O contributo desta etapa é duplo. Por um lado, confirma que a validação de IA não deve terminar no JSON, pois a geometria pode ocultar acoplamentos, limites e heranças de código que só se tornam visíveis na exportação. Por outro lado, mostra que os modelos integrados não são intercambiáveis: o Flexy Beast é mais adequado a mãos pequenas, o Paraglider oferece uma ampla gama de tamanhos para perfis adultos e o Phoenix preserva elevada fidelidade ao original, mas apenas dentro de uma gama dimensional mais restrita.</w:t>
      </w:r>
    </w:p>
    <w:p>
      <w:pPr>
        <w:pStyle w:val="Heading3"/>
        <w:bidi w:val="0"/>
        <w:spacing w:before="0" w:after="283"/>
        <w:ind w:hanging="0" w:left="0" w:right="0"/>
        <w:jc w:val="left"/>
        <w:rPr/>
      </w:pPr>
      <w:r>
        <w:rPr/>
        <w:t>8.4 Discussão dos resultados face aos objetivos</w:t>
      </w:r>
    </w:p>
    <w:p>
      <w:pPr>
        <w:pStyle w:val="BodyText"/>
        <w:bidi w:val="0"/>
        <w:spacing w:before="0" w:after="0"/>
        <w:ind w:hanging="0" w:left="0" w:right="0"/>
        <w:jc w:val="left"/>
        <w:rPr/>
      </w:pPr>
      <w:r>
        <w:rPr/>
        <w:t>Face aos objetivos da investigação, os resultados reforçam a pertinência de articular design paramétrico, dados antropométricos, interface web e IA numa plataforma única, desde que a IA permaneça enquadrada por regras explícitas e por revisão humana. A contribuição não está em automatizar a conceção de uma prótese final, mas em estruturar um fluxo no qual informação incompleta pode ser convertida num ponto de partida dimensionalmente plausível, editável, visualizável e criticável. Esta capacidade responde diretamente ao problema de acessibilidade identificado no projeto: muitos utilizadores conseguem descrever a idade, a altura, a constituição física ou o lado amputado, mas não dominam a nomenclatura nem os procedimentos de medição necessários para parametrizar uma mão protésica.</w:t>
      </w:r>
    </w:p>
    <w:p>
      <w:pPr>
        <w:pStyle w:val="BodyText"/>
        <w:bidi w:val="0"/>
        <w:spacing w:before="0" w:after="0"/>
        <w:ind w:hanging="0" w:left="0" w:right="0"/>
        <w:jc w:val="left"/>
        <w:rPr/>
      </w:pPr>
      <w:r>
        <w:rPr/>
        <w:t>A avaliação também delimita com clareza os limites do sistema. A variabilidade estocástica da IA impede tratar uma saída isolada como uma prescrição fixa; a ausência de uma referência clínica direta impede afirmar a precisão individual; e a lateralidade, embora correta nos ensaios, requer uma regra explícita de espelhamento para deixar de depender de inferência linguística. Do mesmo modo, a validação geométrica demonstra que cada modelo transporta constrangimentos próprios: alguns aceitam escalas pequenas, outros impõem pisos mínimos ou preservam proporções globais herdadas do desenho original. Consequentemente, os resultados são promissores quanto à validação de coerência interna e de acessibilidade paramétrica, mas permanecem preliminares quanto à validação protésica.</w:t>
      </w:r>
    </w:p>
    <w:p>
      <w:pPr>
        <w:pStyle w:val="BodyText"/>
        <w:bidi w:val="0"/>
        <w:ind w:hanging="0" w:left="0" w:right="0"/>
        <w:jc w:val="left"/>
        <w:rPr/>
      </w:pPr>
      <w:r>
        <w:rPr/>
        <w:t>A principal aprendizagem metodológica é que a robustez do sistema depende menos da presença isolada de IA e mais da qualidade das fronteiras que a enquadram. O esquema vivo do modelo, os limites declarados, a filtragem de chaves, a ancoragem em dados populacionais, a renderização via OpenSCAD/WebAssembly e a exportação em STL formam uma cadeia de verificações sucessivas. 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Heading2"/>
        <w:bidi w:val="0"/>
        <w:spacing w:before="0" w:after="283"/>
        <w:ind w:hanging="0" w:left="0" w:right="0"/>
        <w:jc w:val="left"/>
        <w:rPr/>
      </w:pPr>
      <w:r>
        <w:rPr/>
        <w:t>Capítulo 9 — Conclusões e Trabalhos Futuros</w:t>
      </w:r>
    </w:p>
    <w:p>
      <w:pPr>
        <w:pStyle w:val="Heading3"/>
        <w:bidi w:val="0"/>
        <w:spacing w:before="0" w:after="283"/>
        <w:ind w:hanging="0" w:left="0" w:right="0"/>
        <w:jc w:val="left"/>
        <w:rPr/>
      </w:pPr>
      <w:r>
        <w:rPr/>
        <w:t>9.1 Síntese dos principais contributos</w:t>
      </w:r>
    </w:p>
    <w:p>
      <w:pPr>
        <w:pStyle w:val="BodyText"/>
        <w:bidi w:val="0"/>
        <w:spacing w:before="0" w:after="0"/>
        <w:ind w:hanging="0" w:left="0" w:right="0"/>
        <w:jc w:val="left"/>
        <w:rPr/>
      </w:pPr>
      <w:r>
        <w:rPr/>
        <w:t>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O contributo central não é uma prótese clinicamente validada, mas uma infraestrutura projetual que torna mais explícita, rastreável e acessível a passagem entre os dados do utilizador, os parâmetros geométricos e a geometria exportável.</w:t>
      </w:r>
    </w:p>
    <w:p>
      <w:pPr>
        <w:pStyle w:val="BodyText"/>
        <w:bidi w:val="0"/>
        <w:spacing w:before="0" w:after="0"/>
        <w:ind w:hanging="0" w:left="0" w:right="0"/>
        <w:jc w:val="left"/>
        <w:rPr/>
      </w:pPr>
      <w:r>
        <w:rPr/>
        <w:t>O trabalho confirma que a personalização paramétrica é mais robusta quando assenta numa gramática comum de medidas, limites e relações geométricas. A plataforma permitiu expor essa gramática numa interface utilizável, guardar as configurações, renderizar modelos localmente e exportar ficheiros STL. A integração da IA acrescentou uma camada de apoio à decisão, capaz de transformar descrições incompletas em pontos de partida plausíveis, desde que as sugestões permaneçam limitadas pelo esquema vivo do modelo e sujeitas a validação posterior.</w:t>
      </w:r>
    </w:p>
    <w:p>
      <w:pPr>
        <w:pStyle w:val="BodyText"/>
        <w:bidi w:val="0"/>
        <w:ind w:hanging="0" w:left="0" w:right="0"/>
        <w:jc w:val="left"/>
        <w:rPr/>
      </w:pPr>
      <w:r>
        <w:rPr/>
        <w:t>A validação realizada revelou três resultados principais. Primeiro, as sugestões numéricas respeitaram os limites do modelo, preservaram as proporções anatómicas e adaptaram-se de forma coerente à riqueza variável das entradas. Em segundo lugar, as medições fornecidas diretamente foram preservadas e os dados em falta foram estimados proporcionalmente. Terceiro, a validação geométrica intermodelos demonstrou que a exportação em STL é indispensável para revelar constrangimentos que não aparecem na resposta numérica, como pisos de escala, dependências herdadas e diferenças reais entre modelos.</w:t>
      </w:r>
    </w:p>
    <w:p>
      <w:pPr>
        <w:pStyle w:val="Heading3"/>
        <w:bidi w:val="0"/>
        <w:spacing w:before="0" w:after="283"/>
        <w:ind w:hanging="0" w:left="0" w:right="0"/>
        <w:jc w:val="left"/>
        <w:rPr/>
      </w:pPr>
      <w:r>
        <w:rPr/>
        <w:t>9.2 Contributos para o Design Industrial</w:t>
      </w:r>
    </w:p>
    <w:p>
      <w:pPr>
        <w:pStyle w:val="BodyText"/>
        <w:bidi w:val="0"/>
        <w:spacing w:before="0" w:after="0"/>
        <w:ind w:hanging="0" w:left="0" w:right="0"/>
        <w:jc w:val="left"/>
        <w:rPr/>
      </w:pPr>
      <w:r>
        <w:rPr/>
        <w:t>Para o Design Industrial, o principal contributo reside na demonstração de um processo em que o artefacto, a interface e a lógica paramétrica atuam como instrumentos de investigação. O projeto não trata a prótese apenas como um objeto formal, mas como um sistema configurável em que requisitos anatómicos, funcionais, produtivos e experienciais são traduzidos em parâmetros criticáveis. Esta abordagem reforça o papel do designer como mediador entre dados, tecnologia, fabrico e experiência humana.</w:t>
      </w:r>
    </w:p>
    <w:p>
      <w:pPr>
        <w:pStyle w:val="BodyText"/>
        <w:bidi w:val="0"/>
        <w:spacing w:before="0" w:after="0"/>
        <w:ind w:hanging="0" w:left="0" w:right="0"/>
        <w:jc w:val="left"/>
        <w:rPr/>
      </w:pPr>
      <w:r>
        <w:rPr/>
        <w:t xml:space="preserve">A plataforma também contribui para uma leitura mais disciplinada da personalização. Em vez de associar a personalização à liberdade ilimitada de escolha, o sistema mostra a importância de definir quais parâmetros são editáveis, quais permanecem sob controlo técnico, quais intervalos são aceitáveis e quais modelos são adequados a diferentes perfis. Esta contenção é particularmente relevante em dispositivos </w:t>
      </w:r>
      <w:r>
        <w:rPr/>
        <w:t>de apoio</w:t>
      </w:r>
      <w:r>
        <w:rPr/>
        <w:t>, nos quais a acessibilidade da configuração deve ser equilibrada com responsabilidade, segurança e coerência funcional.</w:t>
      </w:r>
    </w:p>
    <w:p>
      <w:pPr>
        <w:pStyle w:val="BodyText"/>
        <w:bidi w:val="0"/>
        <w:ind w:hanging="0" w:left="0" w:right="0"/>
        <w:jc w:val="left"/>
        <w:rPr/>
      </w:pPr>
      <w:r>
        <w:rPr/>
        <w:t>A integração da IA reforça essa mediação, mas não a substitui. O modelo de linguagem é útil quando reduz a barreira inicial à parametrização e apoia o utilizador não especialista; torna-se frágil quando a sua saída é interpretada como uma decisão autónoma. A contribuição projetual está, por isso, em enquadrar a IA como componente human-in-the-loop, articulada a regras explícitas, dados antropométricos, visualização, exportação e revisão técnica.</w:t>
      </w:r>
    </w:p>
    <w:p>
      <w:pPr>
        <w:pStyle w:val="Heading3"/>
        <w:bidi w:val="0"/>
        <w:spacing w:before="0" w:after="283"/>
        <w:ind w:hanging="0" w:left="0" w:right="0"/>
        <w:jc w:val="left"/>
        <w:rPr/>
      </w:pPr>
      <w:r>
        <w:rPr/>
        <w:t>9.3 Limitações e perspetivas de desenvolvimento futuro</w:t>
      </w:r>
    </w:p>
    <w:p>
      <w:pPr>
        <w:pStyle w:val="BodyText"/>
        <w:bidi w:val="0"/>
        <w:spacing w:before="0" w:after="0"/>
        <w:ind w:hanging="0" w:left="0" w:right="0"/>
        <w:jc w:val="left"/>
        <w:rPr/>
      </w:pPr>
      <w:r>
        <w:rPr/>
        <w:t>As limitações do estudo são relevantes e delimitam o alcance das conclusões. Não foram realizados testes com utilizadores reais, avaliações clínicas, medições diretas de conforto, ensaios funcionais prolongados nem validação biomecânica completa. A avaliação antropométrica baseou-se em perfis simulados, dados secundários e critérios internos de plausibilidade. Por isso, os resultados devem ser interpretados como validação metodológica e técnica do fluxo de personalização, não como prova de eficácia protésica em contexto de uso.</w:t>
      </w:r>
    </w:p>
    <w:p>
      <w:pPr>
        <w:pStyle w:val="BodyText"/>
        <w:bidi w:val="0"/>
        <w:spacing w:before="0" w:after="0"/>
        <w:ind w:hanging="0" w:left="0" w:right="0"/>
        <w:jc w:val="left"/>
        <w:rPr/>
      </w:pPr>
      <w:r>
        <w:rPr/>
        <w:t>A componente de IA requer desenvolvimento adicional. A lateralidade deve ser tratada por meio de uma regra explícita que distinga a mão intacta, o lado amputado e a orientação da prótese. A saída deve ser validada por um esquema JSON no servidor, com repetição automática do pedido quando a resposta violar o contrato esperado. A variabilidade estocástica deve ser quantificada por meio de múltiplas extrações por perfil, com reporte de médias, dispersão e taxas de aprovação dos invariantes. A comparação com bases de dados antropométricas ou com medições reais permitiria passar da plausibilidade a uma estimativa mais rigorosa do erro.</w:t>
      </w:r>
    </w:p>
    <w:p>
      <w:pPr>
        <w:pStyle w:val="BodyText"/>
        <w:bidi w:val="0"/>
        <w:spacing w:before="0" w:after="0"/>
        <w:ind w:hanging="0" w:left="0" w:right="0"/>
        <w:jc w:val="left"/>
        <w:rPr/>
      </w:pPr>
      <w:r>
        <w:rPr/>
        <w:t>Do ponto de vista geométrico e produtivo, o trabalho futuro deve aprofundar a validação por meio de impressão física, montagem, tolerâncias, resistência, desgaste e adequação ao uso. Também será necessário esclarecer a seleção de modelos por faixas dimensionais: modelos como o Flexy Beast são mais adequados para mãos pequenas, enquanto modelos com piso mínimo, como o Phoenix, exigem restrições claras na interface para evitar expectativas incorretas. A plataforma deve, portanto, evoluir de um configurador que aceita parâmetros para um sistema que também orienta a escolha do modelo mais adequado ao perfil e ao objetivo de fabrico.</w:t>
      </w:r>
    </w:p>
    <w:p>
      <w:pPr>
        <w:pStyle w:val="BodyText"/>
        <w:bidi w:val="0"/>
        <w:ind w:hanging="0" w:left="0" w:right="0"/>
        <w:jc w:val="left"/>
        <w:rPr/>
      </w:pPr>
      <w:r>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spacing w:before="0" w:after="283"/>
        <w:ind w:hanging="0" w:left="0" w:right="0"/>
        <w:jc w:val="left"/>
        <w:rPr/>
      </w:pPr>
      <w:r>
        <w:rPr/>
        <w:t>Bibliografia</w:t>
      </w:r>
    </w:p>
    <w:p>
      <w:pPr>
        <w:pStyle w:val="BodyText"/>
        <w:bidi w:val="0"/>
        <w:spacing w:before="0" w:after="0"/>
        <w:ind w:hanging="0" w:left="0" w:right="0"/>
        <w:jc w:val="left"/>
        <w:rPr/>
      </w:pPr>
      <w:r>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odyText"/>
        <w:bidi w:val="0"/>
        <w:spacing w:before="0" w:after="0"/>
        <w:ind w:hanging="0" w:left="0" w:right="0"/>
        <w:jc w:val="left"/>
        <w:rPr/>
      </w:pPr>
      <w:r>
        <w:rPr/>
        <w:t>&lt;a id="ref-albin-2023"&gt;&lt;/a&gt; Albin, T., &amp; Molenbroek, J. F. M. (2023). Introduction to the special issue, anthropometry in design. https://repository.tudelft.nl/file/Fileda5bfdc9-98bc-41d3-a402-553d5f0d0a63</w:t>
      </w:r>
    </w:p>
    <w:p>
      <w:pPr>
        <w:pStyle w:val="BodyText"/>
        <w:bidi w:val="0"/>
        <w:spacing w:before="0" w:after="0"/>
        <w:ind w:hanging="0" w:left="0" w:right="0"/>
        <w:jc w:val="left"/>
        <w:rPr/>
      </w:pPr>
      <w:r>
        <w:rPr/>
        <w:t>&lt;a id="ref-astm-international-2024"&gt;&lt;/a&gt; ASTM International. (2024). Standard guide for assessing fit accommodation of exoskeletons for manufacturers and designers. https://www.astm.org/f3661-24.html</w:t>
      </w:r>
    </w:p>
    <w:p>
      <w:pPr>
        <w:pStyle w:val="BodyText"/>
        <w:bidi w:val="0"/>
        <w:spacing w:before="0" w:after="0"/>
        <w:ind w:hanging="0" w:left="0" w:right="0"/>
        <w:jc w:val="left"/>
        <w:rPr/>
      </w:pPr>
      <w:r>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odyText"/>
        <w:bidi w:val="0"/>
        <w:spacing w:before="0" w:after="0"/>
        <w:ind w:hanging="0" w:left="0" w:right="0"/>
        <w:jc w:val="left"/>
        <w:rPr/>
      </w:pPr>
      <w:r>
        <w:rPr/>
        <w:t>&lt;a id="ref-bates-2020"&gt;&lt;/a&gt; Bates, T., Fergason, J., &amp; Pierrie, S. N. (2020). Technological advances in prosthesis design and rehabilitation following upper extremity limb loss. https://www.semanticscholar.org/paper/905056ffa9fa963e8df8b974d90b94c05a5f7e29</w:t>
      </w:r>
    </w:p>
    <w:p>
      <w:pPr>
        <w:pStyle w:val="BodyText"/>
        <w:bidi w:val="0"/>
        <w:spacing w:before="0" w:after="0"/>
        <w:ind w:hanging="0" w:left="0" w:right="0"/>
        <w:jc w:val="left"/>
        <w:rPr/>
      </w:pPr>
      <w:r>
        <w:rPr/>
        <w:t>&lt;a id="ref-bradtmiller-2022"&gt;&lt;/a&gt; Bradtmiller, B. (2022). Design for all, design for disabled: How important is anthropometry? https://researchonline.jcu.edu.au/76898/</w:t>
      </w:r>
    </w:p>
    <w:p>
      <w:pPr>
        <w:pStyle w:val="BodyText"/>
        <w:bidi w:val="0"/>
        <w:spacing w:before="0" w:after="0"/>
        <w:ind w:hanging="0" w:left="0" w:right="0"/>
        <w:jc w:val="left"/>
        <w:rPr/>
      </w:pPr>
      <w:r>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odyText"/>
        <w:bidi w:val="0"/>
        <w:spacing w:before="0" w:after="0"/>
        <w:ind w:hanging="0" w:left="0" w:right="0"/>
        <w:jc w:val="left"/>
        <w:rPr/>
      </w:pPr>
      <w:r>
        <w:rPr/>
        <w:t>&lt;a id="ref-kaygan-2025"&gt;&lt;/a&gt; Kaygan, H., &amp; Kaygan, P. (2025). Clients and carers: Healthcare professionals’ roles in medical device development processes in SMEs. The Design Journal, 28(2), 213-231. https://doi.org/10.1080/14606925.2024.2420152</w:t>
      </w:r>
    </w:p>
    <w:p>
      <w:pPr>
        <w:pStyle w:val="BodyText"/>
        <w:bidi w:val="0"/>
        <w:spacing w:before="0" w:after="0"/>
        <w:ind w:hanging="0" w:left="0" w:right="0"/>
        <w:jc w:val="left"/>
        <w:rPr/>
      </w:pPr>
      <w:r>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odyText"/>
        <w:bidi w:val="0"/>
        <w:spacing w:before="0" w:after="0"/>
        <w:ind w:hanging="0" w:left="0" w:right="0"/>
        <w:jc w:val="left"/>
        <w:rPr/>
      </w:pPr>
      <w:r>
        <w:rPr/>
        <w:t>&lt;a id="ref-colombo-2015"&gt;&lt;/a&gt; Colombo, G., Facoetti, G., Rizzi, C., &amp; Vitali, A. (2015). Low cost hand-tracking devices to design customized medical devices. Interacción. https://doi.org/10.1007/978-3-319-21067-436</w:t>
      </w:r>
    </w:p>
    <w:p>
      <w:pPr>
        <w:pStyle w:val="BodyText"/>
        <w:bidi w:val="0"/>
        <w:spacing w:before="0" w:after="0"/>
        <w:ind w:hanging="0" w:left="0" w:right="0"/>
        <w:jc w:val="left"/>
        <w:rPr/>
      </w:pPr>
      <w:r>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odyText"/>
        <w:bidi w:val="0"/>
        <w:spacing w:before="0" w:after="0"/>
        <w:ind w:hanging="0" w:left="0" w:right="0"/>
        <w:jc w:val="left"/>
        <w:rPr/>
      </w:pPr>
      <w:r>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odyText"/>
        <w:bidi w:val="0"/>
        <w:spacing w:before="0" w:after="0"/>
        <w:ind w:hanging="0" w:left="0" w:right="0"/>
        <w:jc w:val="left"/>
        <w:rPr/>
      </w:pPr>
      <w:r>
        <w:rPr/>
        <w:t>&lt;a id="ref-engdahl-2024"&gt;&lt;/a&gt; Engdahl, S., Gonzalez, M. A., Lee, C., &amp; Gates, D. H. (2024). Perspectives on the comparative benefits of body-powered and myoelectric upper limb prostheses. https://jneuroengrehab.biomedcentral.com/counter/pdf/10.1186/s12984-024-01436-4</w:t>
      </w:r>
    </w:p>
    <w:p>
      <w:pPr>
        <w:pStyle w:val="BodyText"/>
        <w:bidi w:val="0"/>
        <w:spacing w:before="0" w:after="0"/>
        <w:ind w:hanging="0" w:left="0" w:right="0"/>
        <w:jc w:val="left"/>
        <w:rPr/>
      </w:pPr>
      <w:r>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odyText"/>
        <w:bidi w:val="0"/>
        <w:spacing w:before="0" w:after="0"/>
        <w:ind w:hanging="0" w:left="0" w:right="0"/>
        <w:jc w:val="left"/>
        <w:rPr/>
      </w:pPr>
      <w:r>
        <w:rPr/>
        <w:t>&lt;a id="ref-fink-2023"&gt;&lt;/a&gt; Fink, C., &amp; Diamond, Y. (2023). Prosthesis options and management in upper extremity amputation. https://www.semanticscholar.org/paper/3532a770446eb6144ef25a6b0162d1f98b61e0ff</w:t>
      </w:r>
    </w:p>
    <w:p>
      <w:pPr>
        <w:pStyle w:val="BodyText"/>
        <w:bidi w:val="0"/>
        <w:spacing w:before="0" w:after="0"/>
        <w:ind w:hanging="0" w:left="0" w:right="0"/>
        <w:jc w:val="left"/>
        <w:rPr/>
      </w:pPr>
      <w:r>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odyText"/>
        <w:bidi w:val="0"/>
        <w:spacing w:before="0" w:after="0"/>
        <w:ind w:hanging="0" w:left="0" w:right="0"/>
        <w:jc w:val="left"/>
        <w:rPr/>
      </w:pPr>
      <w:r>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BodyText"/>
        <w:bidi w:val="0"/>
        <w:spacing w:before="0" w:after="0"/>
        <w:ind w:hanging="0" w:left="0" w:right="0"/>
        <w:jc w:val="left"/>
        <w:rPr/>
      </w:pPr>
      <w:r>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BodyText"/>
        <w:bidi w:val="0"/>
        <w:spacing w:before="0" w:after="0"/>
        <w:ind w:hanging="0" w:left="0" w:right="0"/>
        <w:jc w:val="left"/>
        <w:rPr/>
      </w:pPr>
      <w:r>
        <w:rPr/>
        <w:t>&lt;a id="ref-lei-2016"&gt;&lt;/a&gt; Lei, N., Yao, X., Moon, S. K., &amp; Bi, G. (2016). An additive manufacturing process model for product family design. https://dr.ntu.edu.sg/bitstream/10356/83735/1/An%20additive%20manufacturing%20process%20model%20for%20product%20family%20design.pdf</w:t>
      </w:r>
    </w:p>
    <w:p>
      <w:pPr>
        <w:pStyle w:val="BodyText"/>
        <w:bidi w:val="0"/>
        <w:spacing w:before="0" w:after="0"/>
        <w:ind w:hanging="0" w:left="0" w:right="0"/>
        <w:jc w:val="left"/>
        <w:rPr/>
      </w:pPr>
      <w:r>
        <w:rPr/>
        <w:t>&lt;a id="ref-lindell-2021"&gt;&lt;/a&gt; Lindell, E., Tingsvik, H., Guo, L., &amp; Peterson, J. (2021). 3D body scan as anthropometric tool for individualized prosthetic socks. https://sciendo.com/pdf/10.2478/aut-2021-0007</w:t>
      </w:r>
    </w:p>
    <w:p>
      <w:pPr>
        <w:pStyle w:val="BodyText"/>
        <w:bidi w:val="0"/>
        <w:spacing w:before="0" w:after="0"/>
        <w:ind w:hanging="0" w:left="0" w:right="0"/>
        <w:jc w:val="left"/>
        <w:rPr/>
      </w:pPr>
      <w:r>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odyText"/>
        <w:bidi w:val="0"/>
        <w:spacing w:before="0" w:after="0"/>
        <w:ind w:hanging="0" w:left="0" w:right="0"/>
        <w:jc w:val="left"/>
        <w:rPr/>
      </w:pPr>
      <w:r>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odyText"/>
        <w:bidi w:val="0"/>
        <w:spacing w:before="0" w:after="0"/>
        <w:ind w:hanging="0" w:left="0" w:right="0"/>
        <w:jc w:val="left"/>
        <w:rPr/>
      </w:pPr>
      <w:r>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BodyText"/>
        <w:bidi w:val="0"/>
        <w:spacing w:before="0" w:after="0"/>
        <w:ind w:hanging="0" w:left="0" w:right="0"/>
        <w:jc w:val="left"/>
        <w:rPr/>
      </w:pPr>
      <w:r>
        <w:rPr/>
        <w:t>&lt;a id="ref-parlamento-europeu-2017"&gt;&lt;/a&gt; Parlamento Europeu, &amp; Conselho da União Europeia. (2017). Regulation (EU) 2017/745 of the European Parliament and of the Council of 5 April 2017 on medical devices. https://eur-lex.europa.eu/eli/reg/2017/745/oj</w:t>
      </w:r>
    </w:p>
    <w:p>
      <w:pPr>
        <w:pStyle w:val="BodyText"/>
        <w:bidi w:val="0"/>
        <w:spacing w:before="0" w:after="0"/>
        <w:ind w:hanging="0" w:left="0" w:right="0"/>
        <w:jc w:val="left"/>
        <w:rPr/>
      </w:pPr>
      <w:r>
        <w:rPr/>
        <w:t>&lt;a id="ref-chapman-2025"&gt;&lt;/a&gt; Chapman, K., Allen, C., &amp; Kendall, E. (2025). Methods for co-designing health communication initiatives with people with disability: A scoping review. Health Communication. https://doi.org/10.1080/10810730.2025.2462679</w:t>
      </w:r>
    </w:p>
    <w:p>
      <w:pPr>
        <w:pStyle w:val="BodyText"/>
        <w:bidi w:val="0"/>
        <w:spacing w:before="0" w:after="0"/>
        <w:ind w:hanging="0" w:left="0" w:right="0"/>
        <w:jc w:val="left"/>
        <w:rPr/>
      </w:pPr>
      <w:r>
        <w:rPr/>
        <w:t>&lt;a id="ref-clarkson-2010"&gt;&lt;/a&gt; Clarkson, J., &amp; Coleman, R. (2010). Inclusive design. Design Studies. https://doi.org/10.1080/09544821003693689</w:t>
      </w:r>
    </w:p>
    <w:p>
      <w:pPr>
        <w:pStyle w:val="BodyText"/>
        <w:bidi w:val="0"/>
        <w:spacing w:before="0" w:after="0"/>
        <w:ind w:hanging="0" w:left="0" w:right="0"/>
        <w:jc w:val="left"/>
        <w:rPr/>
      </w:pPr>
      <w:r>
        <w:rPr/>
        <w:t>&lt;a id="ref-chtioui-2023"&gt;&lt;/a&gt; Chtioui, N., Gaha, R., &amp; Benamara, A. (2023). Design for additive manufacturing: Review and framework proposal. https://sei.ardascience.com/index.php/journal/article/download/185/169</w:t>
      </w:r>
    </w:p>
    <w:p>
      <w:pPr>
        <w:pStyle w:val="BodyText"/>
        <w:bidi w:val="0"/>
        <w:spacing w:before="0" w:after="0"/>
        <w:ind w:hanging="0" w:left="0" w:right="0"/>
        <w:jc w:val="left"/>
        <w:rPr/>
      </w:pPr>
      <w:r>
        <w:rPr/>
        <w:t>&lt;a id="ref-fisher-2020"&gt;&lt;/a&gt; Fisher, M., &amp; Johansen, E. (2020). Human-centered design for medical devices and diagnostics in global health. https://www.semanticscholar.org/paper/89c3c6bd56f4d0b54f5da3e3c96f18e815d9f5d4</w:t>
      </w:r>
    </w:p>
    <w:p>
      <w:pPr>
        <w:pStyle w:val="BodyText"/>
        <w:bidi w:val="0"/>
        <w:spacing w:before="0" w:after="0"/>
        <w:ind w:hanging="0" w:left="0" w:right="0"/>
        <w:jc w:val="left"/>
        <w:rPr/>
      </w:pPr>
      <w:r>
        <w:rPr/>
        <w:t>&lt;a id="ref-millet-2018"&gt;&lt;/a&gt; Millet, A., Akle, A. A., &amp; Legardeur, J. (2018). Human centred criteria for healthcare design. https://www.semanticscholar.org/paper/267b655f123f4f167f1f9e7e6c8a1f17f73a73d0</w:t>
      </w:r>
    </w:p>
    <w:p>
      <w:pPr>
        <w:pStyle w:val="BodyText"/>
        <w:bidi w:val="0"/>
        <w:spacing w:before="0" w:after="0"/>
        <w:ind w:hanging="0" w:left="0" w:right="0"/>
        <w:jc w:val="left"/>
        <w:rPr/>
      </w:pPr>
      <w:r>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BodyText"/>
        <w:bidi w:val="0"/>
        <w:spacing w:before="0" w:after="0"/>
        <w:ind w:hanging="0" w:left="0" w:right="0"/>
        <w:jc w:val="left"/>
        <w:rPr/>
      </w:pPr>
      <w:r>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odyText"/>
        <w:bidi w:val="0"/>
        <w:spacing w:before="0" w:after="0"/>
        <w:ind w:hanging="0" w:left="0" w:right="0"/>
        <w:jc w:val="left"/>
        <w:rPr/>
      </w:pPr>
      <w:r>
        <w:rPr/>
        <w:t>&lt;a id="ref-resnik-2010"&gt;&lt;/a&gt; Resnik, L., Klinger, S. L., Krauthamer, V., &amp; Barnabe, K. (2010). U.S. Food and Drug Administration regulation of prosthetic research, development, and testing. https://www.semanticscholar.org/paper/71e1fef52dde69cbcea4f62c709f7c6689f9463d</w:t>
      </w:r>
    </w:p>
    <w:p>
      <w:pPr>
        <w:pStyle w:val="BodyText"/>
        <w:bidi w:val="0"/>
        <w:spacing w:before="0" w:after="0"/>
        <w:ind w:hanging="0" w:left="0" w:right="0"/>
        <w:jc w:val="left"/>
        <w:rPr/>
      </w:pPr>
      <w:r>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odyText"/>
        <w:bidi w:val="0"/>
        <w:spacing w:before="0" w:after="0"/>
        <w:ind w:hanging="0" w:left="0" w:right="0"/>
        <w:jc w:val="left"/>
        <w:rPr/>
      </w:pPr>
      <w:r>
        <w:rPr/>
        <w:t>&lt;a id="ref-segura-2024"&gt;&lt;/a&gt; Segura, D., Romero, E., Abarca, V. E., &amp; Elías, D. A. (2024). Upper limb prostheses by the level of amputation: A systematic review. Prosthesis, 6(2), 22. https://www.mdpi.com/2673-1592/6/2/22/pdf?version=1710818539</w:t>
      </w:r>
    </w:p>
    <w:p>
      <w:pPr>
        <w:pStyle w:val="BodyText"/>
        <w:bidi w:val="0"/>
        <w:spacing w:before="0" w:after="0"/>
        <w:ind w:hanging="0" w:left="0" w:right="0"/>
        <w:jc w:val="left"/>
        <w:rPr/>
      </w:pPr>
      <w:r>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BodyText"/>
        <w:bidi w:val="0"/>
        <w:spacing w:before="0" w:after="0"/>
        <w:ind w:hanging="0" w:left="0" w:right="0"/>
        <w:jc w:val="left"/>
        <w:rPr/>
      </w:pPr>
      <w:r>
        <w:rPr/>
        <w:t>&lt;a id="ref-soyer-2016"&gt;&lt;/a&gt; Soyer, K., Unver, B., Tamer, S., &amp; Ulger, O. (2016). The importance of rehabilitation concerning upper extremity amputees: A systematic review. https://pjms.com.pk/index.php/pjms/article/view/9922/4660</w:t>
      </w:r>
    </w:p>
    <w:p>
      <w:pPr>
        <w:pStyle w:val="BodyText"/>
        <w:bidi w:val="0"/>
        <w:spacing w:before="0" w:after="0"/>
        <w:ind w:hanging="0" w:left="0" w:right="0"/>
        <w:jc w:val="left"/>
        <w:rPr/>
      </w:pPr>
      <w:r>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odyText"/>
        <w:bidi w:val="0"/>
        <w:spacing w:before="0" w:after="0"/>
        <w:ind w:hanging="0" w:left="0" w:right="0"/>
        <w:jc w:val="left"/>
        <w:rPr/>
      </w:pPr>
      <w:r>
        <w:rPr/>
        <w:t>&lt;a id="ref-shah-2006"&gt;&lt;/a&gt; Shah, S., &amp; Robinson, I. (2006). User involvement in healthcare technology development and assessment: Structured literature review. https://www.semanticscholar.org/paper/299d5b2c1d65791cc4c9f2db76edf20f479adcbc</w:t>
      </w:r>
    </w:p>
    <w:p>
      <w:pPr>
        <w:pStyle w:val="BodyText"/>
        <w:bidi w:val="0"/>
        <w:spacing w:before="0" w:after="0"/>
        <w:ind w:hanging="0" w:left="0" w:right="0"/>
        <w:jc w:val="left"/>
        <w:rPr/>
      </w:pPr>
      <w:r>
        <w:rPr/>
        <w:t>&lt;a id="ref-silva-2024"&gt;&lt;/a&gt; Silva, R., Silva, B., Fernandes, C., Morouco, P., Alves, N., &amp; Veloso, A. (2024). A review on 3D scanners studies for producing customized orthoses. Sensors, 24(5), 1373. https://pmc.ncbi.nlm.nih.gov/articles/PMC10935386/pdf/sensors-24-01373.pdf</w:t>
      </w:r>
    </w:p>
    <w:p>
      <w:pPr>
        <w:pStyle w:val="BodyText"/>
        <w:bidi w:val="0"/>
        <w:spacing w:before="0" w:after="0"/>
        <w:ind w:hanging="0" w:left="0" w:right="0"/>
        <w:jc w:val="left"/>
        <w:rPr/>
      </w:pPr>
      <w:r>
        <w:rPr/>
        <w:t>&lt;a id="ref-story-2006"&gt;&lt;/a&gt; Story, M. (2006). Applying the principles of universal design to medical devices. https://www.semanticscholar.org/paper/d0d84425d517331607c9120290ed26d1bf2e1862</w:t>
      </w:r>
    </w:p>
    <w:p>
      <w:pPr>
        <w:pStyle w:val="BodyText"/>
        <w:bidi w:val="0"/>
        <w:spacing w:before="0" w:after="0"/>
        <w:ind w:hanging="0" w:left="0" w:right="0"/>
        <w:jc w:val="left"/>
        <w:rPr/>
      </w:pPr>
      <w:r>
        <w:rPr/>
        <w:t>&lt;a id="ref-stralen-2018"&gt;&lt;/a&gt; Stralen, M. V. (2018). Mass customization: A critical perspective on parametric design, digital fabrication and design democratization. https://www.semanticscholar.org/paper/a18f2c4d248e791d2a9b84f3cab268d5a377cc10</w:t>
      </w:r>
    </w:p>
    <w:p>
      <w:pPr>
        <w:pStyle w:val="BodyText"/>
        <w:bidi w:val="0"/>
        <w:spacing w:before="0" w:after="0"/>
        <w:ind w:hanging="0" w:left="0" w:right="0"/>
        <w:jc w:val="left"/>
        <w:rPr/>
      </w:pPr>
      <w:r>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odyText"/>
        <w:bidi w:val="0"/>
        <w:spacing w:before="0" w:after="0"/>
        <w:ind w:hanging="0" w:left="0" w:right="0"/>
        <w:jc w:val="left"/>
        <w:rPr/>
      </w:pPr>
      <w:r>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odyText"/>
        <w:bidi w:val="0"/>
        <w:spacing w:before="0" w:after="0"/>
        <w:ind w:hanging="0" w:left="0" w:right="0"/>
        <w:jc w:val="left"/>
        <w:rPr/>
      </w:pPr>
      <w:r>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BodyText"/>
        <w:bidi w:val="0"/>
        <w:spacing w:before="0" w:after="0"/>
        <w:ind w:hanging="0" w:left="0" w:right="0"/>
        <w:jc w:val="left"/>
        <w:rPr/>
      </w:pPr>
      <w:r>
        <w:rPr/>
        <w:t>&lt;a id="ref-white-2022"&gt;&lt;/a&gt; White, J., &amp; Mosca, E. I. (2022). Developing innovative solutions for universal design in healthcare and other sectors. https://www.semanticscholar.org/paper/df2bb0d53af547bd89b2c716933c2a544bf422b1</w:t>
      </w:r>
    </w:p>
    <w:p>
      <w:pPr>
        <w:pStyle w:val="BodyText"/>
        <w:bidi w:val="0"/>
        <w:spacing w:before="0" w:after="0"/>
        <w:ind w:hanging="0" w:left="0" w:right="0"/>
        <w:jc w:val="left"/>
        <w:rPr/>
      </w:pPr>
      <w:r>
        <w:rPr/>
        <w:t>&lt;a id="ref-wiberg-2019"&gt;&lt;/a&gt; Wiberg, A., Persson, J., &amp; Ölvander, J. (2019). Design for additive manufacturing: A review of available design methods and software. https://www.semanticscholar.org/paper/e03bf769f344512519f1005baa1d6b83fe4fc8ed</w:t>
      </w:r>
    </w:p>
    <w:p>
      <w:pPr>
        <w:pStyle w:val="BodyText"/>
        <w:bidi w:val="0"/>
        <w:spacing w:before="0" w:after="0"/>
        <w:ind w:hanging="0" w:left="0" w:right="0"/>
        <w:jc w:val="left"/>
        <w:rPr/>
      </w:pPr>
      <w:r>
        <w:rPr/>
        <w:t>&lt;a id="ref-wilke-2020"&gt;&lt;/a&gt; Wilke, H., Badke-Schaub, P., &amp; Thoring, K. (2020). The healthcare design dilemma: Perils of a technology-driven design process for medical products. https://www.semanticscholar.org/paper/078781d9389d4618fc1b5db9347ab68ca7ef46d9</w:t>
      </w:r>
    </w:p>
    <w:p>
      <w:pPr>
        <w:pStyle w:val="BodyText"/>
        <w:bidi w:val="0"/>
        <w:spacing w:before="0" w:after="0"/>
        <w:ind w:hanging="0" w:left="0" w:right="0"/>
        <w:jc w:val="left"/>
        <w:rPr/>
      </w:pPr>
      <w:r>
        <w:rPr/>
        <w:t>&lt;a id="ref-walters-2025"&gt;&lt;/a&gt; Walters, S., Seminati, E., Metcalfe, B., Bailey, N. Y., &amp; Pegg, E. C. (2025). Demystifying upper limb hybrid prostheses: A scoping review. https://www.semanticscholar.org/paper/d659aff9bb182a3c92377571973e6e077a3b1838</w:t>
      </w:r>
    </w:p>
    <w:p>
      <w:pPr>
        <w:pStyle w:val="BodyText"/>
        <w:bidi w:val="0"/>
        <w:spacing w:before="0" w:after="0"/>
        <w:ind w:hanging="0" w:left="0" w:right="0"/>
        <w:jc w:val="left"/>
        <w:rPr/>
      </w:pPr>
      <w:r>
        <w:rPr/>
        <w:t>&lt;a id="ref-yao-2016"&gt;&lt;/a&gt; Yao, X., Moon, S. K., &amp; Bi, G. (2016). A cost-driven design methodology for additive manufactured variable platforms in product families. https://www.semanticscholar.org/paper/f7bc9dc2a80714c18ac068f45b99408b0f4fe65e</w:t>
      </w:r>
    </w:p>
    <w:p>
      <w:pPr>
        <w:pStyle w:val="BodyText"/>
        <w:bidi w:val="0"/>
        <w:spacing w:before="0" w:after="0"/>
        <w:ind w:hanging="0" w:left="0" w:right="0"/>
        <w:jc w:val="left"/>
        <w:rPr/>
      </w:pPr>
      <w:r>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odyText"/>
        <w:bidi w:val="0"/>
        <w:spacing w:before="0" w:after="0"/>
        <w:ind w:hanging="0" w:left="0" w:right="0"/>
        <w:jc w:val="left"/>
        <w:rPr/>
      </w:pPr>
      <w:r>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BodyText"/>
        <w:bidi w:val="0"/>
        <w:spacing w:before="0" w:after="0"/>
        <w:ind w:hanging="0" w:left="0" w:right="0"/>
        <w:jc w:val="left"/>
        <w:rPr/>
      </w:pPr>
      <w:r>
        <w:rPr/>
        <w:t>&lt;a id="ref-burnap-2019"&gt;&lt;/a&gt; Burnap, A., Hauser, J., &amp; Timoshenko, A. (2019). Design and evaluation of product aesthetics: A human-machine hybrid approach. https://www.semanticscholar.org/paper/7a7994f2de74a61cbdeb3c230d1ee343a0d5e783</w:t>
      </w:r>
    </w:p>
    <w:p>
      <w:pPr>
        <w:pStyle w:val="BodyText"/>
        <w:bidi w:val="0"/>
        <w:spacing w:before="0" w:after="0"/>
        <w:ind w:hanging="0" w:left="0" w:right="0"/>
        <w:jc w:val="left"/>
        <w:rPr/>
      </w:pPr>
      <w:r>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odyText"/>
        <w:bidi w:val="0"/>
        <w:spacing w:before="0" w:after="0"/>
        <w:ind w:hanging="0" w:left="0" w:right="0"/>
        <w:jc w:val="left"/>
        <w:rPr/>
      </w:pPr>
      <w:r>
        <w:rPr/>
        <w:t>&lt;a id="ref-figoli-2022"&gt;&lt;/a&gt; Figoli, F. A., Mattioli, F., &amp; Rampino, L. (2022). AI in design idea development: A workshop on creativity and human-AI collaboration. https://dl.designresearchsociety.org/cgi/viewcontent.cgi?article=2915&amp;context=drs-conference-papers</w:t>
      </w:r>
    </w:p>
    <w:p>
      <w:pPr>
        <w:pStyle w:val="BodyText"/>
        <w:bidi w:val="0"/>
        <w:spacing w:before="0" w:after="0"/>
        <w:ind w:hanging="0" w:left="0" w:right="0"/>
        <w:jc w:val="left"/>
        <w:rPr/>
      </w:pPr>
      <w:r>
        <w:rPr/>
        <w:t>&lt;a id="ref-idris-2024"&gt;&lt;/a&gt; Idris, M. Z., Hashim, M. E. A. H. B., Albakry, N., &amp; Septian, N. (2024). Exploring the integration of artificial intelligence in co-design framework for designer. https://ebpj.e-iph.co.uk/index.php/EBProceedings/article/download/6348/3640</w:t>
      </w:r>
    </w:p>
    <w:p>
      <w:pPr>
        <w:pStyle w:val="BodyText"/>
        <w:bidi w:val="0"/>
        <w:spacing w:before="0" w:after="0"/>
        <w:ind w:hanging="0" w:left="0" w:right="0"/>
        <w:jc w:val="left"/>
        <w:rPr/>
      </w:pPr>
      <w:r>
        <w:rPr/>
        <w:t>&lt;a id="ref-kadenhe-2025"&gt;&lt;/a&gt; Kadenhe, N., Al Musleh, M., &amp; Lompot, A. (2025). Human-AI co-design and co-creation: A review of emerging approaches, challenges, and future directions. https://www.semanticscholar.org/paper/61c04706b7af0be5be4b0d15f595d4ab41874d12</w:t>
      </w:r>
    </w:p>
    <w:p>
      <w:pPr>
        <w:pStyle w:val="BodyText"/>
        <w:bidi w:val="0"/>
        <w:spacing w:before="0" w:after="0"/>
        <w:ind w:hanging="0" w:left="0" w:right="0"/>
        <w:jc w:val="left"/>
        <w:rPr/>
      </w:pPr>
      <w:r>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BodyText"/>
        <w:bidi w:val="0"/>
        <w:spacing w:before="0" w:after="0"/>
        <w:ind w:hanging="0" w:left="0" w:right="0"/>
        <w:jc w:val="left"/>
        <w:rPr/>
      </w:pPr>
      <w:r>
        <w:rPr/>
        <w:t>&lt;a id="ref-krahe-2020"&gt;&lt;/a&gt; Krahe, C., Bräunche, A., Jacob, A., Stricker, N., &amp; Lanza, G. (2020). Deep learning for automated product design. https://www.semanticscholar.org/paper/a5b9b4f63805f2b1773bc8214b29e38dbac27975</w:t>
      </w:r>
    </w:p>
    <w:p>
      <w:pPr>
        <w:pStyle w:val="BodyText"/>
        <w:bidi w:val="0"/>
        <w:spacing w:before="0" w:after="0"/>
        <w:ind w:hanging="0" w:left="0" w:right="0"/>
        <w:jc w:val="left"/>
        <w:rPr/>
      </w:pPr>
      <w:r>
        <w:rPr/>
        <w:t>&lt;a id="ref-li-2021"&gt;&lt;/a&gt; Li, X., Demirel, H., Goldstein, M., &amp; Sha, Z. (2021). Exploring generative design thinking for engineering design and design education. https://peer.asee.org/38349.pdf</w:t>
      </w:r>
    </w:p>
    <w:p>
      <w:pPr>
        <w:pStyle w:val="BodyText"/>
        <w:bidi w:val="0"/>
        <w:spacing w:before="0" w:after="0"/>
        <w:ind w:hanging="0" w:left="0" w:right="0"/>
        <w:jc w:val="left"/>
        <w:rPr/>
      </w:pPr>
      <w:r>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BodyText"/>
        <w:bidi w:val="0"/>
        <w:spacing w:before="0" w:after="0"/>
        <w:ind w:hanging="0" w:left="0" w:right="0"/>
        <w:jc w:val="left"/>
        <w:rPr/>
      </w:pPr>
      <w:r>
        <w:rPr/>
        <w:t>&lt;a id="ref-panchal-2019"&gt;&lt;/a&gt; Panchal, J. H., Fuge, M., Liu, Y., Missoum, S., &amp; Tucker, C. S. (2019). Special issue: Machine learning for engineering design. Journal of Mechanical Design. https://www.semanticscholar.org/paper/2c4f7ca9381db7debefe61d04da51f9e8e63d09d</w:t>
      </w:r>
    </w:p>
    <w:p>
      <w:pPr>
        <w:pStyle w:val="BodyText"/>
        <w:bidi w:val="0"/>
        <w:spacing w:before="0" w:after="0"/>
        <w:ind w:hanging="0" w:left="0" w:right="0"/>
        <w:jc w:val="left"/>
        <w:rPr/>
      </w:pPr>
      <w:r>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BodyText"/>
        <w:bidi w:val="0"/>
        <w:spacing w:before="0" w:after="0"/>
        <w:ind w:hanging="0" w:left="0" w:right="0"/>
        <w:jc w:val="left"/>
        <w:rPr/>
      </w:pPr>
      <w:r>
        <w:rPr/>
        <w:t>&lt;a id="ref-rezwana-2022"&gt;&lt;/a&gt; Rezwana, J., &amp; Maher, M. (2022). Understanding user perceptions, collaborative experience, and user engagement in different human-AI interaction designs for co-creative systems. https://arxiv.org/pdf/2204.13217</w:t>
      </w:r>
    </w:p>
    <w:p>
      <w:pPr>
        <w:pStyle w:val="BodyText"/>
        <w:bidi w:val="0"/>
        <w:spacing w:before="0" w:after="0"/>
        <w:ind w:hanging="0" w:left="0" w:right="0"/>
        <w:jc w:val="left"/>
        <w:rPr/>
      </w:pPr>
      <w:r>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odyText"/>
        <w:bidi w:val="0"/>
        <w:spacing w:before="0" w:after="0"/>
        <w:ind w:hanging="0" w:left="0" w:right="0"/>
        <w:jc w:val="left"/>
        <w:rPr/>
      </w:pPr>
      <w:r>
        <w:rPr/>
        <w:t>&lt;a id="ref-verganti-2020"&gt;&lt;/a&gt; Verganti, R., Vendraminelli, L., &amp; Iansiti, M. (2020). Innovation and design in the age of artificial intelligence. https://onlinelibrary.wiley.com/doi/pdfdirect/10.1111/jpim.12523</w:t>
      </w:r>
    </w:p>
    <w:p>
      <w:pPr>
        <w:pStyle w:val="BodyText"/>
        <w:bidi w:val="0"/>
        <w:spacing w:before="0" w:after="0"/>
        <w:ind w:hanging="0" w:left="0" w:right="0"/>
        <w:jc w:val="left"/>
        <w:rPr/>
      </w:pPr>
      <w:r>
        <w:rPr/>
        <w:t>&lt;a id="ref-viros-i-martin-2021"&gt;&lt;/a&gt; Virós-i-Martin, A., &amp; Selva, D. (2021). A framework to study human-AI collaborative design space exploration. https://www.semanticscholar.org/paper/716be148371af443169531b0856ae07dfe400869</w:t>
      </w:r>
    </w:p>
    <w:p>
      <w:pPr>
        <w:pStyle w:val="BodyText"/>
        <w:bidi w:val="0"/>
        <w:spacing w:before="0" w:after="0"/>
        <w:ind w:hanging="0" w:left="0" w:right="0"/>
        <w:jc w:val="left"/>
        <w:rPr/>
      </w:pPr>
      <w:r>
        <w:rPr/>
        <w:t>&lt;a id="ref-wang-2024"&gt;&lt;/a&gt; Wang, X., &amp; Hu, B. (2024). Machine learning algorithms for improved product design user experience. https://www.semanticscholar.org/paper/717e7ad25dcafec12f01b6732773bdf9c5a49661</w:t>
      </w:r>
    </w:p>
    <w:p>
      <w:pPr>
        <w:pStyle w:val="BodyText"/>
        <w:bidi w:val="0"/>
        <w:spacing w:before="0" w:after="0"/>
        <w:ind w:hanging="0" w:left="0" w:right="0"/>
        <w:jc w:val="left"/>
        <w:rPr/>
      </w:pPr>
      <w:r>
        <w:rPr/>
        <w:t>&lt;a id="ref-yuksel-2023"&gt;&lt;/a&gt; Yüksel, N., Börklü, H. R., Sezer, H. K., &amp; Canyurt, O. (2023). Review of artificial intelligence applications in engineering design perspective. https://www.semanticscholar.org/paper/cd38b58edf6690459767097aca745a3806824236</w:t>
      </w:r>
    </w:p>
    <w:p>
      <w:pPr>
        <w:pStyle w:val="BodyText"/>
        <w:bidi w:val="0"/>
        <w:spacing w:before="0" w:after="0"/>
        <w:ind w:hanging="0" w:left="0" w:right="0"/>
        <w:jc w:val="left"/>
        <w:rPr/>
      </w:pPr>
      <w:r>
        <w:rPr/>
        <w:t>&lt;a id="ref-akasaka-2022"&gt;&lt;/a&gt; Akasaka, M., Veeckman, C., Georges, A., Schuurman, D., &amp; Coorevits, L. (2022). A framework for configuring participation in living labs. https://www.semanticscholar.org/paper/305d55af5fda06b4d1b33e7d29c1f16d1b7ea488</w:t>
      </w:r>
    </w:p>
    <w:p>
      <w:pPr>
        <w:pStyle w:val="BodyText"/>
        <w:bidi w:val="0"/>
        <w:spacing w:before="0" w:after="0"/>
        <w:ind w:hanging="0" w:left="0" w:right="0"/>
        <w:jc w:val="left"/>
        <w:rPr/>
      </w:pPr>
      <w:r>
        <w:rPr/>
        <w:t>&lt;a id="ref-akyol-2021"&gt;&lt;/a&gt; Akyol, P., Barker, T., Hall, R., Morrissey, K., McCarthy, J., &amp; Mackley, K. L. (2021). DiaFit: Designing customizable wearables for Type 1 diabetes monitoring. https://www.semanticscholar.org/paper/ea18361f7564fb19db367899adb6295a07bfa05c</w:t>
      </w:r>
    </w:p>
    <w:p>
      <w:pPr>
        <w:pStyle w:val="BodyText"/>
        <w:bidi w:val="0"/>
        <w:spacing w:before="0" w:after="0"/>
        <w:ind w:hanging="0" w:left="0" w:right="0"/>
        <w:jc w:val="left"/>
        <w:rPr/>
      </w:pPr>
      <w:r>
        <w:rPr/>
        <w:t>&lt;a id="ref-cole-2011"&gt;&lt;/a&gt; Cole, E. (2011). Patient-centered design: Interface personalization for individuals with brain injury.</w:t>
      </w:r>
    </w:p>
    <w:p>
      <w:pPr>
        <w:pStyle w:val="BodyText"/>
        <w:bidi w:val="0"/>
        <w:spacing w:before="0" w:after="0"/>
        <w:ind w:hanging="0" w:left="0" w:right="0"/>
        <w:jc w:val="left"/>
        <w:rPr/>
      </w:pPr>
      <w:r>
        <w:rPr/>
        <w:t>&lt;a id="ref-costabile-2007"&gt;&lt;/a&gt; Costabile, M. F., Fogli, D., Lanzilotti, R., Marcante, A., Mussio, P., Provenza, L. P., &amp; Piccinno, A. (2007). Meta-design to face co-evolution and communication gaps between users and designers.</w:t>
      </w:r>
    </w:p>
    <w:p>
      <w:pPr>
        <w:pStyle w:val="BodyText"/>
        <w:bidi w:val="0"/>
        <w:spacing w:before="0" w:after="0"/>
        <w:ind w:hanging="0" w:left="0" w:right="0"/>
        <w:jc w:val="left"/>
        <w:rPr/>
      </w:pPr>
      <w:r>
        <w:rPr/>
        <w:t>&lt;a id="ref-dechev-2023"&gt;&lt;/a&gt; Dechev, N., Penner, A., Barlow, I., Vukovic, G., &amp; Lalji, M. (2023). Accessible prosthetic arms: Victoria Hand Project and the impact of 3D printing.</w:t>
      </w:r>
    </w:p>
    <w:p>
      <w:pPr>
        <w:pStyle w:val="BodyText"/>
        <w:bidi w:val="0"/>
        <w:spacing w:before="0" w:after="0"/>
        <w:ind w:hanging="0" w:left="0" w:right="0"/>
        <w:jc w:val="left"/>
        <w:rPr/>
      </w:pPr>
      <w:r>
        <w:rPr/>
        <w:t>&lt;a id="ref-dexter-2013"&gt;&lt;/a&gt; Dexter, M., Crooks, E., Davies, P., &amp; Simm, W. (2013). Open design and cystic fibrosis: Enabling participation in the design process.</w:t>
      </w:r>
    </w:p>
    <w:p>
      <w:pPr>
        <w:pStyle w:val="BodyText"/>
        <w:bidi w:val="0"/>
        <w:spacing w:before="0" w:after="0"/>
        <w:ind w:hanging="0" w:left="0" w:right="0"/>
        <w:jc w:val="left"/>
        <w:rPr/>
      </w:pPr>
      <w:r>
        <w:rPr/>
        <w:t>&lt;a id="ref-fischer-2004"&gt;&lt;/a&gt; Fischer, G., Giaccardi, E., Ye, Y., Sutcliffe, A. G., &amp; Mehandjiev, N. (2004). Meta-design.</w:t>
      </w:r>
    </w:p>
    <w:p>
      <w:pPr>
        <w:pStyle w:val="BodyText"/>
        <w:bidi w:val="0"/>
        <w:spacing w:before="0" w:after="0"/>
        <w:ind w:hanging="0" w:left="0" w:right="0"/>
        <w:jc w:val="left"/>
        <w:rPr/>
      </w:pPr>
      <w:r>
        <w:rPr/>
        <w:t>&lt;a id="ref-fischer-2017"&gt;&lt;/a&gt; Fischer, G., Fogli, D., &amp; Piccinno, A. (2017). Revisiting and broadening the meta-design framework for end-user development.</w:t>
      </w:r>
    </w:p>
    <w:p>
      <w:pPr>
        <w:pStyle w:val="BodyText"/>
        <w:bidi w:val="0"/>
        <w:spacing w:before="0" w:after="0"/>
        <w:ind w:hanging="0" w:left="0" w:right="0"/>
        <w:jc w:val="left"/>
        <w:rPr/>
      </w:pPr>
      <w:r>
        <w:rPr/>
        <w:t>&lt;a id="ref-frangos-2016"&gt;&lt;/a&gt; Frangos, P., Mierdel, S., &amp; Koirala, S. (2016). Democratising design in scientific innovation: Application of an open value network to open source hardware design.</w:t>
      </w:r>
    </w:p>
    <w:p>
      <w:pPr>
        <w:pStyle w:val="BodyText"/>
        <w:bidi w:val="0"/>
        <w:spacing w:before="0" w:after="0"/>
        <w:ind w:hanging="0" w:left="0" w:right="0"/>
        <w:jc w:val="left"/>
        <w:rPr/>
      </w:pPr>
      <w:r>
        <w:rPr/>
        <w:t>&lt;a id="ref-franke-2002"&gt;&lt;/a&gt; Franke, N., &amp; von Hippel, E. (2002). Satisfying heterogeneous user needs via innovation toolkits: The case of Apache security software.</w:t>
      </w:r>
    </w:p>
    <w:p>
      <w:pPr>
        <w:pStyle w:val="BodyText"/>
        <w:bidi w:val="0"/>
        <w:spacing w:before="0" w:after="0"/>
        <w:ind w:hanging="0" w:left="0" w:right="0"/>
        <w:jc w:val="left"/>
        <w:rPr/>
      </w:pPr>
      <w:r>
        <w:rPr/>
        <w:t>&lt;a id="ref-govender-2020"&gt;&lt;/a&gt; Govender, R., Abrahmsén-Alami, S., Larsson, A., Borde, A., Liljeblad, A., &amp; Folestad, S. (2020). Independent tailoring of dose and drug release via a modularized product design concept for mass customization. Pharmaceutics.</w:t>
      </w:r>
    </w:p>
    <w:p>
      <w:pPr>
        <w:pStyle w:val="BodyText"/>
        <w:bidi w:val="0"/>
        <w:spacing w:before="0" w:after="0"/>
        <w:ind w:hanging="0" w:left="0" w:right="0"/>
        <w:jc w:val="left"/>
        <w:rPr/>
      </w:pPr>
      <w:r>
        <w:rPr/>
        <w:t>&lt;a id="ref-howard-2022"&gt;&lt;/a&gt; Howard, D., Davies, L., Dwyer, A., &amp; Williams, J. (2022). Assessing the use of co-design to produce bespoke assistive technology solutions within a current healthcare service: A service evaluation.</w:t>
      </w:r>
    </w:p>
    <w:p>
      <w:pPr>
        <w:pStyle w:val="BodyText"/>
        <w:bidi w:val="0"/>
        <w:spacing w:before="0" w:after="0"/>
        <w:ind w:hanging="0" w:left="0" w:right="0"/>
        <w:jc w:val="left"/>
        <w:rPr/>
      </w:pPr>
      <w:r>
        <w:rPr/>
        <w:t>&lt;a id="ref-hippel-2002"&gt;&lt;/a&gt; Hippel, E. von, &amp; Katz, R. (2002). Shifting innovation to users via toolkits. Management Science, 48(7).</w:t>
      </w:r>
    </w:p>
    <w:p>
      <w:pPr>
        <w:pStyle w:val="BodyText"/>
        <w:bidi w:val="0"/>
        <w:spacing w:before="0" w:after="0"/>
        <w:ind w:hanging="0" w:left="0" w:right="0"/>
        <w:jc w:val="left"/>
        <w:rPr/>
      </w:pPr>
      <w:r>
        <w:rPr/>
        <w:t>&lt;a id="ref-hussaini-2023"&gt;&lt;/a&gt; Hussaini, A., Kyberd, P., Mulindwa, B., Ssekitoleko, R., Keeble, W., Kenney, L., &amp; Howard, D. (2023). 3D printing in LMICs: Functional design for upper limb prosthetics in Uganda.</w:t>
      </w:r>
    </w:p>
    <w:p>
      <w:pPr>
        <w:pStyle w:val="BodyText"/>
        <w:bidi w:val="0"/>
        <w:spacing w:before="0" w:after="0"/>
        <w:ind w:hanging="0" w:left="0" w:right="0"/>
        <w:jc w:val="left"/>
        <w:rPr/>
      </w:pPr>
      <w:r>
        <w:rPr/>
        <w:t>&lt;a id="ref-kerr-2024"&gt;&lt;/a&gt; Kerr, A., Del Din, S., Clarkson, P. J., &amp; Rochester, L. (2024). A participatory model for cocreating accessible rehabilitation technology for stroke survivors: User-centered design approach.</w:t>
      </w:r>
    </w:p>
    <w:p>
      <w:pPr>
        <w:pStyle w:val="BodyText"/>
        <w:bidi w:val="0"/>
        <w:spacing w:before="0" w:after="0"/>
        <w:ind w:hanging="0" w:left="0" w:right="0"/>
        <w:jc w:val="left"/>
        <w:rPr/>
      </w:pPr>
      <w:r>
        <w:rPr/>
        <w:t>&lt;a id="ref-kuhl-2020"&gt;&lt;/a&gt; Kuhl, M., Lutz, J., Krause, D., &amp; Vielhaber, M. (2020). Design of personalized devices: The tradeoff between individual value and personalization workload. Applied Sciences.</w:t>
      </w:r>
    </w:p>
    <w:p>
      <w:pPr>
        <w:pStyle w:val="BodyText"/>
        <w:bidi w:val="0"/>
        <w:spacing w:before="0" w:after="0"/>
        <w:ind w:hanging="0" w:left="0" w:right="0"/>
        <w:jc w:val="left"/>
        <w:rPr/>
      </w:pPr>
      <w:r>
        <w:rPr/>
        <w:t>&lt;a id="ref-mikoajewski-2023"&gt;&lt;/a&gt; Mikołajewski, D., Rojek, I., Kotlarz, P., Dorożyński, J., &amp; Kopowski, J. (2023). Personalization of the 3D-printed upper limb exoskeleton design: Mechanical and IT aspects. Applied Sciences.</w:t>
      </w:r>
    </w:p>
    <w:p>
      <w:pPr>
        <w:pStyle w:val="BodyText"/>
        <w:bidi w:val="0"/>
        <w:spacing w:before="0" w:after="0"/>
        <w:ind w:hanging="0" w:left="0" w:right="0"/>
        <w:jc w:val="left"/>
        <w:rPr/>
      </w:pPr>
      <w:r>
        <w:rPr/>
        <w:t>&lt;a id="ref-peters-2023"&gt;&lt;/a&gt; Peters, C., &amp; Richter, P. (2023). Individualizing patient pathways through modularization: Design and evaluation of healthcare-specific modularization parameters.</w:t>
      </w:r>
    </w:p>
    <w:p>
      <w:pPr>
        <w:pStyle w:val="BodyText"/>
        <w:bidi w:val="0"/>
        <w:spacing w:before="0" w:after="0"/>
        <w:ind w:hanging="0" w:left="0" w:right="0"/>
        <w:jc w:val="left"/>
        <w:rPr/>
      </w:pPr>
      <w:r>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BodyText"/>
        <w:bidi w:val="0"/>
        <w:spacing w:before="0" w:after="0"/>
        <w:ind w:hanging="0" w:left="0" w:right="0"/>
        <w:jc w:val="left"/>
        <w:rPr/>
      </w:pPr>
      <w:r>
        <w:rPr/>
        <w:t>&lt;a id="ref-sims-2017"&gt;&lt;/a&gt; Sims, T., Cranny, A., Metcalf, C., Chappell, P., &amp; Donovan-Hall, M. (2017). Participatory design of pediatric upper limb prostheses: Qualitative methods and prototyping.</w:t>
      </w:r>
    </w:p>
    <w:p>
      <w:pPr>
        <w:pStyle w:val="BodyText"/>
        <w:bidi w:val="0"/>
        <w:spacing w:before="0" w:after="0"/>
        <w:ind w:hanging="0" w:left="0" w:right="0"/>
        <w:jc w:val="left"/>
        <w:rPr/>
      </w:pPr>
      <w:r>
        <w:rPr/>
        <w:t>&lt;a id="ref-thorsen-2023"&gt;&lt;/a&gt; Thorsen, R., Hansen, A. H., &amp; Nilsen, E. R. (2023). From patient to maker: A workflow including people with cerebral palsy in co-creating assistive devices using 3D printing technologies.</w:t>
      </w:r>
    </w:p>
    <w:p>
      <w:pPr>
        <w:pStyle w:val="BodyText"/>
        <w:bidi w:val="0"/>
        <w:spacing w:before="0" w:after="0"/>
        <w:ind w:hanging="0" w:left="0" w:right="0"/>
        <w:jc w:val="left"/>
        <w:rPr/>
      </w:pPr>
      <w:r>
        <w:rPr/>
        <w:t>&lt;a id="ref-zhu-2022"&gt;&lt;/a&gt; Zhu, Z., &amp; Zhong, R. Y. (2022). A digital twin enabled wearable device for customized healthcare.</w:t>
      </w:r>
    </w:p>
    <w:p>
      <w:pPr>
        <w:pStyle w:val="BodyText"/>
        <w:bidi w:val="0"/>
        <w:spacing w:before="0" w:after="0"/>
        <w:ind w:hanging="0" w:left="0" w:right="0"/>
        <w:jc w:val="left"/>
        <w:rPr/>
      </w:pPr>
      <w:r>
        <w:rPr/>
        <w:t>&lt;a id="ref-alluhydan-2023"&gt;&lt;/a&gt; Alluhydan, A., Alsaadi, S., Almutairi, A., &amp; Alharbi, A. (2023). Functionality and comfort design of lower-limb prosthetics: A review.</w:t>
      </w:r>
    </w:p>
    <w:p>
      <w:pPr>
        <w:pStyle w:val="BodyText"/>
        <w:bidi w:val="0"/>
        <w:spacing w:before="0" w:after="0"/>
        <w:ind w:hanging="0" w:left="0" w:right="0"/>
        <w:jc w:val="left"/>
        <w:rPr/>
      </w:pPr>
      <w:r>
        <w:rPr/>
        <w:t>&lt;a id="ref-anderson-2024"&gt;&lt;/a&gt; Anderson, C. B., Stephens, A. R., Scully, A., Pasquina, P. F., &amp; Highsmith, M. J. (2024). A narrative review of prosthesis design decision making after lower-limb amputation for developing shared decision-making resources.</w:t>
      </w:r>
    </w:p>
    <w:p>
      <w:pPr>
        <w:pStyle w:val="BodyText"/>
        <w:bidi w:val="0"/>
        <w:spacing w:before="0" w:after="0"/>
        <w:ind w:hanging="0" w:left="0" w:right="0"/>
        <w:jc w:val="left"/>
        <w:rPr/>
      </w:pPr>
      <w:r>
        <w:rPr/>
        <w:t>&lt;a id="ref-andrysek-2010"&gt;&lt;/a&gt; Andrysek, J. (2010). Lower-limb prosthetic technologies in the developing world: A review of literature from 1994-2010.</w:t>
      </w:r>
    </w:p>
    <w:p>
      <w:pPr>
        <w:pStyle w:val="BodyText"/>
        <w:bidi w:val="0"/>
        <w:spacing w:before="0" w:after="0"/>
        <w:ind w:hanging="0" w:left="0" w:right="0"/>
        <w:jc w:val="left"/>
        <w:rPr/>
      </w:pPr>
      <w:r>
        <w:rPr/>
        <w:t>&lt;a id="ref-baldock-2023"&gt;&lt;/a&gt; Baldock, C., Greaves, M., Chockalingam, N., &amp; Kark, L. (2023). Adjustable prosthetic sockets: A systematic review of industrial and research design characteristics and their justifications.</w:t>
      </w:r>
    </w:p>
    <w:p>
      <w:pPr>
        <w:pStyle w:val="BodyText"/>
        <w:bidi w:val="0"/>
        <w:spacing w:before="0" w:after="0"/>
        <w:ind w:hanging="0" w:left="0" w:right="0"/>
        <w:jc w:val="left"/>
        <w:rPr/>
      </w:pPr>
      <w:r>
        <w:rPr/>
        <w:t>&lt;a id="ref-baumann-2023"&gt;&lt;/a&gt; Baumann, C., &amp; Maria, P. (2023). Improving access to prosthetic limbs in Germany: An explorative review.</w:t>
      </w:r>
    </w:p>
    <w:p>
      <w:pPr>
        <w:pStyle w:val="BodyText"/>
        <w:bidi w:val="0"/>
        <w:spacing w:before="0" w:after="0"/>
        <w:ind w:hanging="0" w:left="0" w:right="0"/>
        <w:jc w:val="left"/>
        <w:rPr/>
      </w:pPr>
      <w:r>
        <w:rPr/>
        <w:t>&lt;a id="ref-chadwell-2020"&gt;&lt;/a&gt; Chadwell, A., Kenney, L., Thies, S., Galpin, A., &amp; Head, J. (2020). Technology for monitoring everyday prosthesis use: A systematic review.</w:t>
      </w:r>
    </w:p>
    <w:p>
      <w:pPr>
        <w:pStyle w:val="BodyText"/>
        <w:bidi w:val="0"/>
        <w:spacing w:before="0" w:after="0"/>
        <w:ind w:hanging="0" w:left="0" w:right="0"/>
        <w:jc w:val="left"/>
        <w:rPr/>
      </w:pPr>
      <w:r>
        <w:rPr/>
        <w:t>&lt;a id="ref-cordella-2016"&gt;&lt;/a&gt; Cordella, F., Ciancio, A. L., Sacchetti, R., Davalli, A., Cutti, A. G., Guglielmelli, E., &amp; Zollo, L. (2016). Literature review on needs of upper limb prosthesis users.</w:t>
      </w:r>
    </w:p>
    <w:p>
      <w:pPr>
        <w:pStyle w:val="BodyText"/>
        <w:bidi w:val="0"/>
        <w:spacing w:before="0" w:after="0"/>
        <w:ind w:hanging="0" w:left="0" w:right="0"/>
        <w:jc w:val="left"/>
        <w:rPr/>
      </w:pPr>
      <w:r>
        <w:rPr/>
        <w:t>&lt;a id="ref-dominguez-ruiz-2023"&gt;&lt;/a&gt; Domínguez-Ruiz, M., Ráez-Ballesteros, E., &amp; Castillo-Castañeda, E. (2023). Low limb prostheses and complex human prosthetic interaction: A systematic literature review.</w:t>
      </w:r>
    </w:p>
    <w:p>
      <w:pPr>
        <w:pStyle w:val="BodyText"/>
        <w:bidi w:val="0"/>
        <w:spacing w:before="0" w:after="0"/>
        <w:ind w:hanging="0" w:left="0" w:right="0"/>
        <w:jc w:val="left"/>
        <w:rPr/>
      </w:pPr>
      <w:r>
        <w:rPr/>
        <w:t>&lt;a id="ref-ghillebert-2019"&gt;&lt;/a&gt; Ghillebert, J., Schoukens, J., &amp; Vanderborght, B. (2019). Guidelines and recommendations to investigate the efficacy of a lower-limb prosthetic device: A systematic review.</w:t>
      </w:r>
    </w:p>
    <w:p>
      <w:pPr>
        <w:pStyle w:val="BodyText"/>
        <w:bidi w:val="0"/>
        <w:spacing w:before="0" w:after="0"/>
        <w:ind w:hanging="0" w:left="0" w:right="0"/>
        <w:jc w:val="left"/>
        <w:rPr/>
      </w:pPr>
      <w:r>
        <w:rPr/>
        <w:t>&lt;a id="ref-hafner-2016"&gt;&lt;/a&gt; Hafner, B. J., &amp; Sawers, A. B. (2016). Issues affecting the level of prosthetics research evidence: Secondary analysis of a systematic review.</w:t>
      </w:r>
    </w:p>
    <w:p>
      <w:pPr>
        <w:pStyle w:val="BodyText"/>
        <w:bidi w:val="0"/>
        <w:spacing w:before="0" w:after="0"/>
        <w:ind w:hanging="0" w:left="0" w:right="0"/>
        <w:jc w:val="left"/>
        <w:rPr/>
      </w:pPr>
      <w:r>
        <w:rPr/>
        <w:t>&lt;a id="ref-manz-2022"&gt;&lt;/a&gt; Manz, S. M., Menges, M. M., Schaffernicht, E., Mattes, K., &amp; Kannenberg, A. (2022). A review of user needs to inform the development of lower-limb prostheses.</w:t>
      </w:r>
    </w:p>
    <w:p>
      <w:pPr>
        <w:pStyle w:val="BodyText"/>
        <w:bidi w:val="0"/>
        <w:spacing w:before="0" w:after="0"/>
        <w:ind w:hanging="0" w:left="0" w:right="0"/>
        <w:jc w:val="left"/>
        <w:rPr/>
      </w:pPr>
      <w:r>
        <w:rPr/>
        <w:t>&lt;a id="ref-marinelli-2022"&gt;&lt;/a&gt; Marinelli, M., Putrino, D., Stella, F., &amp; Guglielmelli, E. (2022). Active upper limb prostheses: A review on current state and upcoming breakthroughs.</w:t>
      </w:r>
    </w:p>
    <w:p>
      <w:pPr>
        <w:pStyle w:val="BodyText"/>
        <w:bidi w:val="0"/>
        <w:spacing w:before="0" w:after="0"/>
        <w:ind w:hanging="0" w:left="0" w:right="0"/>
        <w:jc w:val="left"/>
        <w:rPr/>
      </w:pPr>
      <w:r>
        <w:rPr/>
        <w:t>&lt;a id="ref-richardson-2017"&gt;&lt;/a&gt; Richardson, C., &amp; Dillon, M. P. (2017). User experience of transtibial prosthetic liners: A systematic review.</w:t>
      </w:r>
    </w:p>
    <w:p>
      <w:pPr>
        <w:pStyle w:val="BodyText"/>
        <w:bidi w:val="0"/>
        <w:spacing w:before="0" w:after="0"/>
        <w:ind w:hanging="0" w:left="0" w:right="0"/>
        <w:jc w:val="left"/>
        <w:rPr/>
      </w:pPr>
      <w:r>
        <w:rPr/>
        <w:t>&lt;a id="ref-samuelsson-2012"&gt;&lt;/a&gt; Samuelsson, K. A. M., Töytäri, O., Salminen, A.-L., &amp; Brandt, Å. (2012). Effects of lower limb prosthesis on activity, participation, and quality of life: A systematic review.</w:t>
      </w:r>
    </w:p>
    <w:p>
      <w:pPr>
        <w:pStyle w:val="BodyText"/>
        <w:bidi w:val="0"/>
        <w:spacing w:before="0" w:after="0"/>
        <w:ind w:hanging="0" w:left="0" w:right="0"/>
        <w:jc w:val="left"/>
        <w:rPr/>
      </w:pPr>
      <w:r>
        <w:rPr/>
        <w:t>&lt;a id="ref-walker-2019"&gt;&lt;/a&gt; Walker, M., Paras, A., Boonstra, N., &amp; Murrup-Stewart, C. (2019). Towards including end-users in the design of prosthetic hands: Ethical analysis of a survey of Australians with upper-limb difference.</w:t>
      </w:r>
    </w:p>
    <w:p>
      <w:pPr>
        <w:pStyle w:val="BodyText"/>
        <w:bidi w:val="0"/>
        <w:spacing w:before="0" w:after="0"/>
        <w:ind w:hanging="0" w:left="0" w:right="0"/>
        <w:jc w:val="left"/>
        <w:rPr/>
      </w:pPr>
      <w:r>
        <w:rPr/>
        <w:t>&lt;a id="ref-windrich-2016"&gt;&lt;/a&gt; Windrich, M., Grimmer, M., Christ, O., Rinderknecht, S., &amp; Beckerle, P. (2016). Active lower limb prosthetics: A systematic review of design issues and solutions.</w:t>
      </w:r>
    </w:p>
    <w:p>
      <w:pPr>
        <w:pStyle w:val="BodyText"/>
        <w:bidi w:val="0"/>
        <w:spacing w:before="0" w:after="0"/>
        <w:ind w:hanging="0" w:left="0" w:right="0"/>
        <w:jc w:val="left"/>
        <w:rPr/>
      </w:pPr>
      <w:r>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odyText"/>
        <w:bidi w:val="0"/>
        <w:spacing w:before="0" w:after="0"/>
        <w:ind w:hanging="0" w:left="0" w:right="0"/>
        <w:jc w:val="left"/>
        <w:rPr/>
      </w:pPr>
      <w:r>
        <w:rPr/>
        <w:t>&lt;a id="ref-chatzioglou-2024"&gt;&lt;/a&gt; Chatzioglou, G. N., Pinar, Y., &amp; Govsa, F. (2024). Biometric analysis hand parameters in young adults for prosthetic hand and ergonomic product applications. Anatomy &amp; Cell Biology, 57, 172-182. https://doi.org/10.5115/acb.23.310</w:t>
      </w:r>
    </w:p>
    <w:p>
      <w:pPr>
        <w:pStyle w:val="BodyText"/>
        <w:bidi w:val="0"/>
        <w:spacing w:before="0" w:after="0"/>
        <w:ind w:hanging="0" w:left="0" w:right="0"/>
        <w:jc w:val="left"/>
        <w:rPr/>
      </w:pPr>
      <w:r>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odyText"/>
        <w:bidi w:val="0"/>
        <w:spacing w:before="0" w:after="0"/>
        <w:ind w:hanging="0" w:left="0" w:right="0"/>
        <w:jc w:val="left"/>
        <w:rPr/>
      </w:pPr>
      <w:r>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odyText"/>
        <w:bidi w:val="0"/>
        <w:spacing w:before="0" w:after="0"/>
        <w:ind w:hanging="0" w:left="0" w:right="0"/>
        <w:jc w:val="left"/>
        <w:rPr/>
      </w:pPr>
      <w:r>
        <w:rPr/>
        <w:t>&lt;a id="ref-nag-2003"&gt;&lt;/a&gt; Nag, A., Nag, P. K., &amp; Desai, H. (2003). Hand anthropometry of Indian women. Indian Journal of Medical Research, 117, 260-269.</w:t>
      </w:r>
    </w:p>
    <w:p>
      <w:pPr>
        <w:pStyle w:val="BodyText"/>
        <w:bidi w:val="0"/>
        <w:spacing w:before="0" w:after="0"/>
        <w:ind w:hanging="0" w:left="0" w:right="0"/>
        <w:jc w:val="left"/>
        <w:rPr/>
      </w:pPr>
      <w:r>
        <w:rPr/>
        <w:t>&lt;a id="ref-rodriguez-vega-2024"&gt;&lt;/a&gt; Rodríguez-Vega, G., &amp; Rodríguez-Vega, D. A. (2024). Normative data for the anthropometric hand dimensions of the Mexican population. European Public &amp; Social Innovation Review, 9, 1-15. https://doi.org/10.31637/epsir-2024-932</w:t>
      </w:r>
    </w:p>
    <w:p>
      <w:pPr>
        <w:pStyle w:val="BodyText"/>
        <w:bidi w:val="0"/>
        <w:spacing w:before="0" w:after="0"/>
        <w:ind w:hanging="0" w:left="0" w:right="0"/>
        <w:jc w:val="left"/>
        <w:rPr/>
      </w:pPr>
      <w:r>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odyText"/>
        <w:bidi w:val="0"/>
        <w:spacing w:before="0" w:after="0"/>
        <w:ind w:hanging="0" w:left="0" w:right="0"/>
        <w:jc w:val="left"/>
        <w:rPr/>
      </w:pPr>
      <w:r>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BodyText"/>
        <w:bidi w:val="0"/>
        <w:spacing w:before="0" w:after="0"/>
        <w:ind w:hanging="0" w:left="0" w:right="0"/>
        <w:jc w:val="left"/>
        <w:rPr/>
      </w:pPr>
      <w:r>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BodyText"/>
        <w:bidi w:val="0"/>
        <w:spacing w:before="0" w:after="0"/>
        <w:ind w:hanging="0" w:left="0" w:right="0"/>
        <w:jc w:val="left"/>
        <w:rPr/>
      </w:pPr>
      <w:r>
        <w:rPr/>
        <w:t>&lt;a id="ref-molenbroek-1998"&gt;&lt;/a&gt; Molenbroek, J. F. M. (1998). Geron study on Dutch elderly anthropometry. DINED database. Delft University of Technology. https://dined.io.tudelft.nl</w:t>
      </w:r>
    </w:p>
    <w:p>
      <w:pPr>
        <w:pStyle w:val="BodyText"/>
        <w:bidi w:val="0"/>
        <w:spacing w:before="0" w:after="0"/>
        <w:ind w:hanging="0" w:left="0" w:right="0"/>
        <w:jc w:val="left"/>
        <w:rPr/>
      </w:pPr>
      <w:r>
        <w:rPr/>
        <w:t>&lt;a id="ref-molenbroek-2003"&gt;&lt;/a&gt; Molenbroek, J. F. M., Kroon-Ramaekers, Y. M. T., &amp; Snijders, C. J. (2003). Revision of the Dutch standard for furniture in schools. Ergonomics, 46(5), 491-498. https://doi.org/10.1080/0014013031000085635</w:t>
      </w:r>
    </w:p>
    <w:p>
      <w:pPr>
        <w:pStyle w:val="BodyText"/>
        <w:bidi w:val="0"/>
        <w:spacing w:before="0" w:after="0"/>
        <w:ind w:hanging="0" w:left="0" w:right="0"/>
        <w:jc w:val="left"/>
        <w:rPr/>
      </w:pPr>
      <w:r>
        <w:rPr/>
        <w:t>&lt;a id="ref-steenbekkers-1998"&gt;&lt;/a&gt; Steenbekkers, L. P. A., &amp; van Beijsterveldt, C. E. M. (Eds.). (1998). Design-relevant characteristics of ageing users. Delft University Press.</w:t>
      </w:r>
    </w:p>
    <w:p>
      <w:pPr>
        <w:pStyle w:val="BodyText"/>
        <w:bidi w:val="0"/>
        <w:spacing w:before="0" w:after="0"/>
        <w:ind w:hanging="0" w:left="0" w:right="0"/>
        <w:jc w:val="left"/>
        <w:rPr/>
      </w:pPr>
      <w:r>
        <w:rPr/>
        <w:t>&lt;a id="ref-cross-1982"&gt;&lt;/a&gt; Cross, N. (1982). Designerly ways of knowing. Design Studies, 3(4), 221-227. https://doi.org/10.1016/0142-694X(82)90040-0</w:t>
      </w:r>
    </w:p>
    <w:p>
      <w:pPr>
        <w:pStyle w:val="BodyText"/>
        <w:bidi w:val="0"/>
        <w:spacing w:before="0" w:after="0"/>
        <w:ind w:hanging="0" w:left="0" w:right="0"/>
        <w:jc w:val="left"/>
        <w:rPr/>
      </w:pPr>
      <w:r>
        <w:rPr/>
        <w:t>&lt;a id="ref-design-council-2020"&gt;&lt;/a&gt; Design Council. (2020). Framework for innovation. https://www.designcouncil.org.uk/our-resources/framework-for-innovation/</w:t>
      </w:r>
    </w:p>
    <w:p>
      <w:pPr>
        <w:pStyle w:val="BodyText"/>
        <w:bidi w:val="0"/>
        <w:spacing w:before="0" w:after="0"/>
        <w:ind w:hanging="0" w:left="0" w:right="0"/>
        <w:jc w:val="left"/>
        <w:rPr/>
      </w:pPr>
      <w:r>
        <w:rPr/>
        <w:t>&lt;a id="ref-frayling-1994"&gt;&lt;/a&gt; Frayling, C. (1994). Research in art and design (Royal College of Art Research Papers, Vol. 1, No. 1, 1993/4). Royal College of Art.</w:t>
      </w:r>
    </w:p>
    <w:p>
      <w:pPr>
        <w:pStyle w:val="BodyText"/>
        <w:bidi w:val="0"/>
        <w:spacing w:before="0" w:after="0"/>
        <w:ind w:hanging="0" w:left="0" w:right="0"/>
        <w:jc w:val="left"/>
        <w:rPr/>
      </w:pPr>
      <w:r>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BodyText"/>
        <w:bidi w:val="0"/>
        <w:spacing w:before="0" w:after="0"/>
        <w:ind w:hanging="0" w:left="0" w:right="0"/>
        <w:jc w:val="left"/>
        <w:rPr/>
      </w:pPr>
      <w:r>
        <w:rPr/>
        <w:t>&lt;a id="ref-biddiss-2007"&gt;&lt;/a&gt; Biddiss, E., Beaton, D., &amp; Chau, T. (2007). Consumer design priorities for upper limb prosthetics. Disability and Rehabilitation: Assistive Technology, 2(6), 346-357. https://doi.org/10.1080/17483100701714733</w:t>
      </w:r>
    </w:p>
    <w:p>
      <w:pPr>
        <w:pStyle w:val="BodyText"/>
        <w:bidi w:val="0"/>
        <w:spacing w:before="0" w:after="0"/>
        <w:ind w:hanging="0" w:left="0" w:right="0"/>
        <w:jc w:val="left"/>
        <w:rPr/>
      </w:pPr>
      <w:r>
        <w:rPr/>
        <w:t>&lt;a id="ref-brack-2021"&gt;&lt;/a&gt; Brack, T., &amp; Amalu, E. H. (2021). A review of technology, materials and R&amp;D challenges of upper limb prosthesis for improved user suitability. Journal of Orthopaedics, 24, 88-96. https://doi.org/10.1016/j.jor.2021.03.011</w:t>
      </w:r>
    </w:p>
    <w:p>
      <w:pPr>
        <w:pStyle w:val="BodyText"/>
        <w:bidi w:val="0"/>
        <w:spacing w:before="0" w:after="0"/>
        <w:ind w:hanging="0" w:left="0" w:right="0"/>
        <w:jc w:val="left"/>
        <w:rPr/>
      </w:pPr>
      <w:r>
        <w:rPr/>
        <w:t>&lt;a id="ref-guo-2025"&gt;&lt;/a&gt; Guo, M. (2025). Human-centered design strategies for prosthetics based on user needs. Interdisciplinary Humanities and Communication Studies, 1(1), 39-48.</w:t>
      </w:r>
    </w:p>
    <w:p>
      <w:pPr>
        <w:pStyle w:val="BodyText"/>
        <w:bidi w:val="0"/>
        <w:spacing w:before="0" w:after="0"/>
        <w:ind w:hanging="0" w:left="0" w:right="0"/>
        <w:jc w:val="left"/>
        <w:rPr/>
      </w:pPr>
      <w:r>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odyText"/>
        <w:bidi w:val="0"/>
        <w:spacing w:before="0" w:after="0"/>
        <w:ind w:hanging="0" w:left="0" w:right="0"/>
        <w:jc w:val="left"/>
        <w:rPr/>
      </w:pPr>
      <w:r>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odyText"/>
        <w:bidi w:val="0"/>
        <w:spacing w:before="0" w:after="0"/>
        <w:ind w:hanging="0" w:left="0" w:right="0"/>
        <w:jc w:val="left"/>
        <w:rPr/>
      </w:pPr>
      <w:r>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odyText"/>
        <w:bidi w:val="0"/>
        <w:spacing w:before="0" w:after="0"/>
        <w:ind w:hanging="0" w:left="0" w:right="0"/>
        <w:jc w:val="left"/>
        <w:rPr/>
      </w:pPr>
      <w:r>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BodyText"/>
        <w:bidi w:val="0"/>
        <w:spacing w:before="0" w:after="0"/>
        <w:ind w:hanging="0" w:left="0" w:right="0"/>
        <w:jc w:val="left"/>
        <w:rPr/>
      </w:pPr>
      <w:r>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odyText"/>
        <w:bidi w:val="0"/>
        <w:spacing w:before="0" w:after="0"/>
        <w:ind w:hanging="0" w:left="0" w:right="0"/>
        <w:jc w:val="left"/>
        <w:rPr/>
      </w:pPr>
      <w:r>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odyText"/>
        <w:bidi w:val="0"/>
        <w:spacing w:before="0" w:after="0"/>
        <w:ind w:hanging="0" w:left="0" w:right="0"/>
        <w:jc w:val="left"/>
        <w:rPr/>
      </w:pPr>
      <w:r>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BodyText"/>
        <w:bidi w:val="0"/>
        <w:spacing w:before="0" w:after="0"/>
        <w:ind w:hanging="0" w:left="0" w:right="0"/>
        <w:jc w:val="left"/>
        <w:rPr/>
      </w:pPr>
      <w:r>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odyText"/>
        <w:bidi w:val="0"/>
        <w:spacing w:before="0" w:after="0"/>
        <w:ind w:hanging="0" w:left="0" w:right="0"/>
        <w:jc w:val="left"/>
        <w:rPr/>
      </w:pPr>
      <w:r>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BodyText"/>
        <w:bidi w:val="0"/>
        <w:spacing w:before="0" w:after="0"/>
        <w:ind w:hanging="0" w:left="0" w:right="0"/>
        <w:jc w:val="left"/>
        <w:rPr/>
      </w:pPr>
      <w:r>
        <w:rPr/>
        <w:t>&lt;a id="ref-moreo-2016"&gt;&lt;/a&gt; Moreo, A. M. (2016). Parametric design of a 3D printable hand prosthesis for children in developing countries [Master's thesis, Delft University of Technology].</w:t>
      </w:r>
    </w:p>
    <w:p>
      <w:pPr>
        <w:pStyle w:val="BodyText"/>
        <w:bidi w:val="0"/>
        <w:spacing w:before="0" w:after="0"/>
        <w:ind w:hanging="0" w:left="0" w:right="0"/>
        <w:jc w:val="left"/>
        <w:rPr/>
      </w:pPr>
      <w:r>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BodyText"/>
        <w:bidi w:val="0"/>
        <w:spacing w:before="0" w:after="0"/>
        <w:ind w:hanging="0" w:left="0" w:right="0"/>
        <w:jc w:val="left"/>
        <w:rPr/>
      </w:pPr>
      <w:r>
        <w:rPr/>
        <w:t>&lt;a id="ref-machado-2019"&gt;&lt;/a&gt; Machado, F., Malpica, N., &amp; Borromeo, S. (2019). Parametric CAD modeling for open source scientific hardware: Comparing OpenSCAD and FreeCAD Python scripts. PLOS ONE, 14(12), e0225795. https://doi.org/10.1371/journal.pone.0225795</w:t>
      </w:r>
    </w:p>
    <w:p>
      <w:pPr>
        <w:pStyle w:val="BodyText"/>
        <w:bidi w:val="0"/>
        <w:spacing w:before="0" w:after="0"/>
        <w:ind w:hanging="0" w:left="0" w:right="0"/>
        <w:jc w:val="left"/>
        <w:rPr/>
      </w:pPr>
      <w:r>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odyText"/>
        <w:bidi w:val="0"/>
        <w:spacing w:before="0" w:after="0"/>
        <w:ind w:hanging="0" w:left="0" w:right="0"/>
        <w:jc w:val="left"/>
        <w:rPr/>
      </w:pPr>
      <w:r>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BodyText"/>
        <w:bidi w:val="0"/>
        <w:spacing w:before="0" w:after="0"/>
        <w:ind w:hanging="0" w:left="0" w:right="0"/>
        <w:jc w:val="left"/>
        <w:rPr/>
      </w:pPr>
      <w:r>
        <w:rPr/>
        <w:t>&lt;a id="ref-nilsiam-2017"&gt;&lt;/a&gt; Nilsiam, Y., &amp; Pearce, J. M. (2017). Free and open source 3-D model customizer for websites to democratize design with OpenSCAD. Designs, 1(1), 5. https://doi.org/10.3390/designs1010005</w:t>
      </w:r>
    </w:p>
    <w:p>
      <w:pPr>
        <w:pStyle w:val="BodyText"/>
        <w:bidi w:val="0"/>
        <w:spacing w:before="0" w:after="0"/>
        <w:ind w:hanging="0" w:left="0" w:right="0"/>
        <w:jc w:val="left"/>
        <w:rPr/>
      </w:pPr>
      <w:r>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odyText"/>
        <w:bidi w:val="0"/>
        <w:spacing w:before="0" w:after="0"/>
        <w:ind w:hanging="0" w:left="0" w:right="0"/>
        <w:jc w:val="left"/>
        <w:rPr/>
      </w:pPr>
      <w:r>
        <w:rPr/>
        <w:t>&lt;a id="ref-ten-kate-2017"&gt;&lt;/a&gt; ten Kate, J., Smit, G., &amp; Breedveld, P. (2017). 3D-printed upper limb prostheses: A review. Disability and Rehabilitation: Assistive Technology, 12(3), 300-314. https://doi.org/10.1080/17483107.2016.1253117</w:t>
      </w:r>
    </w:p>
    <w:p>
      <w:pPr>
        <w:pStyle w:val="BodyText"/>
        <w:bidi w:val="0"/>
        <w:spacing w:before="0" w:after="0"/>
        <w:ind w:hanging="0" w:left="0" w:right="0"/>
        <w:jc w:val="left"/>
        <w:rPr/>
      </w:pPr>
      <w:r>
        <w:rPr/>
        <w:t>&lt;a id="ref-yu-2013"&gt;&lt;/a&gt; Yu, A., Yick, K. L., Ng, S. P., &amp; Yip, J. (2013). 2D and 3D anatomical analyses of hand dimensions for custom-made gloves. Applied Ergonomics, 44, 381-392.</w:t>
      </w:r>
    </w:p>
    <w:p>
      <w:pPr>
        <w:pStyle w:val="BodyText"/>
        <w:bidi w:val="0"/>
        <w:spacing w:before="0" w:after="0"/>
        <w:ind w:hanging="0" w:left="0" w:right="0"/>
        <w:jc w:val="left"/>
        <w:rPr/>
      </w:pPr>
      <w:r>
        <w:rPr/>
        <w:t>&lt;a id="ref-base-local-antropometrica-2026"&gt;&lt;/a&gt; Base local consolidada de dados antropométricos da mão e do membro superior distal. (2026). [Conjunto de dados]. Material de apoio da investigação, material/antropometria/dados antropométricos/multi</w:t>
      </w:r>
      <w:r>
        <w:rPr>
          <w:i/>
        </w:rPr>
        <w:t>population</w:t>
      </w:r>
      <w:r>
        <w:rPr/>
        <w:t>hand.csv.</w:t>
      </w:r>
    </w:p>
    <w:p>
      <w:pPr>
        <w:pStyle w:val="BodyText"/>
        <w:bidi w:val="0"/>
        <w:spacing w:before="0" w:after="0"/>
        <w:ind w:hanging="0" w:left="0" w:right="0"/>
        <w:jc w:val="left"/>
        <w:rPr/>
      </w:pPr>
      <w:r>
        <w:rPr/>
        <w:t>&lt;a id="ref-1-definir-o-que-e-propriocep"&gt;&lt;/a&gt;</w:t>
      </w:r>
    </w:p>
    <w:p>
      <w:pPr>
        <w:pStyle w:val="BodyText"/>
        <w:bidi w:val="0"/>
        <w:spacing w:before="0" w:after="0"/>
        <w:ind w:hanging="0" w:left="0" w:right="0"/>
        <w:jc w:val="left"/>
        <w:rPr/>
      </w:pPr>
      <w:r>
        <w:rPr/>
        <w:t>&lt;a id="ref-2-meter-este-link-na-bibliog"&gt;&lt;/a&gt;</w:t>
      </w:r>
    </w:p>
    <w:p>
      <w:pPr>
        <w:pStyle w:val="BodyText"/>
        <w:bidi w:val="0"/>
        <w:spacing w:before="0" w:after="0"/>
        <w:ind w:hanging="0" w:left="0" w:right="0"/>
        <w:jc w:val="left"/>
        <w:rPr/>
      </w:pPr>
      <w:r>
        <w:rPr/>
        <w:t>&lt;a id="ref-3-nao-e-bem-marcacao-ne-te"&gt;&lt;/a&gt;</w:t>
      </w:r>
    </w:p>
    <w:p>
      <w:pPr>
        <w:pStyle w:val="BodyText"/>
        <w:bidi w:val="0"/>
        <w:spacing w:before="0" w:after="0"/>
        <w:ind w:hanging="0" w:left="0" w:right="0"/>
        <w:jc w:val="left"/>
        <w:rPr/>
      </w:pPr>
      <w:r>
        <w:rPr/>
        <w:t>&lt;a id="ref-4-cool-mas-se-calhar-so-se"&gt;&lt;/a&gt;</w:t>
      </w:r>
    </w:p>
    <w:p>
      <w:pPr>
        <w:pStyle w:val="BodyText"/>
        <w:bidi w:val="0"/>
        <w:spacing w:before="0" w:after="0"/>
        <w:ind w:hanging="0" w:left="0" w:right="0"/>
        <w:jc w:val="left"/>
        <w:rPr/>
      </w:pPr>
      <w:r>
        <w:rPr/>
        <w:t>&lt;a id="ref-5-vamos-adicionar-a-citacao"&gt;&lt;/a&gt;</w:t>
      </w:r>
    </w:p>
    <w:p>
      <w:pPr>
        <w:pStyle w:val="BodyText"/>
        <w:bidi w:val="0"/>
        <w:spacing w:before="0" w:after="0"/>
        <w:ind w:hanging="0" w:left="0" w:right="0"/>
        <w:jc w:val="left"/>
        <w:rPr/>
      </w:pPr>
      <w:r>
        <w:rPr/>
        <w:t>&lt;a id="ref-6-explicar-oque-sao-todos-es"&gt;&lt;/a&gt;</w:t>
      </w:r>
    </w:p>
    <w:p>
      <w:pPr>
        <w:pStyle w:val="BodyText"/>
        <w:bidi w:val="0"/>
        <w:spacing w:before="0" w:after="0"/>
        <w:ind w:hanging="0" w:left="0" w:right="0"/>
        <w:jc w:val="left"/>
        <w:rPr/>
      </w:pPr>
      <w:r>
        <w:rPr/>
        <w:t>&lt;a id="ref-7-definir-seed-design"&gt;&lt;/a&gt;</w:t>
      </w:r>
    </w:p>
    <w:p>
      <w:pPr>
        <w:pStyle w:val="BodyText"/>
        <w:bidi w:val="0"/>
        <w:spacing w:before="0" w:after="0"/>
        <w:ind w:hanging="0" w:left="0" w:right="0"/>
        <w:jc w:val="left"/>
        <w:rPr/>
      </w:pPr>
      <w:r>
        <w:rPr/>
        <w:t>&lt;a id="ref-8-escalonados-amplicados-e"&gt;&lt;/a&gt;</w:t>
      </w:r>
    </w:p>
    <w:p>
      <w:pPr>
        <w:pStyle w:val="BodyText"/>
        <w:bidi w:val="0"/>
        <w:spacing w:before="0" w:after="0"/>
        <w:ind w:hanging="0" w:left="0" w:right="0"/>
        <w:jc w:val="left"/>
        <w:rPr/>
      </w:pPr>
      <w:r>
        <w:rPr/>
        <w:t>&lt;a id="ref-9-toda-esta-frase-podia-ser"&gt;&lt;/a&gt;</w:t>
      </w:r>
    </w:p>
    <w:p>
      <w:pPr>
        <w:pStyle w:val="BodyText"/>
        <w:bidi w:val="0"/>
        <w:spacing w:before="0" w:after="0"/>
        <w:ind w:hanging="0" w:left="0" w:right="0"/>
        <w:jc w:val="left"/>
        <w:rPr/>
      </w:pPr>
      <w:r>
        <w:rPr/>
        <w:t>&lt;a id="ref-10-posso-igualmente-aumentar"&gt;&lt;/a&gt;</w:t>
      </w:r>
    </w:p>
    <w:p>
      <w:pPr>
        <w:pStyle w:val="BodyText"/>
        <w:bidi w:val="0"/>
        <w:spacing w:before="0" w:after="0"/>
        <w:ind w:hanging="0" w:left="0" w:right="0"/>
        <w:jc w:val="left"/>
        <w:rPr/>
      </w:pPr>
      <w:r>
        <w:rPr/>
        <w:t>&lt;a id="ref-11-nao-me-soa-super-bem"&gt;&lt;/a&gt;</w:t>
      </w:r>
    </w:p>
    <w:p>
      <w:pPr>
        <w:pStyle w:val="BodyText"/>
        <w:bidi w:val="0"/>
        <w:spacing w:before="0" w:after="0"/>
        <w:ind w:hanging="0" w:left="0" w:right="0"/>
        <w:jc w:val="left"/>
        <w:rPr/>
      </w:pPr>
      <w:r>
        <w:rPr/>
        <w:t>&lt;a id="ref-12-estou-a-bater-mal-ou-ja-e"&gt;&lt;/a&gt;</w:t>
      </w:r>
    </w:p>
    <w:p>
      <w:pPr>
        <w:pStyle w:val="BodyText"/>
        <w:bidi w:val="0"/>
        <w:spacing w:before="0" w:after="0"/>
        <w:ind w:hanging="0" w:left="0" w:right="0"/>
        <w:jc w:val="left"/>
        <w:rPr/>
      </w:pPr>
      <w:r>
        <w:rPr/>
        <w:t>&lt;a id="ref-13-penalizacoes-e-um-pouco-f"&gt;&lt;/a&gt;</w:t>
      </w:r>
    </w:p>
    <w:p>
      <w:pPr>
        <w:pStyle w:val="BodyText"/>
        <w:bidi w:val="0"/>
        <w:spacing w:before="0" w:after="0"/>
        <w:ind w:hanging="0" w:left="0" w:right="0"/>
        <w:jc w:val="left"/>
        <w:rPr/>
      </w:pPr>
      <w:r>
        <w:rPr/>
      </w:r>
    </w:p>
    <w:p>
      <w:pPr>
        <w:pStyle w:val="Normal"/>
        <w:bidi w:val="0"/>
        <w:jc w:val="left"/>
        <w:rPr/>
      </w:pPr>
      <w:r>
        <w:rPr/>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t xml:space="preserve"> material/prosthetics-design/A review of technology, materials and R&amp;D challenges of upper limb prosthesis for improved user suitability.pdf</w:t>
      </w:r>
    </w:p>
    <w:p>
      <w:pPr>
        <w:overflowPunct w:val="false"/>
        <w:bidi w:val="0"/>
        <w:rPr/>
      </w:pPr>
      <w:r>
        <w:rPr/>
      </w:r>
    </w:p>
    <w:p>
      <w:pPr>
        <w:overflowPunct w:val="false"/>
        <w:bidi w:val="0"/>
        <w:rPr/>
      </w:pPr>
      <w:r>
        <w:rPr/>
        <w:t xml:space="preserve">  Ela sustenta a classificação assim: Brack e Amalu classificam a tecnologia de próteses de membro superior em próteses passivas, ativas e híbridas; depois</w:t>
      </w:r>
    </w:p>
    <w:p>
      <w:pPr>
        <w:overflowPunct w:val="false"/>
        <w:bidi w:val="0"/>
        <w:rPr/>
      </w:pPr>
      <w:r>
        <w:rPr/>
        <w:t xml:space="preserve">  subdividem as ativas em acionadas pelo corpo e mioelétricas. Também definem as híbridas como combinação de componentes acionados pelo corpo e mioelétricos.</w:t>
      </w:r>
    </w:p>
    <w:p>
      <w:pPr>
        <w:overflowPunct w:val="false"/>
        <w:bidi w:val="0"/>
        <w:rPr/>
      </w:pPr>
      <w:r>
        <w:rPr/>
      </w:r>
    </w:p>
    <w:p>
      <w:pPr>
        <w:overflowPunct w:val="false"/>
        <w:bidi w:val="0"/>
        <w:rPr/>
      </w:pPr>
      <w:r>
        <w:rPr/>
        <w:t xml:space="preserve">  Podes citar a frase como:</w:t>
      </w:r>
    </w:p>
    <w:p>
      <w:pPr>
        <w:overflowPunct w:val="false"/>
        <w:bidi w:val="0"/>
        <w:rPr/>
      </w:pPr>
      <w:r>
        <w:rPr/>
      </w:r>
    </w:p>
    <w:p>
      <w:pPr>
        <w:overflowPunct w:val="false"/>
        <w:bidi w:val="0"/>
        <w:rPr/>
      </w:pPr>
      <w:r>
        <w:rPr/>
        <w:t xml:space="preserve">  &gt; As próteses de membro superior podem ser classificadas de acordo com a fonte de energia e o mecanismo de controlo, distinguindo-se próteses passivas, acionadas</w:t>
      </w:r>
    </w:p>
    <w:p>
      <w:pPr>
        <w:overflowPunct w:val="false"/>
        <w:bidi w:val="0"/>
        <w:rPr/>
      </w:pPr>
      <w:r>
        <w:rPr/>
        <w:t xml:space="preserve">  &gt; pelo corpo, mioelétricas e híbridas (Brack &amp; Amalu, 2021).</w:t>
      </w:r>
    </w:p>
    <w:p>
      <w:pPr>
        <w:overflowPunct w:val="false"/>
        <w:bidi w:val="0"/>
        <w:rPr/>
      </w:pPr>
      <w:r>
        <w:rPr/>
      </w:r>
    </w:p>
    <w:p>
      <w:pPr>
        <w:overflowPunct w:val="false"/>
        <w:bidi w:val="0"/>
        <w:rPr/>
      </w:pPr>
      <w:r>
        <w:rPr/>
        <w:t xml:space="preserve">  Entrada APA 7:</w:t>
      </w:r>
    </w:p>
    <w:p>
      <w:pPr>
        <w:overflowPunct w:val="false"/>
        <w:bidi w:val="0"/>
        <w:rPr/>
      </w:pPr>
      <w:r>
        <w:rPr/>
      </w:r>
    </w:p>
    <w:p>
      <w:pPr>
        <w:overflowPunct w:val="false"/>
        <w:bidi w:val="0"/>
        <w:rPr/>
      </w:pPr>
      <w:r>
        <w:rPr/>
        <w:t xml:space="preserve">  Brack, R., &amp; Amalu, E. H. (2021). A review of technology, materials and R&amp;D challenges of upper limb prosthesis for improved user suitability. Journal of</w:t>
      </w:r>
    </w:p>
    <w:p>
      <w:pPr>
        <w:overflowPunct w:val="false"/>
        <w:bidi w:val="0"/>
        <w:rPr/>
      </w:pPr>
      <w:r>
        <w:rPr/>
        <w:t xml:space="preserve">  Orthopaedics, 23, 88–96. https://doi.org/10.1016/j.jor.2020.12.009</w:t>
      </w:r>
    </w:p>
    <w:p>
      <w:pPr>
        <w:overflowPunct w:val="false"/>
        <w:bidi w:val="0"/>
        <w:rPr/>
      </w:pPr>
      <w:r>
        <w:rPr/>
      </w:r>
    </w:p>
  </w:comment>
  <w:comment w:id="1" w:author="Unknown Author" w:date="2026-06-30T20:08:54Z" w:initials="">
    <w:p>
      <w:pPr>
        <w:overflowPunct w:val="false"/>
        <w:bidi w:val="0"/>
        <w:rPr/>
      </w:pPr>
      <w:r>
        <w:annotationRef/>
      </w:r>
      <w:r>
        <w:rPr/>
        <w:t>Meter a norma</w:t>
      </w:r>
    </w:p>
  </w:comment>
  <w:comment w:id="2" w:author="Unknown Author" w:date="2026-06-30T20:11:38Z" w:initials="">
    <w:p>
      <w:pPr>
        <w:overflowPunct w:val="false"/>
        <w:bidi w:val="0"/>
        <w:rPr/>
      </w:pPr>
      <w:r>
        <w:annotationRef/>
      </w:r>
      <w:r>
        <w:rPr/>
        <w:t>Explicar o prisma</w:t>
      </w:r>
    </w:p>
  </w:comment>
  <w:comment w:id="3" w:author="Unknown Author" w:date="2026-06-30T20:17:49Z" w:initials="">
    <w:p>
      <w:pPr>
        <w:overflowPunct w:val="false"/>
        <w:bidi w:val="0"/>
        <w:rPr/>
      </w:pPr>
      <w:r>
        <w:annotationRef/>
      </w:r>
      <w:r>
        <w:rPr/>
        <w:t>Quem diz?</w:t>
      </w:r>
    </w:p>
    <w:p>
      <w:pPr>
        <w:overflowPunct w:val="false"/>
        <w:bidi w:val="0"/>
        <w:rPr/>
      </w:pPr>
      <w:r>
        <w:rPr/>
      </w:r>
    </w:p>
    <w:p>
      <w:pPr>
        <w:overflowPunct w:val="false"/>
        <w:bidi w:val="0"/>
        <w:rPr/>
      </w:pPr>
      <w:r>
        <w:rPr/>
        <w:t xml:space="preserve"> Privitera, M. (2017). Designing industrial design in the highly regulated medical device development process: Defining our valuable contribution towards</w:t>
      </w:r>
    </w:p>
    <w:p>
      <w:pPr>
        <w:overflowPunct w:val="false"/>
        <w:bidi w:val="0"/>
        <w:rPr/>
      </w:pPr>
      <w:r>
        <w:rPr/>
        <w:t xml:space="preserve">  usability. The Design Journal, 20(sup1), S2190–S2206. https://doi.org/10.1080/14606925.2017.1352735</w:t>
      </w:r>
    </w:p>
    <w:p>
      <w:pPr>
        <w:overflowPunct w:val="false"/>
        <w:bidi w:val="0"/>
        <w:rPr/>
      </w:pPr>
      <w:r>
        <w:rPr/>
      </w:r>
    </w:p>
    <w:p>
      <w:pPr>
        <w:overflowPunct w:val="false"/>
        <w:bidi w:val="0"/>
        <w:rPr/>
      </w:pPr>
      <w:r>
        <w:rPr/>
        <w:t xml:space="preserve">  Oldfrey, B. M., et al. (2024). A scoping review of digital fabrication techniques applied to prosthetics and orthotics: Part 1 of 2: Prosthetics. Prosthetics and</w:t>
      </w:r>
    </w:p>
    <w:p>
      <w:pPr>
        <w:overflowPunct w:val="false"/>
        <w:bidi w:val="0"/>
        <w:rPr/>
      </w:pPr>
      <w:r>
        <w:rPr/>
        <w:t xml:space="preserve">  Orthotics International, 48, 574–589. https://doi.org/10.1097/PXR.0000000000000351</w:t>
      </w:r>
    </w:p>
    <w:p>
      <w:pPr>
        <w:overflowPunct w:val="false"/>
        <w:bidi w:val="0"/>
        <w:rPr/>
      </w:pPr>
      <w:r>
        <w:rPr/>
      </w:r>
    </w:p>
    <w:p>
      <w:pPr>
        <w:overflowPunct w:val="false"/>
        <w:bidi w:val="0"/>
        <w:rPr/>
      </w:pPr>
      <w:r>
        <w:rPr/>
        <w:t xml:space="preserve">  Mc Guinness, E., Patel, D., Patrick, M., &amp; Austin, V. (2025). Outcomes of assistive technology use by sex and gender: A scoping review. Disability and</w:t>
      </w:r>
    </w:p>
    <w:p>
      <w:pPr>
        <w:overflowPunct w:val="false"/>
        <w:bidi w:val="0"/>
        <w:rPr/>
      </w:pPr>
      <w:r>
        <w:rPr/>
        <w:t xml:space="preserve">  Rehabilitation: Assistive Technology, 20(8), 2666–2690. https://doi.org/10.1080/17483107.2025.2516615</w:t>
      </w:r>
    </w:p>
    <w:p>
      <w:pPr>
        <w:overflowPunct w:val="false"/>
        <w:bidi w:val="0"/>
        <w:rPr/>
      </w:pPr>
      <w:r>
        <w:rPr/>
      </w:r>
    </w:p>
  </w:comment>
  <w:comment w:id="4" w:author="Unknown Author" w:date="2026-06-30T20:34:34Z" w:initials="">
    <w:p>
      <w:pPr>
        <w:overflowPunct w:val="false"/>
        <w:bidi w:val="0"/>
        <w:rPr/>
      </w:pPr>
      <w:r>
        <w:annotationRef/>
      </w:r>
      <w:r>
        <w:rPr/>
        <w:t>Escalados ou escalonados</w:t>
      </w:r>
    </w:p>
  </w:comment>
  <w:comment w:id="5" w:author="Unknown Author" w:date="2026-06-30T20:36:00Z" w:initials="">
    <w:p>
      <w:pPr>
        <w:overflowPunct w:val="false"/>
        <w:bidi w:val="0"/>
        <w:rPr/>
      </w:pPr>
      <w:r>
        <w:annotationRef/>
      </w:r>
      <w:r>
        <w:rPr/>
        <w:t>Não me recordo se escrevemos antes FA ou não.</w:t>
      </w:r>
    </w:p>
  </w:comment>
  <w:comment w:id="6" w:author="Unknown Author" w:date="2026-06-30T20:44:05Z" w:initials="">
    <w:p>
      <w:pPr>
        <w:overflowPunct w:val="false"/>
        <w:bidi w:val="0"/>
        <w:rPr/>
      </w:pPr>
      <w:r>
        <w:annotationRef/>
      </w:r>
      <w:r>
        <w:rPr/>
        <w:t>Mesmo problema</w:t>
      </w:r>
    </w:p>
    <w:p>
      <w:pPr>
        <w:overflowPunct w:val="false"/>
        <w:bidi w:val="0"/>
        <w:rPr/>
      </w:pPr>
      <w:r>
        <w:rPr/>
      </w:r>
    </w:p>
  </w:comment>
  <w:comment w:id="7" w:author="Unknown Author" w:date="2026-06-30T20:54:43Z" w:initials="">
    <w:p>
      <w:pPr>
        <w:overflowPunct w:val="false"/>
        <w:bidi w:val="0"/>
        <w:rPr/>
      </w:pPr>
      <w:r>
        <w:annotationRef/>
      </w:r>
      <w:r>
        <w:rPr/>
        <w:t>E meter isto em português de portugal?</w:t>
      </w:r>
    </w:p>
  </w:comment>
  <w:comment w:id="8" w:author="Unknown Author" w:date="2026-06-30T21:02:37Z" w:initials="">
    <w:p>
      <w:pPr>
        <w:overflowPunct w:val="false"/>
        <w:bidi w:val="0"/>
        <w:rPr/>
      </w:pPr>
      <w:r>
        <w:annotationRef/>
      </w:r>
      <w:r>
        <w:rPr/>
        <w:t>É meter aqui uma nota a explicar o que é uma fronteira de pareto.</w:t>
      </w:r>
    </w:p>
  </w:comment>
  <w:comment w:id="9" w:author="Unknown Author" w:date="2026-06-30T21:07:04Z" w:initials="">
    <w:p>
      <w:pPr>
        <w:overflowPunct w:val="false"/>
        <w:bidi w:val="0"/>
        <w:rPr/>
      </w:pPr>
      <w:r>
        <w:annotationRef/>
      </w:r>
      <w:r>
        <w:rPr/>
        <w:t>É preciso definir o que é CAD/CAM</w:t>
      </w:r>
    </w:p>
  </w:comment>
  <w:comment w:id="10" w:author="Unknown Author" w:date="2026-06-30T21:07:24Z" w:initials="">
    <w:p>
      <w:pPr>
        <w:overflowPunct w:val="false"/>
        <w:bidi w:val="0"/>
        <w:rPr/>
      </w:pPr>
      <w:r>
        <w:annotationRef/>
      </w:r>
      <w:r>
        <w:rPr/>
        <w:t>Antes já tinhamos apontado para FA</w:t>
      </w:r>
    </w:p>
  </w:comment>
  <w:comment w:id="11" w:author="Unknown Author" w:date="2026-06-30T21:11:54Z" w:initials="">
    <w:p>
      <w:pPr>
        <w:overflowPunct w:val="false"/>
        <w:bidi w:val="0"/>
        <w:rPr/>
      </w:pPr>
      <w:r>
        <w:annotationRef/>
      </w:r>
      <w:r>
        <w:rPr/>
        <w:t>Um proxy? Brooooo</w:t>
      </w:r>
    </w:p>
    <w:p>
      <w:pPr>
        <w:overflowPunct w:val="false"/>
        <w:bidi w:val="0"/>
        <w:rPr/>
      </w:pPr>
      <w:r>
        <w:rPr/>
      </w:r>
    </w:p>
  </w:comment>
  <w:comment w:id="12" w:author="Unknown Author" w:date="2026-07-01T07:18:56Z" w:initials="">
    <w:p>
      <w:pPr>
        <w:overflowPunct w:val="false"/>
        <w:bidi w:val="0"/>
        <w:rPr/>
      </w:pPr>
      <w:r>
        <w:annotationRef/>
      </w:r>
      <w:r>
        <w:rPr/>
        <w:t>Sem ser in engrishe prease</w:t>
      </w:r>
    </w:p>
  </w:comment>
  <w:comment w:id="13" w:author="Unknown Author" w:date="2026-07-01T07:37:46Z" w:initials="">
    <w:p>
      <w:pPr>
        <w:overflowPunct w:val="false"/>
        <w:bidi w:val="0"/>
        <w:rPr/>
      </w:pPr>
      <w:r>
        <w:annotationRef/>
      </w:r>
      <w:r>
        <w:rPr/>
        <w:t>Isto parece-me perdido aqui</w:t>
      </w:r>
    </w:p>
  </w:comment>
  <w:comment w:id="14" w:author="Unknown Author" w:date="2026-07-01T07:38:53Z" w:initials="">
    <w:p>
      <w:pPr>
        <w:overflowPunct w:val="false"/>
        <w:bidi w:val="0"/>
        <w:rPr/>
      </w:pPr>
      <w:r>
        <w:annotationRef/>
      </w:r>
      <w:r>
        <w:rPr/>
        <w:t>É preciso explicar o que é um CT/MRI</w:t>
      </w:r>
    </w:p>
  </w:comment>
  <w:comment w:id="15" w:author="Unknown Author" w:date="2026-07-01T07:38:17Z" w:initials="">
    <w:p>
      <w:pPr>
        <w:overflowPunct w:val="false"/>
        <w:bidi w:val="0"/>
        <w:rPr/>
      </w:pPr>
      <w:r>
        <w:annotationRef/>
      </w:r>
      <w:r>
        <w:rPr/>
        <w:t>É preciso explicar o que é a modelação estatística de forma</w:t>
      </w:r>
    </w:p>
  </w:comment>
  <w:comment w:id="16" w:author="Unknown Author" w:date="2026-07-01T07:40:04Z" w:initials="">
    <w:p>
      <w:pPr>
        <w:overflowPunct w:val="false"/>
        <w:bidi w:val="0"/>
        <w:rPr/>
      </w:pPr>
      <w:r>
        <w:annotationRef/>
      </w:r>
      <w:r>
        <w:rPr/>
        <w:t>Explicar o que são hot spots térmicos</w:t>
      </w:r>
    </w:p>
  </w:comment>
  <w:comment w:id="17" w:author="Unknown Author" w:date="2026-07-01T07:42:41Z" w:initials="">
    <w:p>
      <w:pPr>
        <w:overflowPunct w:val="false"/>
        <w:bidi w:val="0"/>
        <w:rPr/>
      </w:pPr>
      <w:r>
        <w:annotationRef/>
      </w:r>
      <w:r>
        <w:rPr/>
        <w:t>Definir sigla</w:t>
      </w:r>
    </w:p>
  </w:comment>
  <w:comment w:id="18" w:author="Unknown Author" w:date="2026-07-01T07:42:10Z" w:initials="">
    <w:p>
      <w:pPr>
        <w:overflowPunct w:val="false"/>
        <w:bidi w:val="0"/>
        <w:rPr/>
      </w:pPr>
      <w:r>
        <w:annotationRef/>
      </w:r>
      <w:r>
        <w:rPr/>
        <w:t>Com PCA? Claro, bro. E vai querer mais alguma coisa para comer?</w:t>
      </w:r>
    </w:p>
  </w:comment>
  <w:comment w:id="19" w:author="Unknown Author" w:date="2026-07-01T07:50:57Z" w:initials="">
    <w:p>
      <w:pPr>
        <w:overflowPunct w:val="false"/>
        <w:bidi w:val="0"/>
        <w:rPr/>
      </w:pPr>
      <w:r>
        <w:annotationRef/>
      </w:r>
      <w:r>
        <w:rPr/>
        <w:t>Vamos definir</w:t>
      </w:r>
    </w:p>
  </w:comment>
  <w:comment w:id="20" w:author="Unknown Author" w:date="2026-07-01T08:01:54Z" w:initials="">
    <w:p>
      <w:pPr>
        <w:overflowPunct w:val="false"/>
        <w:bidi w:val="0"/>
        <w:rPr/>
      </w:pPr>
      <w:r>
        <w:annotationRef/>
      </w:r>
      <w:r>
        <w:rPr/>
        <w:t>O que é um prompt? É preciso definir</w:t>
      </w:r>
    </w:p>
  </w:comment>
  <w:comment w:id="21" w:author="Unknown Author" w:date="2026-07-01T08:10:15Z" w:initials="">
    <w:p>
      <w:pPr>
        <w:overflowPunct w:val="false"/>
        <w:bidi w:val="0"/>
        <w:rPr/>
      </w:pPr>
      <w:r>
        <w:annotationRef/>
      </w:r>
      <w:r>
        <w:rPr/>
        <w:t>Não sei se julgamento é a expressão correta</w:t>
      </w:r>
    </w:p>
  </w:comment>
  <w:comment w:id="22" w:author="Unknown Author" w:date="2026-07-01T08:12:05Z" w:initials="">
    <w:p>
      <w:pPr>
        <w:overflowPunct w:val="false"/>
        <w:bidi w:val="0"/>
        <w:rPr/>
      </w:pPr>
      <w:r>
        <w:annotationRef/>
      </w:r>
      <w:r>
        <w:rPr/>
        <w:t>É uma boa frase se queres fazer de jesus pq vais ser cruxificado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s>
</file>

<file path=word/settings.xml><?xml version="1.0" encoding="utf-8"?>
<w:settings xmlns:w="http://schemas.openxmlformats.org/wordprocessingml/2006/main">
  <w:zoom w:percent="128"/>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en-US" w:eastAsia="zh-CN" w:bidi="hi-IN"/>
      </w:rPr>
    </w:rPrDefault>
    <w:pPrDefault>
      <w:pPr>
        <w:suppressAutoHyphens w:val="true"/>
      </w:pPr>
    </w:pPrDefault>
  </w:docDefaults>
  <w:style w:type="paragraph" w:styleId="Normal" w:default="1">
    <w:name w:val="Normal"/>
    <w:qFormat/>
    <w:pPr>
      <w:widowControl w:val="false"/>
      <w:bidi w:val="0"/>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spacing w:lineRule="auto" w:line="240" w:before="56" w:after="0"/>
      <w:ind w:hanging="0" w:left="57" w:right="57"/>
    </w:pPr>
    <w:rPr>
      <w:color w:val="aut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https://doi.org/10.3390/ijerph16091641" TargetMode="External" /><Relationship Id="rId3" Type="http://schemas.openxmlformats.org/officeDocument/2006/relationships/comments" Target="comments.xml" /><Relationship Id="rId4" Type="http://schemas.openxmlformats.org/officeDocument/2006/relationships/fontTable" Target="fontTable.xml" /><Relationship Id="rId5" Type="http://schemas.openxmlformats.org/officeDocument/2006/relationships/settings" Target="settings.xml" /><Relationship Id="rId6" Type="http://schemas.openxmlformats.org/officeDocument/2006/relationships/theme" Target="theme/theme1.xml" />
<Relationship Id="rId7" Type="http://schemas.openxmlformats.org/officeDocument/2006/relationships/image" Target="media/ch2_3d_printed_upper_limb_prostheses_a_figure2_p5.png" /><Relationship Id="rId8" Type="http://schemas.openxmlformats.org/officeDocument/2006/relationships/image" Target="media/ch2_prosthesis_rejection_in_acquired_ma_figure1_p4.png" /><Relationship Id="rId9" Type="http://schemas.openxmlformats.org/officeDocument/2006/relationships/image" Target="media/ch2_a_scoping_review_of_digital_fabrica_figure1_p2.png" /><Relationship Id="rId10" Type="http://schemas.openxmlformats.org/officeDocument/2006/relationships/image" Target="media/ch2_implementation_of_3d_printing_techn_figure5_p8.png" /><Relationship Id="rId11" Type="http://schemas.openxmlformats.org/officeDocument/2006/relationships/image" Target="media/ch2_2d_and_3d_anatomical_analyses_of_ha_figure1_p3.png" /><Relationship Id="rId12" Type="http://schemas.openxmlformats.org/officeDocument/2006/relationships/image" Target="media/ch2_ai_driven_computer_aided_design_cad_figure1_p6.png" /><Relationship Id="rId13" Type="http://schemas.openxmlformats.org/officeDocument/2006/relationships/image" Target="media/ch2_a_framework_for_configuring_partici_figure1_p4.png" /><Relationship Id="rId14" Type="http://schemas.openxmlformats.org/officeDocument/2006/relationships/image" Target="media/ch2_a_scoping_review_of_digital_fabrica_figure10_p9.png" /><Relationship Id="rId15" Type="http://schemas.openxmlformats.org/officeDocument/2006/relationships/image" Target="media/ch3_an_undergraduate_engineering_servic_figure1_p4.png" /><Relationship Id="rId16" Type="http://schemas.openxmlformats.org/officeDocument/2006/relationships/image" Target="media/ch4_parametric_3d_modeling_of_a_customi_figure3_p2.png" /><Relationship Id="rId17" Type="http://schemas.openxmlformats.org/officeDocument/2006/relationships/image" Target="media/ch4_customization_of_a_3d_printed_prost_figure8_p7.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LibreOffice/26.2.4.2$Linux_X86_64 LibreOffice_project/3346a99e6b841765b75a9b29714a5b95c6761ce3</Application>
  <AppVersion>15.0000</AppVersion>
  <Pages>96</Pages>
  <Words>36712</Words>
  <Characters>234055</Characters>
  <CharactersWithSpaces>269991</CharactersWithSpaces>
  <Paragraphs>837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2026-06-29T21:04:50Z</dcterms:created>
  <dc:creator>Codex Markdown Exporter</dc:creator>
  <dc:description/>
  <dc:language>en-US</dc:language>
  <cp:lastModifiedBy/>
  <dcterms:modified xsi:type="dcterms:W3CDTF">2026-07-01T09:13:26Z</dcterms:modified>
  <cp:revision>8</cp:revision>
  <dc:subject/>
  <dc:title>projecto-completo</dc:title>
</cp:coreProperties>
</file>