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15">
  <w:body>
    <w:p>
      <w:pPr>
        <w:pStyle w:val="Normal"/>
        <w:bidi w:val="0"/>
        <w:jc w:val="left"/>
        <w:rPr>
          <w:lang w:val="pt-PT"/>
        </w:rPr>
      </w:pPr>
      <w:r>
        <w:rPr>
          <w:lang w:val="pt-PT"/>
        </w:rPr>
        <w:t>Projecto completo</w:t>
      </w:r>
    </w:p>
    <w:p>
      <w:pPr>
        <w:pStyle w:val="Normal"/>
        <w:bidi w:val="0"/>
        <w:jc w:val="left"/>
        <w:rPr>
          <w:lang w:val="pt-PT"/>
        </w:rPr>
      </w:pPr>
      <w:r>
        <w:rPr>
          <w:lang w:val="pt-PT"/>
        </w:rPr>
        <w:t>Versão do documento:0.4.16</w:t>
      </w:r>
    </w:p>
    <w:p>
      <w:pPr>
        <w:pStyle w:val="Normal"/>
        <w:bidi w:val="0"/>
        <w:jc w:val="left"/>
        <w:rPr>
          <w:lang w:val="pt-PT"/>
        </w:rPr>
      </w:pPr>
      <w:r>
        <w:rPr>
          <w:lang w:val="pt-PT"/>
        </w:rPr>
      </w:r>
    </w:p>
    <w:p>
      <w:pPr>
        <w:pStyle w:val="Heading2"/>
        <w:rPr/>
      </w:pPr>
      <w:r>
        <w:rPr/>
        <w:t>INTEGRAÇÃO DO DESIGN E DA INTELIGÊNCIA ARTIFICIAL EM PROCESSOS PARAMÉTRICOS PARA O DESENVOLVIMENTO DE PRÓTESES DE MEMBROS SUPERIORES EM IMPRESSÃO 3D.</w:t>
      </w:r>
    </w:p>
    <w:p>
      <w:pPr>
        <w:pStyle w:val="Normal"/>
        <w:bidi w:val="0"/>
        <w:jc w:val="left"/>
        <w:rPr>
          <w:lang w:val="pt-PT"/>
        </w:rPr>
      </w:pPr>
      <w:r>
        <w:rPr>
          <w:lang w:val="pt-PT"/>
        </w:rPr>
      </w:r>
    </w:p>
    <w:p>
      <w:pPr>
        <w:pStyle w:val="Heading2"/>
        <w:rPr/>
      </w:pPr>
      <w:r>
        <w:rPr/>
        <w:t>Lista de acrónimos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1259"/>
        <w:gridCol w:w="7767"/>
      </w:tblGrid>
      <w:tr>
        <w:trPr>
          <w:tblHeader w:val="true"/>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2D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Bidimensional.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Tridimensional.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Printing</w:t>
            </w:r>
            <w:r>
              <w:rPr/>
              <w:t>;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3MF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Manufacturing Format</w:t>
            </w:r>
            <w:r>
              <w:rPr/>
              <w:t>; formato de ficheiro para fabrico aditivo.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ANSUR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Anthropometric Survey of U.S. Army Personnel</w:t>
            </w:r>
            <w:r>
              <w:rPr/>
              <w:t>; inquérito antropométrico do Exército dos Estados Unidos.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API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Application Programming Interface</w:t>
            </w:r>
            <w:r>
              <w:rPr/>
              <w:t>; interface de programação de aplicações.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ASTM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American Society for Testing and Materials</w:t>
            </w:r>
            <w:r>
              <w:rPr/>
              <w:t>; organismo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Design</w:t>
            </w:r>
            <w:r>
              <w:rPr/>
              <w:t>; desenho ou projeto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Manufacturing</w:t>
            </w:r>
            <w:r>
              <w:rPr/>
              <w:t>; fabrico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Conformité Européenne</w:t>
            </w:r>
            <w:r>
              <w:rPr/>
              <w:t>; marcação europeia de conformidade.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Constructive Solid Geometry</w:t>
            </w:r>
            <w:r>
              <w:rPr/>
              <w:t>; geometria sólida construtiva.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CSV</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Comma-Separated Values</w:t>
            </w:r>
            <w:r>
              <w:rPr/>
              <w:t>; formato de valores separados por vírgulas.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Computed Tomography</w:t>
            </w:r>
            <w:r>
              <w:rPr/>
              <w:t>; tomografia computorizada.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DfAM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Design for Additive Manufacturing</w:t>
            </w:r>
            <w:r>
              <w:rPr/>
              <w:t>; design para 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DINED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Delft Institute of Ergonomics and Design</w:t>
            </w:r>
            <w:r>
              <w:rPr/>
              <w:t>; base de dados antropométrica da TU Delft.</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DOI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Digital Object Identifier</w:t>
            </w:r>
            <w:r>
              <w:rPr/>
              <w:t>; identificador digital de objeto.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EMG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Eletromiografia; registo da atividade elétrica muscular.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European Union</w:t>
            </w:r>
            <w:r>
              <w:rPr/>
              <w:t>; União Europeia.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Estados Unidos da América.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FA/FdA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Food and Drug Administration</w:t>
            </w:r>
            <w:r>
              <w:rPr/>
              <w:t>; agência reguladora dos Estados Unidos para alimentos, medicamentos e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Deposition Modelling</w:t>
            </w:r>
            <w:r>
              <w:rPr/>
              <w:t>; modelação por deposição fundida.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Analysis</w:t>
            </w:r>
            <w:r>
              <w:rPr/>
              <w:t>; análise por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Method</w:t>
            </w:r>
            <w:r>
              <w:rPr/>
              <w:t>; método dos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Filament Fabrication</w:t>
            </w:r>
            <w:r>
              <w:rPr/>
              <w:t>; fabricação por filamento fundido.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Free-Form Deformation</w:t>
            </w:r>
            <w:r>
              <w:rPr/>
              <w:t>; deformação de forma livre.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GB/T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Norma nacional recomendada chinesa.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HB</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Breadth</w:t>
            </w:r>
            <w:r>
              <w:rPr/>
              <w:t>; largura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Human-Centred Design</w:t>
            </w:r>
            <w:r>
              <w:rPr/>
              <w:t>; design centrado no humano.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HGD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Grip Diameter</w:t>
            </w:r>
            <w:r>
              <w:rPr/>
              <w:t>; diâmetro de preensão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Length</w:t>
            </w:r>
            <w:r>
              <w:rPr/>
              <w:t>; comprimento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HTML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HyperText Markup Language</w:t>
            </w:r>
            <w:r>
              <w:rPr/>
              <w:t>; linguagem de marcação de hipertexto.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Inteligência Artificial.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ICF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Classification of Functioning, Disability and Health</w:t>
            </w:r>
            <w:r>
              <w:rPr/>
              <w:t>; Classificação Internacional de Funcionalidade, Incapacidade e Saúde.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IEEE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Institute of Electrical and Electronics Engineers</w:t>
            </w:r>
            <w:r>
              <w:rPr/>
              <w:t>; associação técnico-científica e entidade editorial/de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ISO</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Organization for Standardization</w:t>
            </w:r>
            <w:r>
              <w:rPr/>
              <w:t>; Organização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JSON</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JavaScript Object Notation</w:t>
            </w:r>
            <w:r>
              <w:rPr/>
              <w:t>; formato leve de intercâmbio de dados.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JWT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JSON Web Token</w:t>
            </w:r>
            <w:r>
              <w:rPr/>
              <w:t>; token web em formato JSON para autenticação e autorização.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LL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Lower Limb</w:t>
            </w:r>
            <w:r>
              <w:rPr/>
              <w:t>; membro inferior.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MCP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Metacarpophalangeal</w:t>
            </w:r>
            <w:r>
              <w:rPr/>
              <w:t>; articulação metacarpofalângica.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MDR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Medical Device Regulation</w:t>
            </w:r>
            <w:r>
              <w:rPr/>
              <w:t>; Regulamento Europeu dos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MPT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Matching Person and Technology</w:t>
            </w:r>
            <w:r>
              <w:rPr/>
              <w:t>; modelo de adequação entre pessoa e tecnologia.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MRI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Magnetic Resonance Imaging</w:t>
            </w:r>
            <w:r>
              <w:rPr/>
              <w:t>; ressonância magnética.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PCA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Principal Component Analysis</w:t>
            </w:r>
            <w:r>
              <w:rPr/>
              <w:t>; análise de componentes principais.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PDF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Portable Document Format</w:t>
            </w:r>
            <w:r>
              <w:rPr/>
              <w:t>; formato portátil de documento.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PIP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Proximal Interphalangeal</w:t>
            </w:r>
            <w:r>
              <w:rPr/>
              <w:t>; articulação interfalângica proximal.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Palm Length</w:t>
            </w:r>
            <w:r>
              <w:rPr/>
              <w:t>; comprimento da palma.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PRISMA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Preferred Reporting Items for Systematic Reviews and Meta-Analyses</w:t>
            </w:r>
            <w:r>
              <w:rPr/>
              <w:t>; diretrizes para reporte de revisões sistemáticas e meta-análises.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RTD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Research Through Design</w:t>
            </w:r>
            <w:r>
              <w:rPr/>
              <w:t>; investigação através do design.</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Standard Deviation</w:t>
            </w:r>
            <w:r>
              <w:rPr/>
              <w:t>; desvio-padrão.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estereolitografia.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Selective Laser Sintering</w:t>
            </w:r>
            <w:r>
              <w:rPr/>
              <w:t>; sinterização seletiva a laser.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Statistical Shape Modelling</w:t>
            </w:r>
            <w:r>
              <w:rPr/>
              <w:t>; modelação estatística da forma.</w:t>
            </w:r>
          </w:p>
        </w:tc>
      </w:tr>
      <w:tr>
        <w:trPr/>
        <w:tc>
          <w:tcPr>
            <w:tcW w:w="1259" w:type="dxa"/>
            <w:tcBorders>
              <w:left w:val="single" w:sz="4" w:space="0" w:color="808080"/>
              <w:bottom w:val="single" w:sz="4" w:space="0" w:color="808080"/>
              <w:right w:val="single" w:sz="4" w:space="0" w:color="808080"/>
            </w:tcBorders>
          </w:tcPr>
          <w:p>
            <w:pPr>
              <w:pStyle w:val="BodyText"/>
              <w:bidi w:val="0"/>
              <w:spacing w:before="0" w:after="140"/>
              <w:jc w:val="left"/>
              <w:rPr>
                <w:lang w:val="pt-PT"/>
              </w:rPr>
            </w:pPr>
            <w:r>
              <w:rPr>
                <w:lang w:val="pt-PT"/>
              </w:rPr>
              <w:t>SQLite</w:t>
            </w:r>
          </w:p>
        </w:tc>
        <w:tc>
          <w:tcPr>
            <w:tcW w:w="7767" w:type="dxa"/>
            <w:tcBorders>
              <w:left w:val="single" w:sz="4" w:space="0" w:color="808080"/>
              <w:bottom w:val="single" w:sz="4" w:space="0" w:color="808080"/>
              <w:right w:val="single" w:sz="4" w:space="0" w:color="808080"/>
            </w:tcBorders>
          </w:tcPr>
          <w:p>
            <w:pPr>
              <w:pStyle w:val="Normal"/>
              <w:rPr/>
            </w:pPr>
            <w:r>
              <w:rPr/>
              <w:t>Motor leve de base de dados relacional baseado em SQL, autónomo e incorporável na aplicação.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STL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formato de ficheiro de malha tridimensional usado em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TC</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Technical Committee</w:t>
            </w:r>
            <w:r>
              <w:rPr/>
              <w:t>; comité técnico.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TRL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Technology Readiness Level</w:t>
            </w:r>
            <w:r>
              <w:rPr/>
              <w:t>; nível de prontidão tecnológica.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User-Centred Design</w:t>
            </w:r>
            <w:r>
              <w:rPr/>
              <w:t>; design centrado no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Interface</w:t>
            </w:r>
            <w:r>
              <w:rPr/>
              <w:t>; interface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Upper Limb</w:t>
            </w:r>
            <w:r>
              <w:rPr/>
              <w:t>; membro superior.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UX</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Experience</w:t>
            </w:r>
            <w:r>
              <w:rPr/>
              <w:t>; experiência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WASM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WebAssembly</w:t>
            </w:r>
            <w:r>
              <w:rPr/>
              <w:t>; tecnologia para execução de código compilado no navegador.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XAI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Explainable Artificial Intelligence</w:t>
            </w:r>
            <w:r>
              <w:rPr/>
              <w:t>; inteligência artificial explicável.</w:t>
            </w:r>
          </w:p>
        </w:tc>
      </w:tr>
    </w:tbl>
    <w:p>
      <w:pPr>
        <w:pStyle w:val="Heading2"/>
        <w:bidi w:val="0"/>
        <w:jc w:val="left"/>
        <w:rPr>
          <w:lang w:val="pt-PT"/>
        </w:rPr>
      </w:pPr>
      <w:r>
        <w:rPr>
          <w:lang w:val="pt-PT"/>
        </w:rPr>
      </w:r>
    </w:p>
    <w:p>
      <w:pPr>
        <w:pStyle w:val="Heading2"/>
        <w:rPr/>
      </w:pPr>
      <w:r>
        <w:t>Lista de tabelas</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00"/>
        <w:gridCol w:w="7300"/>
        <w:gridCol w:w="900"/>
      </w:tblGrid>
      <w:tr>
        <w:tc>
          <w:tcPr>
            <w:tcW w:w="1500" w:type="dxa"/>
          </w:tcPr>
          <w:p>
            <w:r>
              <w:t>Identificação</w:t>
            </w:r>
          </w:p>
        </w:tc>
        <w:tc>
          <w:tcPr>
            <w:tcW w:w="7300" w:type="dxa"/>
          </w:tcPr>
          <w:p>
            <w:r>
              <w:t>Descrição</w:t>
            </w:r>
          </w:p>
        </w:tc>
        <w:tc>
          <w:tcPr>
            <w:tcW w:w="900" w:type="dxa"/>
          </w:tcPr>
          <w:p>
            <w:r>
              <w:t>Página</w:t>
            </w:r>
          </w:p>
        </w:tc>
      </w:tr>
      <w:tr>
        <w:tc>
          <w:tcPr>
            <w:tcW w:w="1500" w:type="dxa"/>
          </w:tcPr>
          <w:p>
            <w:r>
              <w:t>Tabela 2.1</w:t>
            </w:r>
          </w:p>
        </w:tc>
        <w:tc>
          <w:tcPr>
            <w:tcW w:w="7300" w:type="dxa"/>
          </w:tcPr>
          <w:p>
            <w:r>
              <w:t>Papéis dos profissionais de saúde no desenvolvimento de dispositivos médicos</w:t>
            </w:r>
          </w:p>
        </w:tc>
        <w:tc>
          <w:tcPr>
            <w:tcW w:w="900" w:type="dxa"/>
          </w:tcPr>
          <w:p>
            <w:r>
              <w:t>14</w:t>
            </w:r>
          </w:p>
        </w:tc>
      </w:tr>
      <w:tr>
        <w:tc>
          <w:tcPr>
            <w:tcW w:w="1500" w:type="dxa"/>
          </w:tcPr>
          <w:p>
            <w:r>
              <w:t>Tabela 2.2</w:t>
            </w:r>
          </w:p>
        </w:tc>
        <w:tc>
          <w:tcPr>
            <w:tcW w:w="7300" w:type="dxa"/>
          </w:tcPr>
          <w:p>
            <w:r>
              <w:t>Elementos centrais na configuração da participação em sistemas configuráveis</w:t>
            </w:r>
          </w:p>
        </w:tc>
        <w:tc>
          <w:tcPr>
            <w:tcW w:w="900" w:type="dxa"/>
          </w:tcPr>
          <w:p>
            <w:r>
              <w:t>34</w:t>
            </w:r>
          </w:p>
        </w:tc>
      </w:tr>
      <w:tr>
        <w:tc>
          <w:tcPr>
            <w:tcW w:w="1500" w:type="dxa"/>
          </w:tcPr>
          <w:p>
            <w:r>
              <w:t>Tabela 4.1</w:t>
            </w:r>
          </w:p>
        </w:tc>
        <w:tc>
          <w:tcPr>
            <w:tcW w:w="7300" w:type="dxa"/>
          </w:tcPr>
          <w:p>
            <w:r>
              <w:t>Principais parâmetros antropométricos da mão e do membro superior relevantes para modelação paramétrica</w:t>
            </w:r>
          </w:p>
        </w:tc>
        <w:tc>
          <w:tcPr>
            <w:tcW w:w="900" w:type="dxa"/>
          </w:tcPr>
          <w:p>
            <w:r>
              <w:t>53</w:t>
            </w:r>
          </w:p>
        </w:tc>
      </w:tr>
      <w:tr>
        <w:tc>
          <w:tcPr>
            <w:tcW w:w="1500" w:type="dxa"/>
          </w:tcPr>
          <w:p>
            <w:r>
              <w:t>Tabela 4.2</w:t>
            </w:r>
          </w:p>
        </w:tc>
        <w:tc>
          <w:tcPr>
            <w:tcW w:w="7300" w:type="dxa"/>
          </w:tcPr>
          <w:p>
            <w:r>
              <w:t>Conjuntos mínimos de parâmetros por nível de amputação</w:t>
            </w:r>
          </w:p>
        </w:tc>
        <w:tc>
          <w:tcPr>
            <w:tcW w:w="900" w:type="dxa"/>
          </w:tcPr>
          <w:p>
            <w:r>
              <w:t>53</w:t>
            </w:r>
          </w:p>
        </w:tc>
      </w:tr>
      <w:tr>
        <w:tc>
          <w:tcPr>
            <w:tcW w:w="1500" w:type="dxa"/>
          </w:tcPr>
          <w:p>
            <w:r>
              <w:t>Tabela 4.3</w:t>
            </w:r>
          </w:p>
        </w:tc>
        <w:tc>
          <w:tcPr>
            <w:tcW w:w="7300" w:type="dxa"/>
          </w:tcPr>
          <w:p>
            <w:r>
              <w:t>Métodos de recolha de dados antropométricos e suas características</w:t>
            </w:r>
          </w:p>
        </w:tc>
        <w:tc>
          <w:tcPr>
            <w:tcW w:w="900" w:type="dxa"/>
          </w:tcPr>
          <w:p>
            <w:r>
              <w:t>55</w:t>
            </w:r>
          </w:p>
        </w:tc>
      </w:tr>
      <w:tr>
        <w:tc>
          <w:tcPr>
            <w:tcW w:w="1500" w:type="dxa"/>
          </w:tcPr>
          <w:p>
            <w:r>
              <w:t>Tabela 4.4</w:t>
            </w:r>
          </w:p>
        </w:tc>
        <w:tc>
          <w:tcPr>
            <w:tcW w:w="7300" w:type="dxa"/>
          </w:tcPr>
          <w:p>
            <w:r>
              <w:t>Fontes integradas na base local de dados antropométricos</w:t>
            </w:r>
          </w:p>
        </w:tc>
        <w:tc>
          <w:tcPr>
            <w:tcW w:w="900" w:type="dxa"/>
          </w:tcPr>
          <w:p>
            <w:r>
              <w:t>57</w:t>
            </w:r>
          </w:p>
        </w:tc>
      </w:tr>
      <w:tr>
        <w:tc>
          <w:tcPr>
            <w:tcW w:w="1500" w:type="dxa"/>
          </w:tcPr>
          <w:p>
            <w:r>
              <w:t>Tabela 4.5</w:t>
            </w:r>
          </w:p>
        </w:tc>
        <w:tc>
          <w:tcPr>
            <w:tcW w:w="7300" w:type="dxa"/>
          </w:tcPr>
          <w:p>
            <w:r>
              <w:t>Estrutura hierárquica dos parâmetros no modelo paramétrico</w:t>
            </w:r>
          </w:p>
        </w:tc>
        <w:tc>
          <w:tcPr>
            <w:tcW w:w="900" w:type="dxa"/>
          </w:tcPr>
          <w:p>
            <w:r>
              <w:t>61</w:t>
            </w:r>
          </w:p>
        </w:tc>
      </w:tr>
      <w:tr>
        <w:tc>
          <w:tcPr>
            <w:tcW w:w="1500" w:type="dxa"/>
          </w:tcPr>
          <w:p>
            <w:r>
              <w:t>Tabela 4.6</w:t>
            </w:r>
          </w:p>
        </w:tc>
        <w:tc>
          <w:tcPr>
            <w:tcW w:w="7300" w:type="dxa"/>
          </w:tcPr>
          <w:p>
            <w:r>
              <w:t>Mapeamento entre parâmetros antropométricos e elementos do modelo</w:t>
            </w:r>
          </w:p>
        </w:tc>
        <w:tc>
          <w:tcPr>
            <w:tcW w:w="900" w:type="dxa"/>
          </w:tcPr>
          <w:p>
            <w:r>
              <w:t>63</w:t>
            </w:r>
          </w:p>
        </w:tc>
      </w:tr>
      <w:tr>
        <w:tc>
          <w:tcPr>
            <w:tcW w:w="1500" w:type="dxa"/>
          </w:tcPr>
          <w:p>
            <w:r>
              <w:t>Tabela 4.7</w:t>
            </w:r>
          </w:p>
        </w:tc>
        <w:tc>
          <w:tcPr>
            <w:tcW w:w="7300" w:type="dxa"/>
          </w:tcPr>
          <w:p>
            <w:r>
              <w:t>Estrutura técnica em camadas de um modelo paramétrico em OpenSCAD para próteses personalizadas</w:t>
            </w:r>
          </w:p>
        </w:tc>
        <w:tc>
          <w:tcPr>
            <w:tcW w:w="900" w:type="dxa"/>
          </w:tcPr>
          <w:p>
            <w:r>
              <w:t>65</w:t>
            </w:r>
          </w:p>
        </w:tc>
      </w:tr>
      <w:tr>
        <w:tc>
          <w:tcPr>
            <w:tcW w:w="1500" w:type="dxa"/>
          </w:tcPr>
          <w:p>
            <w:r>
              <w:t>Tabela 8.1</w:t>
            </w:r>
          </w:p>
        </w:tc>
        <w:tc>
          <w:tcPr>
            <w:tcW w:w="7300" w:type="dxa"/>
          </w:tcPr>
          <w:p>
            <w:r>
              <w:t>Entradas/prompt utilizadas para criação dos perfis de validação antropométrica por IA</w:t>
            </w:r>
          </w:p>
        </w:tc>
        <w:tc>
          <w:tcPr>
            <w:tcW w:w="900" w:type="dxa"/>
          </w:tcPr>
          <w:p>
            <w:r>
              <w:t>99</w:t>
            </w:r>
          </w:p>
        </w:tc>
      </w:tr>
      <w:tr>
        <w:tc>
          <w:tcPr>
            <w:tcW w:w="1500" w:type="dxa"/>
          </w:tcPr>
          <w:p>
            <w:r>
              <w:t>Tabela 8.2</w:t>
            </w:r>
          </w:p>
        </w:tc>
        <w:tc>
          <w:tcPr>
            <w:tcW w:w="7300" w:type="dxa"/>
          </w:tcPr>
          <w:p>
            <w:r>
              <w:t>Síntese da validação antropométrica assistida por IA</w:t>
            </w:r>
          </w:p>
        </w:tc>
        <w:tc>
          <w:tcPr>
            <w:tcW w:w="900" w:type="dxa"/>
          </w:tcPr>
          <w:p>
            <w:r>
              <w:t>102</w:t>
            </w:r>
          </w:p>
        </w:tc>
      </w:tr>
      <w:tr>
        <w:tc>
          <w:tcPr>
            <w:tcW w:w="1500" w:type="dxa"/>
          </w:tcPr>
          <w:p>
            <w:r>
              <w:t>Tabela 8.3</w:t>
            </w:r>
          </w:p>
        </w:tc>
        <w:tc>
          <w:tcPr>
            <w:tcW w:w="7300" w:type="dxa"/>
          </w:tcPr>
          <w:p>
            <w:r>
              <w:t>Modelos e mecanismos de escala avaliados</w:t>
            </w:r>
          </w:p>
        </w:tc>
        <w:tc>
          <w:tcPr>
            <w:tcW w:w="900" w:type="dxa"/>
          </w:tcPr>
          <w:p>
            <w:r>
              <w:t>103</w:t>
            </w:r>
          </w:p>
        </w:tc>
      </w:tr>
      <w:tr>
        <w:tc>
          <w:tcPr>
            <w:tcW w:w="1500" w:type="dxa"/>
          </w:tcPr>
          <w:p>
            <w:r>
              <w:t>Tabela 8.4</w:t>
            </w:r>
          </w:p>
        </w:tc>
        <w:tc>
          <w:tcPr>
            <w:tcW w:w="7300" w:type="dxa"/>
          </w:tcPr>
          <w:p>
            <w:r>
              <w:t>Rácio adimensional da maior dimensão da palma exportada face ao baseline</w:t>
            </w:r>
          </w:p>
        </w:tc>
        <w:tc>
          <w:tcPr>
            <w:tcW w:w="900" w:type="dxa"/>
          </w:tcPr>
          <w:p>
            <w:r>
              <w:t>103</w:t>
            </w:r>
          </w:p>
        </w:tc>
      </w:tr>
    </w:tbl>
    <w:p/>
    <w:p>
      <w:pPr>
        <w:pStyle w:val="Heading2"/>
        <w:rPr/>
      </w:pPr>
      <w:r>
        <w:t>Lista de figuras</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00"/>
        <w:gridCol w:w="7300"/>
        <w:gridCol w:w="900"/>
      </w:tblGrid>
      <w:tr>
        <w:tc>
          <w:tcPr>
            <w:tcW w:w="1500" w:type="dxa"/>
          </w:tcPr>
          <w:p>
            <w:r>
              <w:t>Identificação</w:t>
            </w:r>
          </w:p>
        </w:tc>
        <w:tc>
          <w:tcPr>
            <w:tcW w:w="7300" w:type="dxa"/>
          </w:tcPr>
          <w:p>
            <w:r>
              <w:t>Descrição</w:t>
            </w:r>
          </w:p>
        </w:tc>
        <w:tc>
          <w:tcPr>
            <w:tcW w:w="900" w:type="dxa"/>
          </w:tcPr>
          <w:p>
            <w:r>
              <w:t>Página</w:t>
            </w:r>
          </w:p>
        </w:tc>
      </w:tr>
      <w:tr>
        <w:tc>
          <w:tcPr>
            <w:tcW w:w="1500" w:type="dxa"/>
          </w:tcPr>
          <w:p>
            <w:r>
              <w:t>Figura 1.1</w:t>
            </w:r>
          </w:p>
        </w:tc>
        <w:tc>
          <w:tcPr>
            <w:tcW w:w="7300" w:type="dxa"/>
          </w:tcPr>
          <w:p>
            <w:r>
              <w:t>Exemplos de próteses e dispositivos associados à fabricação aditiva em contexto protésico.</w:t>
            </w:r>
          </w:p>
        </w:tc>
        <w:tc>
          <w:tcPr>
            <w:tcW w:w="900" w:type="dxa"/>
          </w:tcPr>
          <w:p>
            <w:r>
              <w:t>5</w:t>
            </w:r>
          </w:p>
        </w:tc>
      </w:tr>
      <w:tr>
        <w:tc>
          <w:tcPr>
            <w:tcW w:w="1500" w:type="dxa"/>
          </w:tcPr>
          <w:p>
            <w:r>
              <w:t>Figura 2.1</w:t>
            </w:r>
          </w:p>
        </w:tc>
        <w:tc>
          <w:tcPr>
            <w:tcW w:w="7300" w:type="dxa"/>
          </w:tcPr>
          <w:p>
            <w:r>
              <w:t>Exemplos de próteses de membro superior impressas em 3D, ilustrando diversidade tipológica e construtiva.</w:t>
            </w:r>
          </w:p>
        </w:tc>
        <w:tc>
          <w:tcPr>
            <w:tcW w:w="900" w:type="dxa"/>
          </w:tcPr>
          <w:p>
            <w:r>
              <w:t>10</w:t>
            </w:r>
          </w:p>
        </w:tc>
      </w:tr>
      <w:tr>
        <w:tc>
          <w:tcPr>
            <w:tcW w:w="1500" w:type="dxa"/>
          </w:tcPr>
          <w:p>
            <w:r>
              <w:t>Figura 2.2</w:t>
            </w:r>
          </w:p>
        </w:tc>
        <w:tc>
          <w:tcPr>
            <w:tcW w:w="7300" w:type="dxa"/>
          </w:tcPr>
          <w:p>
            <w:r>
              <w:t>Utilização, rejeição primária e rejeição secundária de próteses do membro superior adquiridas.</w:t>
            </w:r>
          </w:p>
        </w:tc>
        <w:tc>
          <w:tcPr>
            <w:tcW w:w="900" w:type="dxa"/>
          </w:tcPr>
          <w:p>
            <w:r>
              <w:t>12</w:t>
            </w:r>
          </w:p>
        </w:tc>
      </w:tr>
      <w:tr>
        <w:tc>
          <w:tcPr>
            <w:tcW w:w="1500" w:type="dxa"/>
          </w:tcPr>
          <w:p>
            <w:r>
              <w:t>Figura 2.3</w:t>
            </w:r>
          </w:p>
        </w:tc>
        <w:tc>
          <w:tcPr>
            <w:tcW w:w="7300" w:type="dxa"/>
          </w:tcPr>
          <w:p>
            <w:r>
              <w:t>Fluxo digital entre aquisição, CAD/CAM e fabricação aditiva em próteses e ortóteses.</w:t>
            </w:r>
          </w:p>
        </w:tc>
        <w:tc>
          <w:tcPr>
            <w:tcW w:w="900" w:type="dxa"/>
          </w:tcPr>
          <w:p>
            <w:r>
              <w:t>17</w:t>
            </w:r>
          </w:p>
        </w:tc>
      </w:tr>
      <w:tr>
        <w:tc>
          <w:tcPr>
            <w:tcW w:w="1500" w:type="dxa"/>
          </w:tcPr>
          <w:p>
            <w:r>
              <w:t>Figura 2.4</w:t>
            </w:r>
          </w:p>
        </w:tc>
        <w:tc>
          <w:tcPr>
            <w:tcW w:w="7300" w:type="dxa"/>
          </w:tcPr>
          <w:p>
            <w:r>
              <w:t>Exemplo de configurador digital para personalização de uma prótese impressa em 3D.</w:t>
            </w:r>
          </w:p>
        </w:tc>
        <w:tc>
          <w:tcPr>
            <w:tcW w:w="900" w:type="dxa"/>
          </w:tcPr>
          <w:p>
            <w:r>
              <w:t>20</w:t>
            </w:r>
          </w:p>
        </w:tc>
      </w:tr>
      <w:tr>
        <w:tc>
          <w:tcPr>
            <w:tcW w:w="1500" w:type="dxa"/>
          </w:tcPr>
          <w:p>
            <w:r>
              <w:t>Figura 2.5</w:t>
            </w:r>
          </w:p>
        </w:tc>
        <w:tc>
          <w:tcPr>
            <w:tcW w:w="7300" w:type="dxa"/>
          </w:tcPr>
          <w:p>
            <w:r>
              <w:t>Marcos anatómicos e medidas de referência da mão para fins de personalização.</w:t>
            </w:r>
          </w:p>
        </w:tc>
        <w:tc>
          <w:tcPr>
            <w:tcW w:w="900" w:type="dxa"/>
          </w:tcPr>
          <w:p>
            <w:r>
              <w:t>25</w:t>
            </w:r>
          </w:p>
        </w:tc>
      </w:tr>
      <w:tr>
        <w:tc>
          <w:tcPr>
            <w:tcW w:w="1500" w:type="dxa"/>
          </w:tcPr>
          <w:p>
            <w:r>
              <w:t>Figura 2.6</w:t>
            </w:r>
          </w:p>
        </w:tc>
        <w:tc>
          <w:tcPr>
            <w:tcW w:w="7300" w:type="dxa"/>
          </w:tcPr>
          <w:p>
            <w:r>
              <w:t>Enquadramento de um fluxo de CAD assistido por IA para desenvolvimento de produto.</w:t>
            </w:r>
          </w:p>
        </w:tc>
        <w:tc>
          <w:tcPr>
            <w:tcW w:w="900" w:type="dxa"/>
          </w:tcPr>
          <w:p>
            <w:r>
              <w:t>29</w:t>
            </w:r>
          </w:p>
        </w:tc>
      </w:tr>
      <w:tr>
        <w:tc>
          <w:tcPr>
            <w:tcW w:w="1500" w:type="dxa"/>
          </w:tcPr>
          <w:p>
            <w:r>
              <w:t>Figura 2.7</w:t>
            </w:r>
          </w:p>
        </w:tc>
        <w:tc>
          <w:tcPr>
            <w:tcW w:w="7300" w:type="dxa"/>
          </w:tcPr>
          <w:p>
            <w:r>
              <w:t>Modelo de processo para configurar participação em ecossistemas de inovação e cocriação.</w:t>
            </w:r>
          </w:p>
        </w:tc>
        <w:tc>
          <w:tcPr>
            <w:tcW w:w="900" w:type="dxa"/>
          </w:tcPr>
          <w:p>
            <w:r>
              <w:t>34</w:t>
            </w:r>
          </w:p>
        </w:tc>
      </w:tr>
      <w:tr>
        <w:tc>
          <w:tcPr>
            <w:tcW w:w="1500" w:type="dxa"/>
          </w:tcPr>
          <w:p>
            <w:r>
              <w:t>Figura 2.8</w:t>
            </w:r>
          </w:p>
        </w:tc>
        <w:tc>
          <w:tcPr>
            <w:tcW w:w="7300" w:type="dxa"/>
          </w:tcPr>
          <w:p>
            <w:r>
              <w:t>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tc>
        <w:tc>
          <w:tcPr>
            <w:tcW w:w="900" w:type="dxa"/>
          </w:tcPr>
          <w:p>
            <w:r>
              <w:t>39</w:t>
            </w:r>
          </w:p>
        </w:tc>
      </w:tr>
      <w:tr>
        <w:tc>
          <w:tcPr>
            <w:tcW w:w="1500" w:type="dxa"/>
          </w:tcPr>
          <w:p>
            <w:r>
              <w:t>Figura 3.1</w:t>
            </w:r>
          </w:p>
        </w:tc>
        <w:tc>
          <w:tcPr>
            <w:tcW w:w="7300" w:type="dxa"/>
          </w:tcPr>
          <w:p>
            <w:r>
              <w:t>Processo interdisciplinar de desenvolvimento de uma prótese de membro superior impressa em 3D.</w:t>
            </w:r>
          </w:p>
        </w:tc>
        <w:tc>
          <w:tcPr>
            <w:tcW w:w="900" w:type="dxa"/>
          </w:tcPr>
          <w:p>
            <w:r>
              <w:t>44</w:t>
            </w:r>
          </w:p>
        </w:tc>
      </w:tr>
      <w:tr>
        <w:tc>
          <w:tcPr>
            <w:tcW w:w="1500" w:type="dxa"/>
          </w:tcPr>
          <w:p>
            <w:r>
              <w:t>Figura 3.2</w:t>
            </w:r>
          </w:p>
        </w:tc>
        <w:tc>
          <w:tcPr>
            <w:tcW w:w="7300" w:type="dxa"/>
          </w:tcPr>
          <w:p>
            <w:r>
              <w:t>Exemplo de recolha dimensional para ajuste de prótese impressa em 3D.</w:t>
            </w:r>
          </w:p>
        </w:tc>
        <w:tc>
          <w:tcPr>
            <w:tcW w:w="900" w:type="dxa"/>
          </w:tcPr>
          <w:p>
            <w:r>
              <w:t>47</w:t>
            </w:r>
          </w:p>
        </w:tc>
      </w:tr>
      <w:tr>
        <w:tc>
          <w:tcPr>
            <w:tcW w:w="1500" w:type="dxa"/>
          </w:tcPr>
          <w:p>
            <w:r>
              <w:t>Figura 4.1</w:t>
            </w:r>
          </w:p>
        </w:tc>
        <w:tc>
          <w:tcPr>
            <w:tcW w:w="7300" w:type="dxa"/>
          </w:tcPr>
          <w:p>
            <w:r>
              <w:t>Parâmetros antropométricos utilizados na modelação paramétrica de dedos protésicos.</w:t>
            </w:r>
          </w:p>
        </w:tc>
        <w:tc>
          <w:tcPr>
            <w:tcW w:w="900" w:type="dxa"/>
          </w:tcPr>
          <w:p>
            <w:r>
              <w:t>51</w:t>
            </w:r>
          </w:p>
        </w:tc>
      </w:tr>
      <w:tr>
        <w:tc>
          <w:tcPr>
            <w:tcW w:w="1500" w:type="dxa"/>
          </w:tcPr>
          <w:p>
            <w:r>
              <w:t>Figura 4.2</w:t>
            </w:r>
          </w:p>
        </w:tc>
        <w:tc>
          <w:tcPr>
            <w:tcW w:w="7300" w:type="dxa"/>
          </w:tcPr>
          <w:p>
            <w:r>
              <w:t>Comparação entre o escalonamento uniforme e a modelação paramétrica de dedo protésico.</w:t>
            </w:r>
          </w:p>
        </w:tc>
        <w:tc>
          <w:tcPr>
            <w:tcW w:w="900" w:type="dxa"/>
          </w:tcPr>
          <w:p>
            <w:r>
              <w:t>55</w:t>
            </w:r>
          </w:p>
        </w:tc>
      </w:tr>
      <w:tr>
        <w:tc>
          <w:tcPr>
            <w:tcW w:w="1500" w:type="dxa"/>
          </w:tcPr>
          <w:p>
            <w:r>
              <w:t>Figura 4.3</w:t>
            </w:r>
          </w:p>
        </w:tc>
        <w:tc>
          <w:tcPr>
            <w:tcW w:w="7300" w:type="dxa"/>
          </w:tcPr>
          <w:p>
            <w:r>
              <w:t>Relação entre modelo paramétrico digital, prototipagem e verificação de um dedo protésico.</w:t>
            </w:r>
          </w:p>
        </w:tc>
        <w:tc>
          <w:tcPr>
            <w:tcW w:w="900" w:type="dxa"/>
          </w:tcPr>
          <w:p>
            <w:r>
              <w:t>65</w:t>
            </w:r>
          </w:p>
        </w:tc>
      </w:tr>
      <w:tr>
        <w:tc>
          <w:tcPr>
            <w:tcW w:w="1500" w:type="dxa"/>
          </w:tcPr>
          <w:p>
            <w:r>
              <w:t>Figura 5.1</w:t>
            </w:r>
          </w:p>
        </w:tc>
        <w:tc>
          <w:tcPr>
            <w:tcW w:w="7300" w:type="dxa"/>
          </w:tcPr>
          <w:p>
            <w:r>
              <w:t>Fluxo geral de produção personalizada de próteses a partir de plataforma web – Hand Fab</w:t>
            </w:r>
          </w:p>
        </w:tc>
        <w:tc>
          <w:tcPr>
            <w:tcW w:w="900" w:type="dxa"/>
          </w:tcPr>
          <w:p>
            <w:r>
              <w:t>71</w:t>
            </w:r>
          </w:p>
        </w:tc>
      </w:tr>
      <w:tr>
        <w:tc>
          <w:tcPr>
            <w:tcW w:w="1500" w:type="dxa"/>
          </w:tcPr>
          <w:p>
            <w:r>
              <w:t>Figura 5.2</w:t>
            </w:r>
          </w:p>
        </w:tc>
        <w:tc>
          <w:tcPr>
            <w:tcW w:w="7300" w:type="dxa"/>
          </w:tcPr>
          <w:p>
            <w:r>
              <w:t>Fluxo geral de produção personalizada de próteses a partir de digitalização, CAD adaptativo e fabrico aditivo.</w:t>
            </w:r>
          </w:p>
        </w:tc>
        <w:tc>
          <w:tcPr>
            <w:tcW w:w="900" w:type="dxa"/>
          </w:tcPr>
          <w:p>
            <w:r>
              <w:t>73</w:t>
            </w:r>
          </w:p>
        </w:tc>
      </w:tr>
      <w:tr>
        <w:tc>
          <w:tcPr>
            <w:tcW w:w="1500" w:type="dxa"/>
          </w:tcPr>
          <w:p>
            <w:r>
              <w:t>Figura 5.3</w:t>
            </w:r>
          </w:p>
        </w:tc>
        <w:tc>
          <w:tcPr>
            <w:tcW w:w="7300" w:type="dxa"/>
          </w:tcPr>
          <w:p>
            <w:r>
              <w:t>Ferramenta paramétrica para configuração de ajudas técnicas com variação de dimensões, materiais e peso.</w:t>
            </w:r>
          </w:p>
        </w:tc>
        <w:tc>
          <w:tcPr>
            <w:tcW w:w="900" w:type="dxa"/>
          </w:tcPr>
          <w:p>
            <w:r>
              <w:t>77</w:t>
            </w:r>
          </w:p>
        </w:tc>
      </w:tr>
      <w:tr>
        <w:tc>
          <w:tcPr>
            <w:tcW w:w="1500" w:type="dxa"/>
          </w:tcPr>
          <w:p>
            <w:r>
              <w:t>Figura 6.1</w:t>
            </w:r>
          </w:p>
        </w:tc>
        <w:tc>
          <w:tcPr>
            <w:tcW w:w="7300" w:type="dxa"/>
          </w:tcPr>
          <w:p>
            <w:r>
              <w:t>Relação entre desafios de explicabilidade e princípios de IA responsável.</w:t>
            </w:r>
          </w:p>
        </w:tc>
        <w:tc>
          <w:tcPr>
            <w:tcW w:w="900" w:type="dxa"/>
          </w:tcPr>
          <w:p>
            <w:r>
              <w:t>89</w:t>
            </w:r>
          </w:p>
        </w:tc>
      </w:tr>
      <w:tr>
        <w:tc>
          <w:tcPr>
            <w:tcW w:w="1500" w:type="dxa"/>
          </w:tcPr>
          <w:p>
            <w:r>
              <w:t>Figura 7.1</w:t>
            </w:r>
          </w:p>
        </w:tc>
        <w:tc>
          <w:tcPr>
            <w:tcW w:w="7300" w:type="dxa"/>
          </w:tcPr>
          <w:p>
            <w:r>
              <w:t>Teste de uma prótese impressa em 3D com utilizador em contexto aplicado.</w:t>
            </w:r>
          </w:p>
        </w:tc>
        <w:tc>
          <w:tcPr>
            <w:tcW w:w="900" w:type="dxa"/>
          </w:tcPr>
          <w:p>
            <w:r>
              <w:t>94</w:t>
            </w:r>
          </w:p>
        </w:tc>
      </w:tr>
      <w:tr>
        <w:tc>
          <w:tcPr>
            <w:tcW w:w="1500" w:type="dxa"/>
          </w:tcPr>
          <w:p>
            <w:r>
              <w:t>Figura 8.1</w:t>
            </w:r>
          </w:p>
        </w:tc>
        <w:tc>
          <w:tcPr>
            <w:tcW w:w="7300" w:type="dxa"/>
          </w:tcPr>
          <w:p>
            <w:r>
              <w:t>Tarefas funcionais usadas em avaliação de prótese personalizada de membro superior.</w:t>
            </w:r>
          </w:p>
        </w:tc>
        <w:tc>
          <w:tcPr>
            <w:tcW w:w="900" w:type="dxa"/>
          </w:tcPr>
          <w:p>
            <w:r>
              <w:t>98</w:t>
            </w:r>
          </w:p>
        </w:tc>
      </w:tr>
    </w:tbl>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w:t>
      </w:r>
      <w:r>
        <w:rPr/>
        <w:t>No entanto, muitos desses modelos dependem de geometrias fixas, isto é, formas pré-definidas sem adaptação automática, ou de ajustes manuais pouco padronizados. Esta condição resulta em alterações sem protocolo uniforme e dificulta a expansão, a geração de variantes consistentes e a integração robusta de dados antropométricos, ou seja, de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ns2:inline distT="0" distB="0" distL="0" distR="0">
            <ns2:extent cx="5715000" cy="3924300"/>
            <ns2:effectExtent l="0" t="0" r="0" b="0"/>
            <ns2:docPr id="1" name="Image 1" descr="Image 1"/>
            <ns2:cNvGraphicFramePr>
              <ns3:graphicFrameLocks noChangeAspect="1"/>
            </ns2:cNvGraphicFramePr>
            <ns3:graphic>
              <ns3:graphicData uri="http://schemas.openxmlformats.org/drawingml/2006/picture">
                <ns4:pic>
                  <ns4:nvPicPr>
                    <ns4:cNvPr id="1" name="Image 1" descr="Image 1"/>
                    <ns4:cNvPicPr>
                      <ns3:picLocks noChangeAspect="1" noChangeArrowheads="1"/>
                    </ns4:cNvPicPr>
                  </ns4:nvPicPr>
                  <ns4:blipFill>
                    <ns3:blip ns5:embed="rId2"/>
                    <ns3:stretch>
                      <ns3:fillRect/>
                    </ns3:stretch>
                  </ns4:blipFill>
                  <ns4:spPr bwMode="auto">
                    <ns3:xfrm>
                      <ns3:off x="0" y="0"/>
                      <ns3:ext cx="5715000" cy="3924300"/>
                    </ns3:xfrm>
                    <ns3:prstGeom prst="rect">
                      <ns3:avLst/>
                    </ns3:prstGeom>
                    <ns3:noFill/>
                  </ns4:spPr>
                </ns4:pic>
              </ns3:graphicData>
            </ns3:graphic>
          </ns2: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r>
    </w:p>
    <w:p>
      <w:pPr>
        <w:pStyle w:val="Heading3"/>
        <w:bidi w:val="0"/>
        <w:jc w:val="left"/>
        <w:rPr>
          <w:lang w:val="pt-PT"/>
        </w:rPr>
      </w:pPr>
      <w:r>
        <w:rPr>
          <w:lang w:val="pt-PT"/>
        </w:rPr>
        <w:t>1.3 Objetivos da investigação</w:t>
      </w:r>
    </w:p>
    <w:p>
      <w:pPr>
        <w:pStyle w:val="Heading3"/>
        <w:bidi w:val="0"/>
        <w:jc w:val="left"/>
        <w:rPr>
          <w:lang w:val="pt-PT"/>
        </w:rPr>
      </w:pPr>
      <w:r>
        <w:rPr>
          <w:lang w:val="pt-PT"/>
        </w:rPr>
      </w:r>
    </w:p>
    <w:p>
      <w:pPr>
        <w:pStyle w:val="Heading3"/>
        <w:bidi w:val="0"/>
        <w:jc w:val="left"/>
        <w:rPr>
          <w:lang w:val="pt-PT"/>
        </w:rPr>
      </w:pPr>
      <w:r>
        <w:rPr>
          <w:lang w:val="pt-PT"/>
        </w:rPr>
        <w:t>1.3.1 Objetivo geral</w:t>
      </w:r>
    </w:p>
    <w:p>
      <w:pPr>
        <w:pStyle w:val="Normal"/>
        <w:bidi w:val="0"/>
        <w:jc w:val="left"/>
        <w:rPr>
          <w:lang w:val="pt-PT"/>
        </w:rPr>
      </w:pPr>
      <w:r>
        <w:rPr>
          <w:lang w:val="pt-PT"/>
        </w:rPr>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A validação da abordagem combina testes de perfil, exportação de geometrias, análise de malhas e prototipagem por impressão 3D, avaliando a coerência dimensional, a montagem preliminar, a viabilidade de fabrico e os limites materiais, sem reivindicar validação clínica do dispositivo.</w:t>
      </w:r>
    </w:p>
    <w:p>
      <w:pPr>
        <w:pStyle w:val="Normal"/>
        <w:bidi w:val="0"/>
        <w:jc w:val="left"/>
        <w:rPr>
          <w:lang w:val="pt-PT"/>
        </w:rPr>
      </w:pPr>
      <w:r>
        <w:rPr>
          <w:lang w:val="pt-PT"/>
        </w:rPr>
        <w:t xml:space="preserve">A investigação busca responder: como o design de produto, métodos paramétricos e inteligência artificial podem melhorar a personalização, o conforto e a adequação funcional de próteses, mantendo a acessibilidade e o controle projetual? </w:t>
      </w:r>
      <w:r>
        <w:rPr/>
        <w:t>Que metodologias e ferramentas permitem avaliar a eficácia, a usabilidade, a durabilidade e a replicação controlada de próteses impressas em 3D? Como pode o Design Industrial conciliar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preliminar,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rPr>
          <w:lang w:val="pt-PT"/>
        </w:rPr>
      </w:pPr>
      <w:r>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 xml:space="preserve">As próteses mecânicas utilizam um sistema de arnês e cabos que converte movimentos do ombro, do tronco ou da cintura escapular em ação no dispositivo terminal, tipicamente um gancho ou uma mão mecânica. </w:t>
      </w:r>
      <w:r>
        <w:rPr/>
        <w:t>São soluções tradicionalmente valorizadas pela robustez, pelo comportamento mecânico previsível, pelo menor custo e pela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5467350"/>
            <ns2:effectExtent l="0" t="0" r="0" b="0"/>
            <ns2:docPr id="2" name="Image 2" descr="Image 2"/>
            <ns2:cNvGraphicFramePr>
              <ns3:graphicFrameLocks noChangeAspect="1"/>
            </ns2:cNvGraphicFramePr>
            <ns3:graphic>
              <ns3:graphicData uri="http://schemas.openxmlformats.org/drawingml/2006/picture">
                <ns4:pic>
                  <ns4:nvPicPr>
                    <ns4:cNvPr id="2" name="Image 2" descr="Image 2"/>
                    <ns4:cNvPicPr>
                      <ns3:picLocks noChangeAspect="1" noChangeArrowheads="1"/>
                    </ns4:cNvPicPr>
                  </ns4:nvPicPr>
                  <ns4:blipFill>
                    <ns3:blip ns5:embed="rId3"/>
                    <ns3:stretch>
                      <ns3:fillRect/>
                    </ns3:stretch>
                  </ns4:blipFill>
                  <ns4:spPr bwMode="auto">
                    <ns3:xfrm>
                      <ns3:off x="0" y="0"/>
                      <ns3:ext cx="5715000" cy="5467350"/>
                    </ns3:xfrm>
                    <ns3:prstGeom prst="rect">
                      <ns3:avLst/>
                    </ns3:prstGeom>
                    <ns3:noFill/>
                  </ns4:spPr>
                </ns4:pic>
              </ns3:graphicData>
            </ns3:graphic>
          </ns2: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ns2:inline distT="0" distB="0" distL="0" distR="0">
            <ns2:extent cx="5715000" cy="4086225"/>
            <ns2:effectExtent l="0" t="0" r="0" b="0"/>
            <ns2:docPr id="3" name="Image 3" descr="Image 3"/>
            <ns2:cNvGraphicFramePr>
              <ns3:graphicFrameLocks noChangeAspect="1"/>
            </ns2:cNvGraphicFramePr>
            <ns3:graphic>
              <ns3:graphicData uri="http://schemas.openxmlformats.org/drawingml/2006/picture">
                <ns4:pic>
                  <ns4:nvPicPr>
                    <ns4:cNvPr id="3" name="Image 3" descr="Image 3"/>
                    <ns4:cNvPicPr>
                      <ns3:picLocks noChangeAspect="1" noChangeArrowheads="1"/>
                    </ns4:cNvPicPr>
                  </ns4:nvPicPr>
                  <ns4:blipFill>
                    <ns3:blip ns5:embed="rId4"/>
                    <ns3:stretch>
                      <ns3:fillRect/>
                    </ns3:stretch>
                  </ns4:blipFill>
                  <ns4:spPr bwMode="auto">
                    <ns3:xfrm>
                      <ns3:off x="0" y="0"/>
                      <ns3:ext cx="5715000" cy="4086225"/>
                    </ns3:xfrm>
                    <ns3:prstGeom prst="rect">
                      <ns3:avLst/>
                    </ns3:prstGeom>
                    <ns3:noFill/>
                  </ns4:spPr>
                </ns4:pic>
              </ns3:graphicData>
            </ns3:graphic>
          </ns2: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ns5: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nem a evolução das capacidades físicas, sensoriais e cognitivas ao longo do tempo.</w:t>
      </w:r>
    </w:p>
    <w:p>
      <w:pPr>
        <w:pStyle w:val="Normal"/>
        <w:bidi w:val="0"/>
        <w:jc w:val="left"/>
        <w:rPr>
          <w:lang w:val="pt-PT"/>
        </w:rPr>
      </w:pPr>
      <w:r>
        <w:rPr>
          <w:lang w:val="pt-PT"/>
        </w:rPr>
        <w:t>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ns5: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w:t>
      </w:r>
      <w:r>
        <w:rPr>
          <w:rStyle w:val="FootnoteReference"/>
          <w:lang w:val="pt-PT"/>
        </w:rPr>
        <w:footnoteReference w:id="3"/>
      </w:r>
      <w:r>
        <w:rPr>
          <w:lang w:val="pt-PT"/>
        </w:rP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4"/>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924300"/>
            <ns2:effectExtent l="0" t="0" r="0" b="0"/>
            <ns2:docPr id="4" name="Image 4" descr="Image 4"/>
            <ns2:cNvGraphicFramePr>
              <ns3:graphicFrameLocks noChangeAspect="1"/>
            </ns2:cNvGraphicFramePr>
            <ns3:graphic>
              <ns3:graphicData uri="http://schemas.openxmlformats.org/drawingml/2006/picture">
                <ns4:pic>
                  <ns4:nvPicPr>
                    <ns4:cNvPr id="4" name="Image 4" descr="Image 4"/>
                    <ns4:cNvPicPr>
                      <ns3:picLocks noChangeAspect="1" noChangeArrowheads="1"/>
                    </ns4:cNvPicPr>
                  </ns4:nvPicPr>
                  <ns4:blipFill>
                    <ns3:blip ns5:embed="rId7"/>
                    <ns3:stretch>
                      <ns3:fillRect/>
                    </ns3:stretch>
                  </ns4:blipFill>
                  <ns4:spPr bwMode="auto">
                    <ns3:xfrm>
                      <ns3:off x="0" y="0"/>
                      <ns3:ext cx="5715000" cy="3924300"/>
                    </ns3:xfrm>
                    <ns3:prstGeom prst="rect">
                      <ns3:avLst/>
                    </ns3:prstGeom>
                    <ns3:noFill/>
                  </ns4:spPr>
                </ns4:pic>
              </ns3:graphicData>
            </ns3:graphic>
          </ns2: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ns5: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5"/>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019425"/>
            <ns2:effectExtent l="0" t="0" r="0" b="0"/>
            <ns2:docPr id="5" name="Image 5" descr="Image 5"/>
            <ns2:cNvGraphicFramePr>
              <ns3:graphicFrameLocks noChangeAspect="1"/>
            </ns2:cNvGraphicFramePr>
            <ns3:graphic>
              <ns3:graphicData uri="http://schemas.openxmlformats.org/drawingml/2006/picture">
                <ns4:pic>
                  <ns4:nvPicPr>
                    <ns4:cNvPr id="5" name="Image 5" descr="Image 5"/>
                    <ns4:cNvPicPr>
                      <ns3:picLocks noChangeAspect="1" noChangeArrowheads="1"/>
                    </ns4:cNvPicPr>
                  </ns4:nvPicPr>
                  <ns4:blipFill>
                    <ns3:blip ns5:embed="rId9"/>
                    <ns3:stretch>
                      <ns3:fillRect/>
                    </ns3:stretch>
                  </ns4:blipFill>
                  <ns4:spPr bwMode="auto">
                    <ns3:xfrm>
                      <ns3:off x="0" y="0"/>
                      <ns3:ext cx="5715000" cy="3019425"/>
                    </ns3:xfrm>
                    <ns3:prstGeom prst="rect">
                      <ns3:avLst/>
                    </ns3:prstGeom>
                    <ns3:noFill/>
                  </ns4:spPr>
                </ns4:pic>
              </ns3:graphicData>
            </ns3:graphic>
          </ns2: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w:t>
      </w:r>
      <w:r>
        <w:rPr>
          <w:i/>
          <w:iCs/>
          <w:lang w:val="pt-PT"/>
        </w:rPr>
        <w:t>file-to-factory</w:t>
      </w:r>
      <w:r>
        <w:rPr>
          <w:lang w:val="pt-PT"/>
        </w:rPr>
        <w:t>”</w:t>
      </w:r>
      <w:r>
        <w:rPr>
          <w:rStyle w:val="FootnoteReference"/>
          <w:lang w:val="pt-PT"/>
        </w:rPr>
        <w:footnoteReference w:id="6"/>
      </w:r>
      <w:r>
        <w:rPr>
          <w:lang w:val="pt-PT"/>
        </w:rPr>
        <w:t xml:space="preserve"> viabiliza fluxos digitais em que o ficheiro parametrizado é convertido diretamente em instruções de fabrico, seja localmente (impressão 3D descentralizada) ou através de uma encomenda online[^11]. </w:t>
      </w:r>
      <w:r>
        <w:rPr/>
        <w:t>A literatura associa esta lógica à democratização do design e à expansão de estratégias de customização em massa (</w:t>
      </w:r>
      <w:r>
        <w:rPr>
          <w:rStyle w:val="Emphasis"/>
        </w:rPr>
        <w:t>mass customization</w:t>
      </w:r>
      <w:r>
        <w:rPr/>
        <w:t>) e personalização em massa (</w:t>
      </w:r>
      <w:r>
        <w:rPr>
          <w:rStyle w:val="Emphasis"/>
        </w:rPr>
        <w:t>mass personalization</w:t>
      </w:r>
      <w:r>
        <w:rPr/>
        <w:t>), reduzindo custos marginais ao dispensar moldes e dispositivos específicos de fabrico.[^12]</w:t>
      </w:r>
      <w:r>
        <w:rPr>
          <w:lang w:val="pt-PT"/>
        </w:rPr>
        <w:t xml:space="preserve"> (Lei et al., 2016 (#ref-lei-2016); Stralen, 2018 (#ref-stralen-2018)).</w:t>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7"/>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ns2:inline distT="0" distB="0" distL="0" distR="0">
            <ns2:extent cx="5715000" cy="4219575"/>
            <ns2:effectExtent l="0" t="0" r="0" b="0"/>
            <ns2:docPr id="6" name="Image 6" descr="Image 6"/>
            <ns2:cNvGraphicFramePr>
              <ns3:graphicFrameLocks noChangeAspect="1"/>
            </ns2:cNvGraphicFramePr>
            <ns3:graphic>
              <ns3:graphicData uri="http://schemas.openxmlformats.org/drawingml/2006/picture">
                <ns4:pic>
                  <ns4:nvPicPr>
                    <ns4:cNvPr id="6" name="Image 6" descr="Image 6"/>
                    <ns4:cNvPicPr>
                      <ns3:picLocks noChangeAspect="1" noChangeArrowheads="1"/>
                    </ns4:cNvPicPr>
                  </ns4:nvPicPr>
                  <ns4:blipFill>
                    <ns3:blip ns5:embed="rId10"/>
                    <ns3:stretch>
                      <ns3:fillRect/>
                    </ns3:stretch>
                  </ns4:blipFill>
                  <ns4:spPr bwMode="auto">
                    <ns3:xfrm>
                      <ns3:off x="0" y="0"/>
                      <ns3:ext cx="5715000" cy="4219575"/>
                    </ns3:xfrm>
                    <ns3:prstGeom prst="rect">
                      <ns3:avLst/>
                    </ns3:prstGeom>
                    <ns3:noFill/>
                  </ns4:spPr>
                </ns4:pic>
              </ns3:graphicData>
            </ns3:graphic>
          </ns2: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lang w:val="pt-PT"/>
        </w:rPr>
      </w:pPr>
      <w:r>
        <w:rPr>
          <w:lang w:val="pt-PT"/>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9"/>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ns2:inline distT="0" distB="0" distL="0" distR="0">
            <ns2:extent cx="5715000" cy="2638425"/>
            <ns2:effectExtent l="0" t="0" r="0" b="0"/>
            <ns2:docPr id="7" name="Image 7" descr="Image 7"/>
            <ns2:cNvGraphicFramePr>
              <ns3:graphicFrameLocks noChangeAspect="1"/>
            </ns2:cNvGraphicFramePr>
            <ns3:graphic>
              <ns3:graphicData uri="http://schemas.openxmlformats.org/drawingml/2006/picture">
                <ns4:pic>
                  <ns4:nvPicPr>
                    <ns4:cNvPr id="7" name="Image 7" descr="Image 7"/>
                    <ns4:cNvPicPr>
                      <ns3:picLocks noChangeAspect="1" noChangeArrowheads="1"/>
                    </ns4:cNvPicPr>
                  </ns4:nvPicPr>
                  <ns4:blipFill>
                    <ns3:blip ns5:embed="rId11"/>
                    <ns3:stretch>
                      <ns3:fillRect/>
                    </ns3:stretch>
                  </ns4:blipFill>
                  <ns4:spPr bwMode="auto">
                    <ns3:xfrm>
                      <ns3:off x="0" y="0"/>
                      <ns3:ext cx="5715000" cy="2638425"/>
                    </ns3:xfrm>
                    <ns3:prstGeom prst="rect">
                      <ns3:avLst/>
                    </ns3:prstGeom>
                    <ns3:noFill/>
                  </ns4:spPr>
                </ns4:pic>
              </ns3:graphicData>
            </ns3:graphic>
          </ns2: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10"/>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1"/>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Normal"/>
        <w:bidi w:val="0"/>
        <w:jc w:val="left"/>
        <w:rPr>
          <w:highlight w:val="none"/>
          <w:shd w:fill="FFFF00" w:val="clear"/>
        </w:rPr>
      </w:pPr>
      <w:r>
        <w:rPr>
          <w:shd w:fill="FFFF00" w:val="clear"/>
          <w:lang w:val="pt-PT"/>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lang w:val="pt-PT"/>
        </w:rPr>
      </w:pPr>
      <w:r>
        <w:rPr>
          <w:shd w:fill="FFFF00" w:val="clear"/>
          <w:lang w:val="pt-PT"/>
        </w:rPr>
        <w:t>O meta-design aprofunda esta lógica ao defender a participação “em uso”,</w:t>
      </w:r>
      <w:r>
        <w:rPr/>
        <w:commentReference w:id="3"/>
      </w:r>
      <w:r>
        <w:rPr>
          <w:shd w:fill="FFFF00" w:val="clear"/>
          <w:lang w:val="pt-PT"/>
        </w:rPr>
        <w:t xml:space="preserve">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commentReference w:id="4"/>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ns2:inline distT="0" distB="0" distL="0" distR="0">
            <ns2:extent cx="5715000" cy="2990850"/>
            <ns2:effectExtent l="0" t="0" r="0" b="0"/>
            <ns2:docPr id="8" name="Image 8" descr="Image 8"/>
            <ns2:cNvGraphicFramePr>
              <ns3:graphicFrameLocks noChangeAspect="1"/>
            </ns2:cNvGraphicFramePr>
            <ns3:graphic>
              <ns3:graphicData uri="http://schemas.openxmlformats.org/drawingml/2006/picture">
                <ns4:pic>
                  <ns4:nvPicPr>
                    <ns4:cNvPr id="8" name="Image 8" descr="Image 8"/>
                    <ns4:cNvPicPr>
                      <ns3:picLocks noChangeAspect="1" noChangeArrowheads="1"/>
                    </ns4:cNvPicPr>
                  </ns4:nvPicPr>
                  <ns4:blipFill>
                    <ns3:blip ns5:embed="rId12"/>
                    <ns3:stretch>
                      <ns3:fillRect/>
                    </ns3:stretch>
                  </ns4:blipFill>
                  <ns4:spPr bwMode="auto">
                    <ns3:xfrm>
                      <ns3:off x="0" y="0"/>
                      <ns3:ext cx="5715000" cy="2990850"/>
                    </ns3:xfrm>
                    <ns3:prstGeom prst="rect">
                      <ns3:avLst/>
                    </ns3:prstGeom>
                    <ns3:noFill/>
                  </ns4:spPr>
                </ns4:pic>
              </ns3:graphicData>
            </ns3:graphic>
          </ns2: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ns5: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ns5: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2"/>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 Estudos sobre próteses pediátricas, serviços de reabilitação assistiva e modelos como o Victoria Hand Project</w:t>
      </w:r>
      <w:r>
        <w:rPr/>
        <w:commentReference w:id="5"/>
      </w:r>
      <w:r>
        <w:rPr>
          <w:lang w:val="pt-PT"/>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segurança, qualidade e justificação documentada das decisões de projeto,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FFFF00" w:val="clear"/>
          <w:lang w:val="pt-PT"/>
        </w:rPr>
        <w:t>por nível de prontidão tecnológica, ou Technology Readiness Level (TRL)</w:t>
      </w:r>
      <w:r>
        <w:rPr>
          <w:rStyle w:val="FootnoteReference"/>
          <w:shd w:fill="FFFF00" w:val="clear"/>
          <w:lang w:val="pt-PT"/>
        </w:rPr>
        <w:footnoteReference w:id="13"/>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ns2:inline distT="0" distB="0" distL="0" distR="0">
            <ns2:extent cx="5715000" cy="4067175"/>
            <ns2:effectExtent l="0" t="0" r="0" b="0"/>
            <ns2:docPr id="9" name="Image 9" descr="Image 9"/>
            <ns2:cNvGraphicFramePr>
              <ns3:graphicFrameLocks noChangeAspect="1"/>
            </ns2:cNvGraphicFramePr>
            <ns3:graphic>
              <ns3:graphicData uri="http://schemas.openxmlformats.org/drawingml/2006/picture">
                <ns4:pic>
                  <ns4:nvPicPr>
                    <ns4:cNvPr id="9" name="Image 9" descr="Image 9"/>
                    <ns4:cNvPicPr>
                      <ns3:picLocks noChangeAspect="1" noChangeArrowheads="1"/>
                    </ns4:cNvPicPr>
                  </ns4:nvPicPr>
                  <ns4:blipFill>
                    <ns3:blip ns5:embed="rId15"/>
                    <ns3:stretch>
                      <ns3:fillRect/>
                    </ns3:stretch>
                  </ns4:blipFill>
                  <ns4:spPr bwMode="auto">
                    <ns3:xfrm>
                      <ns3:off x="0" y="0"/>
                      <ns3:ext cx="5715000" cy="4067175"/>
                    </ns3:xfrm>
                    <ns3:prstGeom prst="rect">
                      <ns3:avLst/>
                    </ns3:prstGeom>
                    <ns3:noFill/>
                  </ns4:spPr>
                </ns4:pic>
              </ns3:graphicData>
            </ns3:graphic>
          </ns2: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181225"/>
            <ns2:effectExtent l="0" t="0" r="0" b="0"/>
            <ns2:docPr id="10" name="Image 10" descr="Image 10"/>
            <ns2:cNvGraphicFramePr>
              <ns3:graphicFrameLocks noChangeAspect="1"/>
            </ns2:cNvGraphicFramePr>
            <ns3:graphic>
              <ns3:graphicData uri="http://schemas.openxmlformats.org/drawingml/2006/picture">
                <ns4:pic>
                  <ns4:nvPicPr>
                    <ns4:cNvPr id="10" name="Image 10" descr="Image 10"/>
                    <ns4:cNvPicPr>
                      <ns3:picLocks noChangeAspect="1" noChangeArrowheads="1"/>
                    </ns4:cNvPicPr>
                  </ns4:nvPicPr>
                  <ns4:blipFill>
                    <ns3:blip ns5:embed="rId16"/>
                    <ns3:stretch>
                      <ns3:fillRect/>
                    </ns3:stretch>
                  </ns4:blipFill>
                  <ns4:spPr bwMode="auto">
                    <ns3:xfrm>
                      <ns3:off x="0" y="0"/>
                      <ns3:ext cx="5715000" cy="2181225"/>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6"/>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 xml:space="preserve">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w:t>
      </w:r>
      <w:r>
        <w:rPr/>
        <w:t>Paralelamente, realiza-se uma análise comparativa de soluções open-source existentes no domínio das próteses impressas em 3D, identificando abordagens formais, estruturais e tecnológicas, bem como limitações quanto à personalização, à adaptação paramétrica e à replicação controlada dos modelos.</w:t>
      </w:r>
    </w:p>
    <w:p>
      <w:pPr>
        <w:pStyle w:val="Normal"/>
        <w:bidi w:val="0"/>
        <w:jc w:val="left"/>
        <w:rPr>
          <w:lang w:val="pt-PT"/>
        </w:rPr>
      </w:pPr>
      <w:r>
        <w:rPr>
          <w:lang w:val="pt-PT"/>
        </w:rPr>
        <w:t>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as configurações resultantes dos testes de perfil são exportadas para fabrico e produzidas por impressão 3D. Esta fase permite avaliar a passagem do perfil simulado para a geometria exportada e desta para o protótipo físico, observando a exequibilidade de impressão, a integridade estrutural preliminar, a montagem, a ajustabilidade e a coerência formal perante variações dimensionais.</w:t>
      </w:r>
    </w:p>
    <w:p>
      <w:pPr>
        <w:pStyle w:val="Normal"/>
        <w:bidi w:val="0"/>
        <w:jc w:val="left"/>
        <w:rPr>
          <w:lang w:val="pt-PT"/>
        </w:rPr>
      </w:pPr>
      <w:r>
        <w:rPr/>
        <w:commentReference w:id="7"/>
      </w:r>
    </w:p>
    <w:p>
      <w:pPr>
        <w:pStyle w:val="Heading3"/>
        <w:bidi w:val="0"/>
        <w:jc w:val="left"/>
        <w:rPr>
          <w:lang w:val="pt-PT"/>
        </w:rPr>
      </w:pPr>
      <w:r>
        <w:rPr>
          <w:lang w:val="pt-PT"/>
        </w:rPr>
        <w:t>3.4 Métodos de recolha e análise de dados</w:t>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8"/>
      </w:r>
      <w:r>
        <w:rPr>
          <w:lang w:val="pt-PT"/>
        </w:rPr>
        <w:t>. Estes dados são analisados de forma iterativa, permitindo reformular o modelo paramétrico e otimizar o seu desempenho.</w:t>
      </w:r>
    </w:p>
    <w:p>
      <w:pPr>
        <w:pStyle w:val="Normal"/>
        <w:bidi w:val="0"/>
        <w:jc w:val="left"/>
        <w:rPr>
          <w:lang w:val="pt-PT"/>
        </w:rPr>
      </w:pPr>
      <w:r>
        <w:rPr>
          <w:lang w:val="pt-PT"/>
        </w:rPr>
        <w:t>Na fase de prototipagem, a análise incide sobre os critérios de exequibilidade de fabrico, robustez estrutural preliminar, coerência dimensional, facilidade de montagem e comportamento material inicial. Os modelos exportados a partir dos testes de perfil são preparados para impressão, fatiados e materializados por impressão 3D em PLA e PETG. A opção por estes dois materiais permite comparar uma solução rígida, estável e económica, adequada à verificação rápida da geometria, com uma alternativa mais resistente e menos frágil, útil para observar o comportamento dos componentes em manipulação, encaixe e montagem preliminar. Esta comparação permite verificar se a geometria gerada pelo sistema se mantém imprimível, manipulável e coerente depois da transição do ambiente digital para o objeto físico.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1905000"/>
            <ns2:effectExtent l="0" t="0" r="0" b="0"/>
            <ns2:docPr id="11" name="Image 11" descr="Image 11"/>
            <ns2:cNvGraphicFramePr>
              <ns3:graphicFrameLocks noChangeAspect="1"/>
            </ns2:cNvGraphicFramePr>
            <ns3:graphic>
              <ns3:graphicData uri="http://schemas.openxmlformats.org/drawingml/2006/picture">
                <ns4:pic>
                  <ns4:nvPicPr>
                    <ns4:cNvPr id="11" name="Image 11" descr="Image 11"/>
                    <ns4:cNvPicPr>
                      <ns3:picLocks noChangeAspect="1" noChangeArrowheads="1"/>
                    </ns4:cNvPicPr>
                  </ns4:nvPicPr>
                  <ns4:blipFill>
                    <ns3:blip ns5:embed="rId17"/>
                    <ns3:stretch>
                      <ns3:fillRect/>
                    </ns3:stretch>
                  </ns4:blipFill>
                  <ns4:spPr bwMode="auto">
                    <ns3:xfrm>
                      <ns3:off x="0" y="0"/>
                      <ns3:ext cx="5715000" cy="190500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 xml:space="preserve">No caso específico da parametrização assistida por IA, a avaliação foi organizada em dois patamares. </w:t>
      </w:r>
      <w:r>
        <w:rPr/>
        <w:t>O primeiro patamar incidiu sobre a coerência numérica das sugestões, avaliando a conformidade com o esquema de parâmetros, o enquadramento nos intervalos mínimos e máximos definidos, a proporcionalidade entre dedos, a adequação etária e a coerência da lateralidade em casos de amputação unilateral.</w:t>
      </w:r>
    </w:p>
    <w:p>
      <w:pPr>
        <w:pStyle w:val="Normal"/>
        <w:bidi w:val="0"/>
        <w:jc w:val="left"/>
        <w:rPr>
          <w:lang w:val="pt-PT"/>
        </w:rPr>
      </w:pPr>
      <w:r>
        <w:rPr>
          <w:lang w:val="pt-PT"/>
        </w:rPr>
        <w:t>O segundo prolongou essa verificação até à geometria exportada, testando se os valores sugeridos eram efetivamente aplicados nos modelo</w:t>
      </w:r>
      <w:commentRangeStart w:id="9"/>
      <w:r>
        <w:rPr>
          <w:lang w:val="pt-PT"/>
        </w:rPr>
        <w:t xml:space="preserve">s OpenSCAD/WebAssembly </w:t>
      </w:r>
      <w:r>
        <w:rPr>
          <w:lang w:val="pt-PT"/>
        </w:rPr>
      </w:r>
      <w:commentRangeEnd w:id="9"/>
      <w:r>
        <w:commentReference w:id="9"/>
      </w:r>
      <w:r>
        <w:rPr>
          <w:lang w:val="pt-PT"/>
        </w:rPr>
        <w:t xml:space="preserve">e se os ficheiros </w:t>
      </w:r>
      <w:commentRangeStart w:id="10"/>
      <w:r>
        <w:rPr>
          <w:lang w:val="pt-PT"/>
        </w:rPr>
        <w:t>3MF e STL</w:t>
      </w:r>
      <w:r>
        <w:rPr>
          <w:lang w:val="pt-PT"/>
        </w:rPr>
      </w:r>
      <w:commentRangeEnd w:id="10"/>
      <w:r>
        <w:commentReference w:id="10"/>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de apoio.</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 xml:space="preserve">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w:t>
      </w:r>
      <w:r>
        <w:rPr/>
        <w:t>Implica, pelo contrário, a conceção de dispositivos capazes de conciliar funcionalidade, conforto, leveza, funcionamento consistente, controlo inteligível, aceitabilidade estética e custos compatíveis com a produção, adaptação, manutenção e acesso continuado à prótese, num contexto em que continuam a registar-se taxas elevadas de rejeição e abandono.</w:t>
      </w:r>
    </w:p>
    <w:p>
      <w:pPr>
        <w:pStyle w:val="Normal"/>
        <w:bidi w:val="0"/>
        <w:jc w:val="left"/>
        <w:rPr>
          <w:lang w:val="pt-PT"/>
        </w:rPr>
      </w:pPr>
      <w:r>
        <w:rPr>
          <w:lang w:val="pt-PT"/>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11"/>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ns2:inline distT="0" distB="0" distL="0" distR="0">
            <ns2:extent cx="4667250" cy="3467100"/>
            <ns2:effectExtent l="0" t="0" r="0" b="0"/>
            <ns2:docPr id="12" name="Image 12" descr="Image 12"/>
            <ns2:cNvGraphicFramePr>
              <ns3:graphicFrameLocks noChangeAspect="1"/>
            </ns2:cNvGraphicFramePr>
            <ns3:graphic>
              <ns3:graphicData uri="http://schemas.openxmlformats.org/drawingml/2006/picture">
                <ns4:pic>
                  <ns4:nvPicPr>
                    <ns4:cNvPr id="12" name="Image 12" descr="Image 12"/>
                    <ns4:cNvPicPr>
                      <ns3:picLocks noChangeAspect="1" noChangeArrowheads="1"/>
                    </ns4:cNvPicPr>
                  </ns4:nvPicPr>
                  <ns4:blipFill>
                    <ns3:blip ns5:embed="rId18"/>
                    <ns3:stretch>
                      <ns3:fillRect/>
                    </ns3:stretch>
                  </ns4:blipFill>
                  <ns4:spPr bwMode="auto">
                    <ns3:xfrm>
                      <ns3:off x="0" y="0"/>
                      <ns3:ext cx="4667250" cy="3467100"/>
                    </ns3:xfrm>
                    <ns3:prstGeom prst="rect">
                      <ns3:avLst/>
                    </ns3:prstGeom>
                    <ns3:noFill/>
                  </ns4:spPr>
                </ns4:pic>
              </ns3:graphicData>
            </ns3:graphic>
          </ns2: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ns5: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705100"/>
            <ns2:effectExtent l="0" t="0" r="0" b="0"/>
            <ns2:docPr id="13" name="Image 13" descr="Image 13"/>
            <ns2:cNvGraphicFramePr>
              <ns3:graphicFrameLocks noChangeAspect="1"/>
            </ns2:cNvGraphicFramePr>
            <ns3:graphic>
              <ns3:graphicData uri="http://schemas.openxmlformats.org/drawingml/2006/picture">
                <ns4:pic>
                  <ns4:nvPicPr>
                    <ns4:cNvPr id="13" name="Image 13" descr="Image 13"/>
                    <ns4:cNvPicPr>
                      <ns3:picLocks noChangeAspect="1" noChangeArrowheads="1"/>
                    </ns4:cNvPicPr>
                  </ns4:nvPicPr>
                  <ns4:blipFill>
                    <ns3:blip ns5:embed="rId20"/>
                    <ns3:stretch>
                      <ns3:fillRect/>
                    </ns3:stretch>
                  </ns4:blipFill>
                  <ns4:spPr bwMode="auto">
                    <ns3:xfrm>
                      <ns3:off x="0" y="0"/>
                      <ns3:ext cx="5715000" cy="270510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ns5: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customização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w:t>
      </w:r>
    </w:p>
    <w:p>
      <w:pPr>
        <w:pStyle w:val="BodyText"/>
        <w:bidi w:val="0"/>
        <w:jc w:val="left"/>
        <w:rPr>
          <w:lang w:val="pt-PT"/>
        </w:rPr>
      </w:pPr>
      <w:r>
        <w:rPr>
          <w:lang w:val="pt-PT"/>
        </w:rPr>
        <w:t>A base de dados construída permite comparar valores relativos ao comprimento da mão, à largura da palma, aos comprimentos digitais, às dimensões do punho e às relações com o antebraço, mantendo a referência à fonte, à população e ao contexto metodológico de cada registo.</w:t>
      </w:r>
    </w:p>
    <w:p>
      <w:pPr>
        <w:pStyle w:val="BodyText"/>
        <w:bidi w:val="0"/>
        <w:jc w:val="left"/>
        <w:rPr>
          <w:lang w:val="pt-PT"/>
        </w:rPr>
      </w:pP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baseado em texto simples, o ficheiro-fonte pode ser mantido sob controlo de versões, comparado, revisto e reutilizado, permitindo reconstituir as decisões de modelação e replicar as variantes geradas.</w:t>
      </w:r>
    </w:p>
    <w:p>
      <w:pPr>
        <w:pStyle w:val="Normal"/>
        <w:bidi w:val="0"/>
        <w:jc w:val="left"/>
        <w:rPr>
          <w:lang w:val="pt-PT"/>
        </w:rPr>
      </w:pPr>
      <w:r>
        <w:rPr/>
        <w:t>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customização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w:t>
        <w:br/>
        <w:t>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w:t>
      </w:r>
    </w:p>
    <w:p>
      <w:pPr>
        <w:pStyle w:val="Normal"/>
        <w:bidi w:val="0"/>
        <w:jc w:val="left"/>
        <w:rPr>
          <w:lang w:val="pt-PT"/>
        </w:rPr>
      </w:pPr>
      <w:r>
        <w:rPr>
          <w:lang w:val="pt-PT"/>
        </w:rPr>
        <w:t>Os estudos revistos sobre modelação paramétrica aplicada a próteses e sobre modelação CAD programável reforçam esta perspetiva, ao associarem estas abordagens à possibilidade de explicitar decisões de modelação, manter consistência entre variantes e automatizar etapas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324225"/>
            <ns2:effectExtent l="0" t="0" r="0" b="0"/>
            <ns2:docPr id="14" name="Image 14" descr="Image 14"/>
            <ns2:cNvGraphicFramePr>
              <ns3:graphicFrameLocks noChangeAspect="1"/>
            </ns2:cNvGraphicFramePr>
            <ns3:graphic>
              <ns3:graphicData uri="http://schemas.openxmlformats.org/drawingml/2006/picture">
                <ns4:pic>
                  <ns4:nvPicPr>
                    <ns4:cNvPr id="14" name="Image 14" descr="Image 14"/>
                    <ns4:cNvPicPr>
                      <ns3:picLocks noChangeAspect="1" noChangeArrowheads="1"/>
                    </ns4:cNvPicPr>
                  </ns4:nvPicPr>
                  <ns4:blipFill>
                    <ns3:blip ns5:embed="rId22"/>
                    <ns3:stretch>
                      <ns3:fillRect/>
                    </ns3:stretch>
                  </ns4:blipFill>
                  <ns4:spPr bwMode="auto">
                    <ns3:xfrm>
                      <ns3:off x="0" y="0"/>
                      <ns3:ext cx="5715000" cy="3324225"/>
                    </ns3:xfrm>
                    <ns3:prstGeom prst="rect">
                      <ns3:avLst/>
                    </ns3:prstGeom>
                    <ns3:noFill/>
                  </ns4:spPr>
                </ns4:pic>
              </ns3:graphicData>
            </ns3:graphic>
          </ns2: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ns5: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membro residual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12"/>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12"/>
      <w:r>
        <w:commentReference w:id="12"/>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3"/>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3"/>
      <w:r>
        <w:commentReference w:id="13"/>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4"/>
      <w:r>
        <w:rPr>
          <w:lang w:val="pt-PT"/>
        </w:rPr>
        <w:t>ivamente técnica (Peixoto et al., 2025 (#ref-peixoto-2025)).</w:t>
      </w:r>
      <w:commentRangeEnd w:id="14"/>
      <w:r>
        <w:commentReference w:id="14"/>
      </w:r>
      <w:r>
        <w:rPr>
          <w:lang w:val="pt-PT"/>
        </w:rPr>
      </w:r>
    </w:p>
    <w:p>
      <w:pPr>
        <w:pStyle w:val="Normal"/>
        <w:bidi w:val="0"/>
        <w:jc w:val="left"/>
        <w:rPr>
          <w:lang w:val="pt-PT"/>
        </w:rPr>
      </w:pPr>
      <w:r>
        <w:rPr>
          <w:lang w:val="pt-PT"/>
        </w:rPr>
      </w:r>
    </w:p>
    <w:p>
      <w:pPr>
        <w:pStyle w:val="Normal"/>
        <w:bidi w:val="0"/>
        <w:jc w:val="left"/>
        <w:rPr>
          <w:lang w:val="pt-PT"/>
        </w:rPr>
      </w:pPr>
      <w:r>
        <w:rPr>
          <w:lang w:val="pt-PT"/>
        </w:rPr>
        <w:drawing>
          <ns2:anchor distT="0" distB="0" distL="0" distR="0" simplePos="0" relativeHeight="21" behindDoc="0" locked="0" layoutInCell="0" allowOverlap="1">
            <ns2:simplePos x="0" y="0"/>
            <ns2:positionH relativeFrom="column">
              <ns2:align>center</ns2:align>
            </ns2:positionH>
            <ns2:positionV relativeFrom="paragraph">
              <ns2:posOffset>635</ns2:posOffset>
            </ns2:positionV>
            <ns2:extent cx="5731510" cy="2687955"/>
            <ns2:effectExtent l="0" t="0" r="0" b="0"/>
            <ns2:wrapSquare wrapText="largest"/>
            <ns2:docPr id="15" name="Image20"/>
            <ns2:cNvGraphicFramePr>
              <ns3:graphicFrameLocks noChangeAspect="1"/>
            </ns2:cNvGraphicFramePr>
            <ns3:graphic>
              <ns3:graphicData uri="http://schemas.openxmlformats.org/drawingml/2006/picture">
                <ns4:pic>
                  <ns4:nvPicPr>
                    <ns4:cNvPr id="15" name="Image20"/>
                    <ns4:cNvPicPr>
                      <ns3:picLocks noChangeAspect="1" noChangeArrowheads="1"/>
                    </ns4:cNvPicPr>
                  </ns4:nvPicPr>
                  <ns4:blipFill>
                    <ns3:blip ns5:embed="rId24"/>
                    <ns3:stretch>
                      <ns3:fillRect/>
                    </ns3:stretch>
                  </ns4:blipFill>
                  <ns4:spPr bwMode="auto">
                    <ns3:xfrm>
                      <ns3:off x="0" y="0"/>
                      <ns3:ext cx="5731510" cy="2687955"/>
                    </ns3:xfrm>
                    <ns3:prstGeom prst="rect">
                      <ns3:avLst/>
                    </ns3:prstGeom>
                    <ns3:noFill/>
                  </ns4:spPr>
                </ns4:pic>
              </ns3:graphicData>
            </ns3:graphic>
          </ns2: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 xml:space="preserve">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w:t>
      </w:r>
      <w:r>
        <w:rPr/>
        <w:t>Em termos conceptuais, esta separação prolonga a lógica já discutida nas secções anteriores: a personalização digital exige sistemas suficientemente configuráveis para acomodar a variação, mas também suficientemente estruturados para preservar a coerência, documentar decisões e facilitar a manutenção</w:t>
      </w:r>
      <w:r>
        <w:rPr>
          <w:lang w:val="pt-PT"/>
        </w:rPr>
        <w:t xml:space="preserve"> (Ozdemir et al., 2022 (#ref-ozdemir-2022); Lei et al., 2016 (#ref-lei-2016)).</w:t>
      </w:r>
    </w:p>
    <w:p>
      <w:pPr>
        <w:pStyle w:val="Normal"/>
        <w:bidi w:val="0"/>
        <w:jc w:val="left"/>
        <w:rPr>
          <w:lang w:val="pt-PT"/>
        </w:rPr>
      </w:pPr>
      <w:r>
        <w:rPr>
          <w:lang w:val="pt-PT"/>
        </w:rPr>
        <w:t>A Figura 5.2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ns2:inline distT="0" distB="0" distL="0" distR="0">
            <ns2:extent cx="5715000" cy="3238500"/>
            <ns2:effectExtent l="0" t="0" r="0" b="0"/>
            <ns2:docPr id="16" name="Image 15" descr="Image 15"/>
            <ns2:cNvGraphicFramePr>
              <ns3:graphicFrameLocks noChangeAspect="1"/>
            </ns2:cNvGraphicFramePr>
            <ns3:graphic>
              <ns3:graphicData uri="http://schemas.openxmlformats.org/drawingml/2006/picture">
                <ns4:pic>
                  <ns4:nvPicPr>
                    <ns4:cNvPr id="16" name="Image 15" descr="Image 15"/>
                    <ns4:cNvPicPr>
                      <ns3:picLocks noChangeAspect="1" noChangeArrowheads="1"/>
                    </ns4:cNvPicPr>
                  </ns4:nvPicPr>
                  <ns4:blipFill>
                    <ns3:blip ns5:embed="rId25"/>
                    <ns3:stretch>
                      <ns3:fillRect/>
                    </ns3:stretch>
                  </ns4:blipFill>
                  <ns4:spPr bwMode="auto">
                    <ns3:xfrm>
                      <ns3:off x="0" y="0"/>
                      <ns3:ext cx="5715000" cy="3238500"/>
                    </ns3:xfrm>
                    <ns3:prstGeom prst="rect">
                      <ns3:avLst/>
                    </ns3:prstGeom>
                    <ns3:noFill/>
                  </ns4:spPr>
                </ns4:pic>
              </ns3:graphicData>
            </ns3:graphic>
          </ns2:inline>
        </w:drawing>
      </w:r>
    </w:p>
    <w:p>
      <w:pPr>
        <w:pStyle w:val="Normal"/>
        <w:bidi w:val="0"/>
        <w:jc w:val="left"/>
        <w:rPr>
          <w:lang w:val="pt-PT"/>
        </w:rPr>
      </w:pPr>
      <w:r>
        <w:rPr>
          <w:lang w:val="pt-PT"/>
        </w:rPr>
        <w:t>Figura 5.2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ns5:id="rId26">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xml:space="preserve">,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w:t>
      </w:r>
      <w:r>
        <w:rPr/>
        <w:t>Este fluxo estabelece uma ligação direta entre edição paramétrica, cálculo geométrico e feedback visual, permitindo que o processo seja documentado, verificado e revisto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5.3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ns2:inline distT="0" distB="0" distL="0" distR="0">
            <ns2:extent cx="5715000" cy="4657725"/>
            <ns2:effectExtent l="0" t="0" r="0" b="0"/>
            <ns2:docPr id="17" name="Image 16" descr="Image 16"/>
            <ns2:cNvGraphicFramePr>
              <ns3:graphicFrameLocks noChangeAspect="1"/>
            </ns2:cNvGraphicFramePr>
            <ns3:graphic>
              <ns3:graphicData uri="http://schemas.openxmlformats.org/drawingml/2006/picture">
                <ns4:pic>
                  <ns4:nvPicPr>
                    <ns4:cNvPr id="17" name="Image 16" descr="Image 16"/>
                    <ns4:cNvPicPr>
                      <ns3:picLocks noChangeAspect="1" noChangeArrowheads="1"/>
                    </ns4:cNvPicPr>
                  </ns4:nvPicPr>
                  <ns4:blipFill>
                    <ns3:blip ns5:embed="rId27"/>
                    <ns3:stretch>
                      <ns3:fillRect/>
                    </ns3:stretch>
                  </ns4:blipFill>
                  <ns4:spPr bwMode="auto">
                    <ns3:xfrm>
                      <ns3:off x="0" y="0"/>
                      <ns3:ext cx="5715000" cy="4657725"/>
                    </ns3:xfrm>
                    <ns3:prstGeom prst="rect">
                      <ns3:avLst/>
                    </ns3:prstGeom>
                    <ns3:noFill/>
                  </ns4:spPr>
                </ns4:pic>
              </ns3:graphicData>
            </ns3:graphic>
          </ns2:inline>
        </w:drawing>
      </w:r>
    </w:p>
    <w:p>
      <w:pPr>
        <w:pStyle w:val="Normal"/>
        <w:bidi w:val="0"/>
        <w:jc w:val="left"/>
        <w:rPr>
          <w:lang w:val="pt-PT"/>
        </w:rPr>
      </w:pPr>
      <w:r>
        <w:rPr>
          <w:lang w:val="pt-PT"/>
        </w:rPr>
        <w:t>Figura 5.3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ns5:id="rId28">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5"/>
      <w:r>
        <w:rPr>
          <w:lang w:val="pt-PT"/>
        </w:rPr>
        <w:t>STL ou 3MF</w:t>
      </w:r>
      <w:r>
        <w:rPr>
          <w:lang w:val="pt-PT"/>
        </w:rPr>
      </w:r>
      <w:commentRangeEnd w:id="15"/>
      <w:r>
        <w:commentReference w:id="15"/>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rStyle w:val="FootnoteReference"/>
          <w:i/>
          <w:iCs/>
          <w:lang w:val="pt-PT"/>
        </w:rPr>
        <w:footnoteReference w:id="14"/>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w:t>
      </w:r>
    </w:p>
    <w:p>
      <w:pPr>
        <w:pStyle w:val="Normal"/>
        <w:bidi w:val="0"/>
        <w:jc w:val="left"/>
        <w:rPr>
          <w:lang w:val="pt-PT"/>
        </w:rPr>
      </w:pPr>
      <w:r>
        <w:rP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w:t>
      </w:r>
      <w:r>
        <w:rPr>
          <w:rStyle w:val="FootnoteReference"/>
        </w:rPr>
        <w:footnoteReference w:id="15"/>
      </w:r>
      <w:r>
        <w:rPr/>
        <w:t>, enquadrando essa capacidade numa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6"/>
      <w:r>
        <w:rPr>
          <w:lang w:val="pt-PT"/>
        </w:rPr>
        <w:t>No caso do Paraglider Hand, também conhecido como Flexible Flyer, a integração partiu de uma mão mecânica acionada pelo corpo, derivada da linhagem Phoenix e UnLimbited.</w:t>
      </w:r>
      <w:r>
        <w:rPr>
          <w:lang w:val="pt-PT"/>
        </w:rPr>
      </w:r>
      <w:commentRangeEnd w:id="16"/>
      <w:r>
        <w:commentReference w:id="16"/>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7"/>
      <w:r>
        <w:rPr>
          <w:lang w:val="pt-PT"/>
        </w:rPr>
        <w:t>parâmetros de hardware</w:t>
      </w:r>
      <w:r>
        <w:rPr>
          <w:lang w:val="pt-PT"/>
        </w:rPr>
      </w:r>
      <w:commentRangeEnd w:id="17"/>
      <w:r>
        <w:commentReference w:id="17"/>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w:t>
      </w:r>
      <w:r>
        <w:rPr/>
        <w:t>A primeira vantagem é a explicitação da estrutura paramétrica, uma vez que permite identificar quais variáveis são editáveis, quais são os seus intervalos válidos e de que modo se articulam com os controlos disponibilizados pela interface.</w:t>
      </w:r>
      <w:r>
        <w:rPr>
          <w:lang w:val="pt-PT"/>
        </w:rPr>
        <w:t xml:space="preserv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w:t>
      </w:r>
      <w:r>
        <w:rPr/>
        <w:t xml:space="preserve">Cada configuração registada pode, assim, ser entendida como uma instância documentada do processo de personalização, passível de recuperação, comparação e revisão, e não apenas como um ficheiro transitório. </w:t>
      </w:r>
      <w:r>
        <w:rPr>
          <w:lang w:val="pt-PT"/>
        </w:rPr>
        <w:t>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8"/>
      <w:r>
        <w:rPr>
          <w:lang w:val="pt-PT"/>
        </w:rPr>
        <w:t>SQLite</w:t>
      </w:r>
      <w:r>
        <w:rPr>
          <w:lang w:val="pt-PT"/>
        </w:rPr>
      </w:r>
      <w:commentRangeEnd w:id="18"/>
      <w:r>
        <w:commentReference w:id="18"/>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9"/>
      <w:r>
        <w:rPr>
          <w:lang w:val="pt-PT"/>
        </w:rPr>
        <w:t>IA</w:t>
      </w:r>
      <w:r>
        <w:rPr>
          <w:lang w:val="pt-PT"/>
        </w:rPr>
      </w:r>
      <w:commentRangeEnd w:id="19"/>
      <w:r>
        <w:commentReference w:id="19"/>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20"/>
      <w:r>
        <w:rPr>
          <w:lang w:val="pt-PT"/>
        </w:rPr>
        <w:t>EMG</w:t>
      </w:r>
      <w:r>
        <w:rPr>
          <w:lang w:val="pt-PT"/>
        </w:rPr>
      </w:r>
      <w:commentRangeEnd w:id="20"/>
      <w:r>
        <w:commentReference w:id="20"/>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21"/>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21"/>
      <w:r>
        <w:commentReference w:id="21"/>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22"/>
      <w:r>
        <w:rPr>
          <w:i/>
          <w:iCs/>
          <w:shd w:fill="FFFF00" w:val="clear"/>
          <w:lang w:val="pt-PT"/>
        </w:rPr>
        <w:t>data-driven</w:t>
      </w:r>
      <w:r>
        <w:rPr>
          <w:i/>
          <w:iCs/>
          <w:shd w:fill="FFFF00" w:val="clear"/>
          <w:lang w:val="pt-PT"/>
        </w:rPr>
      </w:r>
      <w:commentRangeEnd w:id="22"/>
      <w:r>
        <w:commentReference w:id="22"/>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23"/>
      <w:r>
        <w:rPr>
          <w:i/>
          <w:iCs/>
          <w:lang w:val="pt-PT"/>
        </w:rPr>
        <w:t>human-in-the-loop.</w:t>
      </w:r>
      <w:r>
        <w:rPr>
          <w:i/>
          <w:iCs/>
          <w:lang w:val="pt-PT"/>
        </w:rPr>
      </w:r>
      <w:commentRangeEnd w:id="23"/>
      <w:r>
        <w:commentReference w:id="23"/>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 xml:space="preserve">a aceitação final, porém, continua dependente de verificação técnica e de julgamento contextual. </w:t>
      </w:r>
      <w:r>
        <w:rPr/>
        <w:t>Deste modo, a parametrização assistida por IA não corresponde a uma automatização cega da personalização, mas a um mecanismo de apoio à decisão que atua sobre uma base geométrica explícita, documentada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A validação antropométrica assistida por IA realizada no sistema deve ser entendida como uma verificação interna da consistência numérica e da coerência paramétrica, e não como validação clínica da prótese final.</w:t>
      </w:r>
    </w:p>
    <w:p>
      <w:pPr>
        <w:pStyle w:val="Normal"/>
        <w:bidi w:val="0"/>
        <w:jc w:val="left"/>
        <w:rPr>
          <w:lang w:val="pt-PT"/>
        </w:rPr>
      </w:pP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w:t>
      </w:r>
      <w:r>
        <w:rPr/>
        <w:t>O terceiro critério foi a coerência com intervalos antropométricos adultos, usando como referência os intervalos já adotados no sistema.</w:t>
      </w:r>
      <w:r>
        <w:rPr>
          <w:lang w:val="pt-PT"/>
        </w:rPr>
        <w:t xml:space="preserve">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4"/>
      <w:r>
        <w:rPr>
          <w:lang w:val="pt-PT"/>
        </w:rPr>
        <w:t>O primeiro conjunto experimental usou cinco perfis descritos apenas por indicadores populacionais indiretos, como idade, sexo, altura, peso, país, envergadura ou constituição física, sem qualquer medição direta da mão. E</w:t>
      </w:r>
      <w:r>
        <w:rPr>
          <w:lang w:val="pt-PT"/>
        </w:rPr>
      </w:r>
      <w:commentRangeEnd w:id="24"/>
      <w:r>
        <w:commentReference w:id="24"/>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25"/>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 xml:space="preserve">A Figura 6.1 sintetiza a relação entre os desafios de tornar os sistemas de IA compreensíveis e os princípios de IA responsável. </w:t>
      </w:r>
      <w:r>
        <w:rPr/>
        <w:t>No contexto desta investigação, a figura é útil porque evidencia que a responsabilidade em sistemas de IA resulta da articulação entre desempenho preditivo, transparência, possibilidade de verificação, privacidade, justiça e prestação de contas.</w:t>
      </w:r>
      <w:r>
        <w:rPr>
          <w:lang w:val="pt-PT"/>
        </w:rPr>
        <w:t xml:space="preserve"> Estes princípios reforçam a opção do sistema por uma IA  </w:t>
      </w:r>
      <w:r>
        <w:rPr>
          <w:lang w:val="pt-PT"/>
        </w:rPr>
        <w:t>de apoio</w:t>
      </w:r>
      <w:r>
        <w:rPr>
          <w:lang w:val="pt-PT"/>
        </w:rPr>
        <w:t>,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000250"/>
            <ns2:effectExtent l="0" t="0" r="0" b="0"/>
            <ns2:docPr id="18" name="Image 17" descr="Image 17"/>
            <ns2:cNvGraphicFramePr>
              <ns3:graphicFrameLocks noChangeAspect="1"/>
            </ns2:cNvGraphicFramePr>
            <ns3:graphic>
              <ns3:graphicData uri="http://schemas.openxmlformats.org/drawingml/2006/picture">
                <ns4:pic>
                  <ns4:nvPicPr>
                    <ns4:cNvPr id="18" name="Image 17" descr="Image 17"/>
                    <ns4:cNvPicPr>
                      <ns3:picLocks noChangeAspect="1" noChangeArrowheads="1"/>
                    </ns4:cNvPicPr>
                  </ns4:nvPicPr>
                  <ns4:blipFill>
                    <ns3:blip ns5:embed="rId29"/>
                    <ns3:stretch>
                      <ns3:fillRect/>
                    </ns3:stretch>
                  </ns4:blipFill>
                  <ns4:spPr bwMode="auto">
                    <ns3:xfrm>
                      <ns3:off x="0" y="0"/>
                      <ns3:ext cx="5715000" cy="200025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6.1 — Relação entre compreensão dos sistemas de IA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ns5:id="rId30">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6"/>
      <w:r>
        <w:rPr>
          <w:lang w:val="pt-PT"/>
        </w:rPr>
        <w:t>UI/UX</w:t>
      </w:r>
      <w:r>
        <w:rPr>
          <w:lang w:val="pt-PT"/>
        </w:rPr>
      </w:r>
      <w:commentRangeEnd w:id="26"/>
      <w:r>
        <w:commentReference w:id="26"/>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compreensão dos efeitos de cada ação e o registo das alterações, mediando a passagem entre os dados do utilizador, as regras paramétricas, a assistência algorítmica e o resultado tridimensional.</w:t>
      </w:r>
    </w:p>
    <w:p>
      <w:pPr>
        <w:pStyle w:val="Normal"/>
        <w:bidi w:val="0"/>
        <w:jc w:val="left"/>
        <w:rPr>
          <w:lang w:val="pt-PT"/>
        </w:rPr>
      </w:pPr>
      <w:r>
        <w:rPr>
          <w:lang w:val="pt-PT"/>
        </w:rPr>
        <w:t>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ns2:inline distT="0" distB="0" distL="0" distR="0">
            <ns2:extent cx="5038725" cy="4724400"/>
            <ns2:effectExtent l="0" t="0" r="0" b="0"/>
            <ns2:docPr id="19" name="Image 18" descr="Image 18"/>
            <ns2:cNvGraphicFramePr>
              <ns3:graphicFrameLocks noChangeAspect="1"/>
            </ns2:cNvGraphicFramePr>
            <ns3:graphic>
              <ns3:graphicData uri="http://schemas.openxmlformats.org/drawingml/2006/picture">
                <ns4:pic>
                  <ns4:nvPicPr>
                    <ns4:cNvPr id="19" name="Image 18" descr="Image 18"/>
                    <ns4:cNvPicPr>
                      <ns3:picLocks noChangeAspect="1" noChangeArrowheads="1"/>
                    </ns4:cNvPicPr>
                  </ns4:nvPicPr>
                  <ns4:blipFill>
                    <ns3:blip ns5:embed="rId31"/>
                    <ns3:stretch>
                      <ns3:fillRect/>
                    </ns3:stretch>
                  </ns4:blipFill>
                  <ns4:spPr bwMode="auto">
                    <ns3:xfrm>
                      <ns3:off x="0" y="0"/>
                      <ns3:ext cx="5038725" cy="4724400"/>
                    </ns3:xfrm>
                    <ns3:prstGeom prst="rect">
                      <ns3:avLst/>
                    </ns3:prstGeom>
                    <ns3:noFill/>
                  </ns4:spPr>
                </ns4:pic>
              </ns3:graphicData>
            </ns3:graphic>
          </ns2: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 xml:space="preserve">Uma interface bem desenhada pode criar a sensação de evidência ou de neutralidade em decisões que continuam condicionadas por critérios de projeto, pressupostos técnicos e escolhas interpretativas. </w:t>
      </w:r>
      <w:r>
        <w:rPr/>
        <w:t>O facto de um parâmetro ser apresentado como controlo disponível, ou de uma sugestão aparentar coerência técnica, não significa que a solução esteja validada ou que represente a opção mais adequada em todos os contextos.</w:t>
      </w:r>
    </w:p>
    <w:p>
      <w:pPr>
        <w:pStyle w:val="Normal"/>
        <w:bidi w:val="0"/>
        <w:jc w:val="left"/>
        <w:rPr>
          <w:lang w:val="pt-PT"/>
        </w:rPr>
      </w:pPr>
      <w:r>
        <w:rPr>
          <w:lang w:val="pt-PT"/>
        </w:rPr>
        <w:t>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u w:val="double"/>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a coerência técnica do modelo paramétrico, o funcionamento da plataforma digital e a consistência das sugestões assistidas por IA face aos critérios numéricos e paramétricos definidos.</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condições mínimas de plausibilidade antes da preparação para fabrico. A avaliação de conforto, desempenho funcional em uso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t>A validação foi depois prolongada para prototipagem física. Com base nos resultados dos testes de perfil, foram selecionadas configurações representativas dos cenários avaliados, incluindo perfis de mão pequena, perfil adulto feminino e perfil adulto masculino. Estas geometrias foram exportadas em STL/3MF, preparadas em ambiente de fatiamento e impressas nos materiais definidos na metodologia, para verificar a passagem do modelo exportado ao protótipo físico.</w:t>
      </w:r>
    </w:p>
    <w:p>
      <w:pPr>
        <w:pStyle w:val="Normal"/>
        <w:bidi w:val="0"/>
        <w:jc w:val="left"/>
        <w:rPr>
          <w:lang w:val="pt-PT"/>
        </w:rPr>
      </w:pPr>
      <w:r>
        <w:t>A validação física seguiu cinco verificações principais: compatibilidade do ficheiro exportado com o fatiamento, ausência de falhas críticas de malha ou escala, conclusão da impressão sem defeitos impeditivos, inspeção visual e dimensional das zonas críticas e, quando aplicável, teste de encaixe ou montagem entre componentes. Esta etapa não teve como objetivo demonstrar eficácia clínica, conforto de uso ou durabilidade prolongada; o seu objetivo foi confirmar que os resultados dos perfis testados podiam atravessar a cadeia completa perfil -&gt; parâmetros -&gt; OpenSCAD/WebAssembly -&gt; STL/3MF -&gt; impressão 3D, mantendo coerência geométrica e viabilidade produtiva.</w:t>
      </w:r>
    </w:p>
    <w:p>
      <w:pPr>
        <w:pStyle w:val="Normal"/>
        <w:bidi w:val="0"/>
        <w:jc w:val="left"/>
        <w:rPr>
          <w:lang w:val="pt-PT"/>
        </w:rPr>
      </w:pPr>
      <w:r>
        <w:rPr>
          <w:lang w:val="pt-PT"/>
        </w:rPr>
        <w:t xml:space="preserve">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w:t>
      </w:r>
      <w:r>
        <w:rPr>
          <w:lang w:val="pt-PT"/>
        </w:rPr>
        <w:t>em contexto real (Romero et al., 2025 (#ref-romero-2025)).</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571875"/>
            <ns2:effectExtent l="0" t="0" r="0" b="0"/>
            <ns2:docPr id="20" name="Image 19" descr="Image 19"/>
            <ns2:cNvGraphicFramePr>
              <ns3:graphicFrameLocks noChangeAspect="1"/>
            </ns2:cNvGraphicFramePr>
            <ns3:graphic>
              <ns3:graphicData uri="http://schemas.openxmlformats.org/drawingml/2006/picture">
                <ns4:pic>
                  <ns4:nvPicPr>
                    <ns4:cNvPr id="20" name="Image 19" descr="Image 19"/>
                    <ns4:cNvPicPr>
                      <ns3:picLocks noChangeAspect="1" noChangeArrowheads="1"/>
                    </ns4:cNvPicPr>
                  </ns4:nvPicPr>
                  <ns4:blipFill>
                    <ns3:blip ns5:embed="rId32"/>
                    <ns3:stretch>
                      <ns3:fillRect/>
                    </ns3:stretch>
                  </ns4:blipFill>
                  <ns4:spPr bwMode="auto">
                    <ns3:xfrm>
                      <ns3:off x="0" y="0"/>
                      <ns3:ext cx="5715000" cy="3571875"/>
                    </ns3:xfrm>
                    <ns3:prstGeom prst="rect">
                      <ns3:avLst/>
                    </ns3:prstGeom>
                    <ns3:noFill/>
                  </ns4:spPr>
                </ns4:pic>
              </ns3:graphicData>
            </ns3:graphic>
          </ns2: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8.1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consistência numérica e paramétrica das sugestões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8.2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 xml:space="preserve">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w:t>
      </w:r>
      <w:r>
        <w:rPr/>
        <w:t>Esta variação entre execuções confirma que a avaliação deve privilegiar propriedades estáveis do sistema, taxas de aceitação das sugestões e comportamento em cenários com informação antropométrica limitada, reduzindo a centralidade de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Tabela 8.3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lang w:val="pt-PT"/>
        </w:rPr>
        <w:t xml:space="preserve">Tabela 8.4 — </w:t>
      </w:r>
      <w:r>
        <w:rPr/>
        <w:t>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Esta etapa confirmou que a validação das sugestões de IA deve prolongar-se para além da resposta em JSON, pois a geometria exportada e a sua materialização por impressão 3D podem revelar dependências internas, limites de escala, problemas de espessura, folgas insuficientes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e física demonstra que cada modelo transporta constrangimentos próprios: alguns aceitam escalas pequenas, outros impõem pisos mínimos ou preservam proporções globais herdadas do desenho original. A prototipagem física confirmou a viabilidade das configurações selecionadas, mas também reforçou que a passagem para o objeto físico deve ser tratada como etapa de verificação material e não como prova clínica. Consequentemente, os resultados são promissores enquanto validação de coerência interna, acessibilidade paramétrica e viabilidade de prototipagem, mas permanecem preliminares enquanto validação protésica.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lang w:val="pt-PT"/>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a exportação em STL/3MF, a preparação para fatiamento e a impressão 3D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rPr>
          <w:lang w:val="pt-PT"/>
        </w:rPr>
        <w:t xml:space="preserve">Quarto, a prototipagem física confirmou que as configurações selecionadas a partir dos testes de perfil podiam ser preparadas, fatiadas e impressas, permitindo verificar escala, integridade formal, zonas críticas e montagem preliminar. Esta etapa validou a viabilidade produtiva do fluxo, mas não constitui validação clínica ou biomecânica completa.</w:t>
        <w:softHyphen/>
        <w:t/>
      </w:r>
    </w:p>
    <w:p>
      <w:pPr>
        <w:pStyle w:val="Normal"/>
        <w:bidi w:val="0"/>
        <w:jc w:val="left"/>
        <w:rPr>
          <w:lang w:val="pt-PT"/>
        </w:rPr>
      </w:pPr>
      <w:r>
        <w:t>Quinto, a avaliação centrada no utilizador revelou que a acessibilidade paramétrica depende tanto da qualidade da inferência - entendida como o processo através do qual a IA transforma informação incompleta, indireta ou descritiva em sugestões paramétricas plausíveis -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 xml:space="preserve">O alcance das conclusões deve ser entendido a partir do caráter metodológico e técnico da validação realizada. </w:t>
      </w:r>
      <w:r>
        <w:rPr/>
        <w:t>A avaliação incidiu sobre perfis simulados, dados secundários e critérios internos de verificação numérica e coerência paramétrica, deixando para investigação futura os testes com utilizadores reais, as avaliações clínicas, as medições diretas de conforto, os ensaios funcionais prolongados e a validação biomecânica completa.</w:t>
      </w:r>
    </w:p>
    <w:p>
      <w:pPr>
        <w:pStyle w:val="Normal"/>
        <w:bidi w:val="0"/>
        <w:jc w:val="left"/>
        <w:rPr>
          <w:lang w:val="pt-PT"/>
        </w:rPr>
      </w:pPr>
      <w:r>
        <w:rPr>
          <w:lang w:val="pt-PT"/>
        </w:rPr>
        <w:t>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O carácter probabilístico das respostas da IA deve ser avaliado através de múltiplas extrações por perfil, reportando valores médios, dispersão e taxas de aprovação das propriedades estáveis do sistema.</w:t>
      </w:r>
    </w:p>
    <w:p>
      <w:pPr>
        <w:pStyle w:val="Normal"/>
        <w:bidi w:val="0"/>
        <w:jc w:val="left"/>
        <w:rPr>
          <w:lang w:val="pt-PT"/>
        </w:rPr>
      </w:pPr>
      <w:r>
        <w:rPr>
          <w:lang w:val="pt-PT"/>
        </w:rPr>
        <w:t>A comparação com bases de dados antropométricas ou medições reais permitiria evoluir de uma verificação interna de coerência para uma estimativa mais rigorosa do erro.Do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a validação física realizada deve ser aprofundada através de ensaios mais sistemáticos de montagem, tolerâncias, resistência, desgaste, repetibilidade de impressão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ao material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Heading3"/>
        <w:rPr/>
      </w:pPr>
      <w:r>
        <w:rPr/>
      </w:r>
    </w:p>
    <w:p>
      <w:pPr>
        <w:pStyle w:val="Heading3"/>
        <w:rPr/>
      </w:pPr>
      <w:r>
        <w:rPr/>
        <w:t>A.4 Processo de Extração de Dados</w:t>
      </w:r>
    </w:p>
    <w:p>
      <w:pPr>
        <w:pStyle w:val="Heading3"/>
        <w:rPr/>
      </w:pPr>
      <w:r>
        <w:rPr/>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customização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O trabalho de Moreo (2016), dissertação de mestrado sobre design paramétrico de prótese de mão para crianças.</w:t>
      </w:r>
    </w:p>
    <w:p>
      <w:pPr>
        <w:pStyle w:val="Normal"/>
        <w:rPr/>
      </w:pPr>
      <w:r>
        <w:rPr/>
        <w:t>A Tabela 6.1 apresenta valores percentílicos de comprimento de dedo por grupo etário, mas estes valores são extraídos da base de dados DINED (TU Delft, n=965 crianças neerlandesas) — Uma vez que não constituem uma recolha primária por parte d</w:t>
      </w:r>
      <w:r>
        <w:rPr/>
        <w:t>o</w:t>
      </w:r>
      <w:r>
        <w:rPr/>
        <w:t xml:space="preserve"> autor, a inclusão destes valores equivaleria a duplicar uma fonte secundária sem ligação direta verificável ao estudo DINED original.</w:t>
      </w:r>
    </w:p>
    <w:p>
      <w:pPr>
        <w:pStyle w:val="Normal"/>
        <w:rPr>
          <w:b/>
        </w:rPr>
      </w:pP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w:t>
      </w:r>
      <w:r>
        <w:rPr/>
        <w:t xml:space="preserve">o </w:t>
      </w:r>
      <w:r>
        <w:rPr/>
        <w:t>processo foi implementado em Python puro, sem dependências externas, de modo a reduzir variações associadas ao ambiente de execução e a assegurar que o ficheiro possa ser regenerado de forma consistente a partir das mesmas entradas.</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Registo completo do processo</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Heading3"/>
        <w:rPr/>
      </w:pPr>
      <w:r>
        <w:rPr/>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origem verificável dos dados — cada valor está imediatamente associado à respetiva citação e nota metodológica; (2) regeneração consistente dos dados — a execução do script produz novamente o CSV a partir das mesmas regras e dos mesmos valores de origem;</w:t>
        <w:br/>
        <w:t xml:space="preserve">(3) controlo de versões — as alterações aos dados tornam-se visíveis no </w:t>
      </w:r>
      <w:r>
        <w:rPr>
          <w:rStyle w:val="SourceText"/>
        </w:rPr>
        <w:t>diff</w:t>
      </w:r>
      <w:r>
        <w:rPr/>
        <w:t xml:space="preserve"> do Git, permitindo identificar que estudo foi modificado e em que contexto.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rFonts w:ascii="Consolas" w:hAnsi="Consolas"/>
          <w:sz w:val="20"/>
        </w:rPr>
      </w:pPr>
      <w:r>
        <w:rPr>
          <w:rFonts w:ascii="Consolas" w:hAnsi="Consolas"/>
          <w:sz w:val="20"/>
        </w:rPr>
        <w:t>A base de dados foi construída com o objetivo de reunir dados sobre a variação antropométrica da mão humana em diferentes dimensões de análise, incluindo distribuição geográfica, características demográficas, grupos etários e tipos de estatística descritiva disponíveis.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w:t>
      </w:r>
      <w:r>
        <w:rPr/>
        <w:t>ariações</w:t>
      </w:r>
      <w:r>
        <w:rPr/>
        <w:t xml:space="preserve"> antropométrica</w:t>
      </w:r>
      <w:r>
        <w:rPr/>
        <w:t>s</w:t>
      </w:r>
      <w:r>
        <w:rPr/>
        <w:t xml:space="preserve"> documentada</w:t>
      </w:r>
      <w:r>
        <w:rPr/>
        <w:t>s</w:t>
      </w:r>
      <w:r>
        <w:rPr/>
        <w:t xml:space="preserve">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lang w:val="pt-PT"/>
        </w:rPr>
        <w:t xml:space="preserve"> material/prosthetics-design/A review of technology, materials and R&amp;D challenges of upper limb prosthesis for improved user suitability.pdf</w:t>
      </w:r>
    </w:p>
    <w:p>
      <w:pPr>
        <w:overflowPunct w:val="false"/>
        <w:bidi w:val="0"/>
        <w:rPr/>
      </w:pPr>
      <w:r>
        <w:rPr>
          <w:lang w:val="pt-PT"/>
        </w:rPr>
      </w:r>
    </w:p>
    <w:p>
      <w:pPr>
        <w:overflowPunct w:val="false"/>
        <w:bidi w:val="0"/>
        <w:rPr/>
      </w:pPr>
      <w:r>
        <w:rPr>
          <w:lang w:val="pt-PT"/>
        </w:rPr>
        <w:t xml:space="preserve">  Ela sustenta a classificação assim: Brack e Amalu classificam a tecnologia de próteses de membro superior em próteses passivas, ativas e híbridas; depois</w:t>
      </w:r>
    </w:p>
    <w:p>
      <w:pPr>
        <w:overflowPunct w:val="false"/>
        <w:bidi w:val="0"/>
        <w:rPr/>
      </w:pPr>
      <w:r>
        <w:rPr>
          <w:lang w:val="pt-PT"/>
        </w:rPr>
        <w:t xml:space="preserve">  subdividem as ativas em acionadas pelo corpo e mioelétricas. Também definem as híbridas como combinação de componentes acionados pelo corpo e mioelétricos.</w:t>
      </w:r>
    </w:p>
    <w:p>
      <w:pPr>
        <w:overflowPunct w:val="false"/>
        <w:bidi w:val="0"/>
        <w:rPr/>
      </w:pPr>
      <w:r>
        <w:rPr>
          <w:lang w:val="pt-PT"/>
        </w:rPr>
      </w:r>
    </w:p>
    <w:p>
      <w:pPr>
        <w:overflowPunct w:val="false"/>
        <w:bidi w:val="0"/>
        <w:rPr/>
      </w:pPr>
      <w:r>
        <w:rPr>
          <w:lang w:val="pt-PT"/>
        </w:rPr>
        <w:t xml:space="preserve">  Posso citar a frase como:</w:t>
      </w:r>
    </w:p>
    <w:p>
      <w:pPr>
        <w:overflowPunct w:val="false"/>
        <w:bidi w:val="0"/>
        <w:rPr/>
      </w:pPr>
      <w:r>
        <w:rPr>
          <w:lang w:val="pt-PT"/>
        </w:rPr>
      </w:r>
    </w:p>
    <w:p>
      <w:pPr>
        <w:overflowPunct w:val="false"/>
        <w:bidi w:val="0"/>
        <w:rPr/>
      </w:pPr>
      <w:r>
        <w:rPr>
          <w:lang w:val="pt-PT"/>
        </w:rPr>
        <w:t xml:space="preserve">  &gt; As próteses de membro superior podem ser classificadas de acordo com a fonte de energia e o mecanismo de controlo, distinguindo-se próteses passivas, acionadas</w:t>
      </w:r>
    </w:p>
    <w:p>
      <w:pPr>
        <w:overflowPunct w:val="false"/>
        <w:bidi w:val="0"/>
        <w:rPr/>
      </w:pPr>
      <w:r>
        <w:rPr>
          <w:lang w:val="pt-PT"/>
        </w:rPr>
        <w:t xml:space="preserve">  &gt; pelo corpo, mioelétricas e híbridas (Brack &amp; Amalu, 2021).</w:t>
      </w:r>
    </w:p>
    <w:p>
      <w:pPr>
        <w:overflowPunct w:val="false"/>
        <w:bidi w:val="0"/>
        <w:rPr/>
      </w:pPr>
      <w:r>
        <w:rPr>
          <w:lang w:val="pt-PT"/>
        </w:rPr>
      </w:r>
    </w:p>
    <w:p>
      <w:pPr>
        <w:overflowPunct w:val="false"/>
        <w:bidi w:val="0"/>
        <w:rPr/>
      </w:pPr>
      <w:r>
        <w:rPr>
          <w:lang w:val="pt-PT"/>
        </w:rPr>
        <w:t xml:space="preserve">  Entrada APA 7:</w:t>
      </w:r>
    </w:p>
    <w:p>
      <w:pPr>
        <w:overflowPunct w:val="false"/>
        <w:bidi w:val="0"/>
        <w:rPr/>
      </w:pPr>
      <w:r>
        <w:rPr>
          <w:lang w:val="pt-PT"/>
        </w:rPr>
      </w:r>
    </w:p>
    <w:p>
      <w:pPr>
        <w:overflowPunct w:val="false"/>
        <w:bidi w:val="0"/>
        <w:rPr/>
      </w:pPr>
      <w:r>
        <w:rPr>
          <w:lang w:val="pt-PT"/>
        </w:rPr>
        <w:t xml:space="preserve">  Brack, R., &amp; Amalu, E. H. (2021). A review of technology, materials and R&amp;D challenges of upper limb prosthesis for improved user suitability. Journal of</w:t>
      </w:r>
    </w:p>
    <w:p>
      <w:pPr>
        <w:overflowPunct w:val="false"/>
        <w:bidi w:val="0"/>
        <w:rPr/>
      </w:pPr>
      <w:r>
        <w:rPr>
          <w:lang w:val="pt-PT"/>
        </w:rPr>
        <w:t xml:space="preserve">  Orthopaedics, 23, 88–96. https://doi.org/10.1016/j.jor.2020.12.009</w:t>
      </w:r>
    </w:p>
    <w:p>
      <w:pPr>
        <w:overflowPunct w:val="false"/>
        <w:bidi w:val="0"/>
        <w:rPr/>
      </w:pPr>
      <w:r>
        <w:rPr>
          <w:lang w:val="pt-PT"/>
        </w:rPr>
      </w:r>
    </w:p>
  </w:comment>
  <w:comment w:id="1" w:author="Unknown Author" w:date="2026-06-30T20:08:54Z" w:initials="">
    <w:p>
      <w:pPr>
        <w:overflowPunct w:val="false"/>
        <w:bidi w:val="0"/>
        <w:rPr/>
      </w:pPr>
      <w:r>
        <w:annotationRef/>
      </w:r>
      <w:r>
        <w:rPr>
          <w:lang w:val="pt-PT"/>
        </w:rPr>
        <w:t>Meter a norma na bibliografia</w:t>
      </w:r>
    </w:p>
  </w:comment>
  <w:comment w:id="2" w:author="Unknown Author" w:date="2026-06-30T20:17:49Z" w:initials="">
    <w:p>
      <w:pPr>
        <w:overflowPunct w:val="false"/>
        <w:bidi w:val="0"/>
        <w:rPr/>
      </w:pPr>
      <w:r>
        <w:annotationRef/>
      </w:r>
      <w:r>
        <w:rPr>
          <w:lang w:val="pt-PT"/>
        </w:rPr>
        <w:t>Quem diz?</w:t>
      </w:r>
    </w:p>
    <w:p>
      <w:pPr>
        <w:overflowPunct w:val="false"/>
        <w:bidi w:val="0"/>
        <w:rPr/>
      </w:pPr>
      <w:r>
        <w:rPr>
          <w:lang w:val="pt-PT"/>
        </w:rPr>
      </w:r>
    </w:p>
    <w:p>
      <w:pPr>
        <w:overflowPunct w:val="false"/>
        <w:bidi w:val="0"/>
        <w:rPr/>
      </w:pPr>
      <w:r>
        <w:rPr>
          <w:lang w:val="pt-PT"/>
        </w:rPr>
        <w:t xml:space="preserve"> Privitera, M. (2017). Designing industrial design in the highly regulated medical device development process: Defining our valuable contribution towards</w:t>
      </w:r>
    </w:p>
    <w:p>
      <w:pPr>
        <w:overflowPunct w:val="false"/>
        <w:bidi w:val="0"/>
        <w:rPr/>
      </w:pPr>
      <w:r>
        <w:rPr>
          <w:lang w:val="pt-PT"/>
        </w:rPr>
        <w:t xml:space="preserve">  usability. The Design Journal, 20(sup1), S2190–S2206. https://doi.org/10.1080/14606925.2017.1352735</w:t>
      </w:r>
    </w:p>
    <w:p>
      <w:pPr>
        <w:overflowPunct w:val="false"/>
        <w:bidi w:val="0"/>
        <w:rPr/>
      </w:pPr>
      <w:r>
        <w:rPr>
          <w:lang w:val="pt-PT"/>
        </w:rPr>
      </w:r>
    </w:p>
    <w:p>
      <w:pPr>
        <w:overflowPunct w:val="false"/>
        <w:bidi w:val="0"/>
        <w:rPr/>
      </w:pPr>
      <w:r>
        <w:rPr>
          <w:lang w:val="pt-PT"/>
        </w:rPr>
        <w:t xml:space="preserve">  Oldfrey, B. M., et al. (2024). A scoping review of digital fabrication techniques applied to prosthetics and orthotics: Part 1 of 2: Prosthetics. Prosthetics and</w:t>
      </w:r>
    </w:p>
    <w:p>
      <w:pPr>
        <w:overflowPunct w:val="false"/>
        <w:bidi w:val="0"/>
        <w:rPr/>
      </w:pPr>
      <w:r>
        <w:rPr>
          <w:lang w:val="pt-PT"/>
        </w:rPr>
        <w:t xml:space="preserve">  Orthotics International, 48, 574–589. https://doi.org/10.1097/PXR.0000000000000351</w:t>
      </w:r>
    </w:p>
    <w:p>
      <w:pPr>
        <w:overflowPunct w:val="false"/>
        <w:bidi w:val="0"/>
        <w:rPr/>
      </w:pPr>
      <w:r>
        <w:rPr>
          <w:lang w:val="pt-PT"/>
        </w:rPr>
      </w:r>
    </w:p>
    <w:p>
      <w:pPr>
        <w:overflowPunct w:val="false"/>
        <w:bidi w:val="0"/>
        <w:rPr/>
      </w:pPr>
      <w:r>
        <w:rPr>
          <w:lang w:val="pt-PT"/>
        </w:rPr>
        <w:t xml:space="preserve">  Mc Guinness, E., Patel, D., Patrick, M., &amp; Austin, V. (2025). Outcomes of assistive technology use by sex and gender: A scoping review. Disability and</w:t>
      </w:r>
    </w:p>
    <w:p>
      <w:pPr>
        <w:overflowPunct w:val="false"/>
        <w:bidi w:val="0"/>
        <w:rPr/>
      </w:pPr>
      <w:r>
        <w:rPr>
          <w:lang w:val="pt-PT"/>
        </w:rPr>
        <w:t xml:space="preserve">  Rehabilitation: Assistive Technology, 20(8), 2666–2690. https://doi.org/10.1080/17483107.2025.2516615</w:t>
      </w:r>
    </w:p>
    <w:p>
      <w:pPr>
        <w:overflowPunct w:val="false"/>
        <w:bidi w:val="0"/>
        <w:rPr/>
      </w:pPr>
      <w:r>
        <w:rPr>
          <w:lang w:val="pt-PT"/>
        </w:rPr>
      </w:r>
    </w:p>
  </w:comment>
  <w:comment w:id="3" w:author="Unknown Author" w:date="2026-07-01T19:07:33Z" w:initials="">
    <w:p>
      <w:pPr>
        <w:overflowPunct w:val="true"/>
        <w:bidi w:val="0"/>
        <w:rPr/>
      </w:pPr>
      <w:r>
        <w:annotationRef/>
      </w:r>
      <w:r>
        <w:rPr>
          <w:lang w:val="pt-PT"/>
        </w:rPr>
        <w:t>Precisas de definir o meta design</w:t>
      </w:r>
    </w:p>
  </w:comment>
  <w:comment w:id="4" w:author="Unknown Author" w:date="2026-07-01T19:08:06Z" w:initials="">
    <w:p>
      <w:pPr>
        <w:overflowPunct w:val="true"/>
        <w:bidi w:val="0"/>
        <w:rPr/>
      </w:pPr>
      <w:r>
        <w:annotationRef/>
      </w:r>
      <w:r>
        <w:rPr>
          <w:lang w:val="pt-PT"/>
        </w:rPr>
        <w:t>Tens que desenvolver isto pare perceber seisto faz sentido de estar aqui ou se cortamos</w:t>
      </w:r>
    </w:p>
  </w:comment>
  <w:comment w:id="5" w:author="Unknown Author" w:date="2026-07-01T20:43:47Z" w:initials="">
    <w:p>
      <w:pPr>
        <w:overflowPunct w:val="true"/>
        <w:bidi w:val="0"/>
        <w:rPr/>
      </w:pPr>
      <w:r>
        <w:annotationRef/>
      </w:r>
      <w:r>
        <w:rPr>
          <w:lang w:val="pt-PT"/>
        </w:rPr>
        <w:t>É a primeira vez que estás a falar sobre isto. É preciso referir e explicar algures antes deste ponto o que é a Vitoria Hand Project e Já agora a E-Nabled</w:t>
      </w:r>
    </w:p>
    <w:p>
      <w:pPr>
        <w:overflowPunct w:val="true"/>
        <w:bidi w:val="0"/>
        <w:rPr/>
      </w:pPr>
      <w:r>
        <w:rPr>
          <w:lang w:val="pt-PT"/>
        </w:rPr>
      </w:r>
    </w:p>
    <w:p w14:paraId="01000000">
      <w:pPr>
        <w:overflowPunct w:val="true"/>
        <w:bidi w:val="0"/>
        <w:rPr/>
      </w:pPr>
      <w:r>
        <w:rPr>
          <w:lang w:val="pt-PT"/>
        </w:rPr>
        <w:t>Aqui temos que introduzir um screenshot do sistema do victoria hand no f3s</w:t>
      </w:r>
    </w:p>
  </w:comment>
  <w:comment w:id="6" w:author="Unknown Author" w:date="2026-07-02T17:25:21Z" w:initials="">
    <w:p>
      <w:pPr>
        <w:overflowPunct w:val="true"/>
        <w:bidi w:val="0"/>
        <w:rPr/>
      </w:pPr>
      <w:r>
        <w:annotationRef/>
      </w:r>
      <w:r>
        <w:rPr>
          <w:lang w:val="pt-PT"/>
        </w:rPr>
        <w:t>Podemos adicionar aquele gráfico todo bonito que fizeste antes.</w:t>
      </w:r>
    </w:p>
  </w:comment>
  <w:comment w:id="7" w:author="Unknown Author" w:date="2026-07-02T17:57:37Z" w:initials="">
    <w:p>
      <w:pPr>
        <w:overflowPunct w:val="true"/>
        <w:bidi w:val="0"/>
        <w:rPr/>
      </w:pPr>
      <w:r>
        <w:annotationRef/>
      </w:r>
      <w:r>
        <w:rPr>
          <w:lang w:val="pt-PT"/>
        </w:rPr>
        <w:t>Aqui é que podemos meter o nosso gráfico bonitolas</w:t>
      </w:r>
    </w:p>
  </w:comment>
  <w:comment w:id="8" w:author="Unknown Author" w:date="2026-07-02T18:05:03Z" w:initials="">
    <w:p>
      <w:pPr>
        <w:overflowPunct w:val="true"/>
        <w:bidi w:val="0"/>
        <w:rPr/>
      </w:pPr>
      <w:r>
        <w:annotationRef/>
      </w:r>
      <w:r>
        <w:rPr>
          <w:lang w:val="pt-PT"/>
        </w:rPr>
        <w:t>Falo disto? Acho que não faço em PLA e PETG</w:t>
      </w:r>
    </w:p>
  </w:comment>
  <w:comment w:id="9" w:author="Unknown Author" w:date="2026-07-03T19:16:18Z" w:initials="">
    <w:p w14:paraId="02000000">
      <w:pPr>
        <w:overflowPunct w:val="false"/>
        <w:rPr/>
      </w:pPr>
      <w:r>
        <w:annotationRef/>
      </w:r>
      <w:r>
        <w:rPr>
          <w:lang w:val="pt-PT"/>
        </w:rPr>
        <w:t>Isto é a primeira vez que estás a falar do Openscad</w:t>
      </w:r>
    </w:p>
  </w:comment>
  <w:comment w:id="10" w:author="Unknown Author" w:date="2026-07-03T19:16:31Z" w:initials="">
    <w:p w14:paraId="03000000">
      <w:pPr>
        <w:overflowPunct w:val="false"/>
        <w:rPr/>
      </w:pPr>
      <w:r>
        <w:annotationRef/>
      </w:r>
      <w:r>
        <w:rPr>
          <w:lang w:val="pt-PT"/>
        </w:rPr>
        <w:t>É preciso dizer o que é STL e 3MF</w:t>
      </w:r>
    </w:p>
  </w:comment>
  <w:comment w:id="11" w:author="Unknown Author" w:date="2026-07-03T13:45:05Z" w:initials="">
    <w:p>
      <w:pPr>
        <w:overflowPunct w:val="true"/>
        <w:bidi w:val="0"/>
        <w:rPr/>
      </w:pPr>
      <w:r>
        <w:annotationRef/>
      </w:r>
      <w:r>
        <w:rPr>
          <w:lang w:val="pt-PT"/>
        </w:rPr>
        <w:t>Estás a entrar em modo repetição outra vez.</w:t>
      </w:r>
    </w:p>
  </w:comment>
  <w:comment w:id="12" w:author="Unknown Author" w:date="2026-07-04T13:26:12Z" w:initials="">
    <w:p>
      <w:pPr>
        <w:overflowPunct w:val="false"/>
        <w:rPr/>
      </w:pPr>
      <w:r>
        <w:annotationRef/>
      </w:r>
      <w:r>
        <w:rPr>
          <w:lang w:val="pt-PT"/>
        </w:rPr>
        <w:t>Começas aqui a falar do modelo gerado mas é a primeira vez que abordas isso. Tens que contextualizar.</w:t>
      </w:r>
    </w:p>
  </w:comment>
  <w:comment w:id="13" w:author="Unknown Author" w:date="2026-07-04T13:27:11Z" w:initials="">
    <w:p>
      <w:pPr>
        <w:overflowPunct w:val="false"/>
        <w:rPr/>
      </w:pPr>
      <w:r>
        <w:annotationRef/>
      </w:r>
      <w:r>
        <w:rPr>
          <w:lang w:val="pt-PT"/>
        </w:rPr>
        <w:t>Meter aqui umas imagens!</w:t>
      </w:r>
    </w:p>
  </w:comment>
  <w:comment w:id="14" w:author="Unknown Author" w:date="2026-07-04T15:20:50Z" w:initials="">
    <w:p>
      <w:pPr>
        <w:overflowPunct w:val="false"/>
        <w:rPr/>
      </w:pPr>
      <w:r>
        <w:annotationRef/>
      </w:r>
      <w:r>
        <w:rPr>
          <w:lang w:val="pt-PT"/>
        </w:rPr>
        <w:t>Vamos meter aqui uma imagem</w:t>
      </w:r>
    </w:p>
  </w:comment>
  <w:comment w:id="15" w:author="Unknown Author" w:date="2026-07-04T18:35:39Z" w:initials="">
    <w:p>
      <w:pPr>
        <w:overflowPunct w:val="false"/>
        <w:rPr/>
      </w:pPr>
      <w:r>
        <w:annotationRef/>
      </w:r>
      <w:r>
        <w:rPr>
          <w:lang w:val="pt-PT"/>
        </w:rPr>
        <w:t>Não te esqueças de adicionar ao indice estas siglas.</w:t>
      </w:r>
    </w:p>
  </w:comment>
  <w:comment w:id="16" w:author="Unknown Author" w:date="2026-07-04T18:51:43Z" w:initials="">
    <w:p>
      <w:pPr>
        <w:overflowPunct w:val="false"/>
        <w:rPr/>
      </w:pPr>
      <w:r>
        <w:annotationRef/>
      </w:r>
      <w:r>
        <w:rPr>
          <w:lang w:val="pt-PT"/>
        </w:rPr>
        <w:t>Faz sentido integrar uma parte sobre a E-nable e os modelos deles.</w:t>
      </w:r>
    </w:p>
  </w:comment>
  <w:comment w:id="17" w:author="Unknown Author" w:date="2026-07-04T18:53:29Z" w:initials="">
    <w:p>
      <w:pPr>
        <w:overflowPunct w:val="false"/>
        <w:rPr/>
      </w:pPr>
      <w:r>
        <w:annotationRef/>
      </w:r>
      <w:r>
        <w:rPr>
          <w:lang w:val="pt-PT"/>
        </w:rPr>
        <w:t>Parametros de hardware</w:t>
      </w:r>
    </w:p>
  </w:comment>
  <w:comment w:id="18" w:author="Unknown Author" w:date="2026-07-04T21:37:44Z" w:initials="">
    <w:p>
      <w:pPr>
        <w:overflowPunct w:val="false"/>
        <w:rPr/>
      </w:pPr>
      <w:r>
        <w:annotationRef/>
      </w:r>
      <w:r>
        <w:rPr>
          <w:lang w:val="pt-PT"/>
        </w:rPr>
        <w:t>Isto está no indice? Vai lá ver</w:t>
      </w:r>
    </w:p>
  </w:comment>
  <w:comment w:id="19" w:author="Unknown Author" w:date="2026-07-05T12:22:53Z" w:initials="">
    <w:p>
      <w:pPr>
        <w:overflowPunct w:val="false"/>
        <w:rPr/>
      </w:pPr>
      <w:r>
        <w:annotationRef/>
      </w:r>
      <w:r>
        <w:rPr>
          <w:lang w:val="pt-PT"/>
        </w:rPr>
        <w:t>Não esquecer de meter no índice</w:t>
      </w:r>
    </w:p>
  </w:comment>
  <w:comment w:id="20" w:author="Unknown Author" w:date="2026-07-05T12:26:47Z" w:initials="">
    <w:p>
      <w:pPr>
        <w:overflowPunct w:val="false"/>
        <w:rPr/>
      </w:pPr>
      <w:r>
        <w:annotationRef/>
      </w:r>
      <w:r>
        <w:rPr>
          <w:lang w:val="pt-PT"/>
        </w:rPr>
        <w:t>Adicionar uma nota a explicar e adicionar no indice a sigla</w:t>
      </w:r>
    </w:p>
  </w:comment>
  <w:comment w:id="21" w:author="Unknown Author" w:date="2026-07-05T14:28:24Z" w:initials="">
    <w:p>
      <w:pPr>
        <w:overflowPunct w:val="true"/>
        <w:rPr/>
      </w:pPr>
      <w:r>
        <w:annotationRef/>
      </w:r>
      <w:r>
        <w:rPr>
          <w:lang w:val="pt-PT"/>
        </w:rPr>
        <w:t>Isto é uma repetição</w:t>
      </w:r>
    </w:p>
  </w:comment>
  <w:comment w:id="22" w:author="Unknown Author" w:date="2026-07-05T14:29:31Z" w:initials="">
    <w:p>
      <w:pPr>
        <w:overflowPunct w:val="true"/>
        <w:rPr/>
      </w:pPr>
      <w:r>
        <w:annotationRef/>
      </w:r>
      <w:r>
        <w:rPr>
          <w:lang w:val="pt-PT"/>
        </w:rPr>
        <w:t>Inserir notas de rodapé</w:t>
      </w:r>
    </w:p>
  </w:comment>
  <w:comment w:id="23" w:author="Unknown Author" w:date="2026-07-05T15:25:09Z" w:initials="">
    <w:p>
      <w:pPr>
        <w:overflowPunct w:val="true"/>
        <w:rPr/>
      </w:pPr>
      <w:r>
        <w:annotationRef/>
      </w:r>
      <w:r>
        <w:rPr>
          <w:lang w:val="pt-PT"/>
        </w:rPr>
        <w:t>Inserir um comentário</w:t>
      </w:r>
    </w:p>
  </w:comment>
  <w:comment w:id="24" w:author="Unknown Author" w:date="2026-07-05T16:14:55Z" w:initials="">
    <w:p>
      <w:pPr>
        <w:overflowPunct w:val="true"/>
        <w:rPr/>
      </w:pPr>
      <w:r>
        <w:annotationRef/>
      </w:r>
      <w:r>
        <w:rPr>
          <w:lang w:val="pt-PT"/>
        </w:rPr>
        <w:t>Se calhar introduzir uma tabela com os prompts</w:t>
      </w:r>
    </w:p>
  </w:comment>
  <w:comment w:id="25" w:author="Unknown Author" w:date="2026-07-05T17:43:41Z" w:initials="">
    <w:p>
      <w:pPr>
        <w:overflowPunct w:val="false"/>
        <w:rPr/>
      </w:pPr>
      <w:r>
        <w:annotationRef/>
      </w:r>
      <w:r>
        <w:rPr>
          <w:lang w:val="pt-PT"/>
        </w:rPr>
        <w:t>Introduzir aqui uma tabela com valores</w:t>
      </w:r>
    </w:p>
  </w:comment>
  <w:comment w:id="26" w:author="Unknown Author" w:date="2026-07-05T19:22:29Z" w:initials="">
    <w:p>
      <w:pPr>
        <w:overflowPunct w:val="false"/>
        <w:rPr/>
      </w:pPr>
      <w:r>
        <w:annotationRef/>
      </w:r>
      <w:r>
        <w:rPr>
          <w:lang w:val="pt-PT"/>
        </w:rPr>
        <w:t>indice</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r>
    </w:p>
  </w:footnote>
  <w:footnote w:id="4">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 ou customização.</w:t>
      </w:r>
    </w:p>
  </w:footnote>
  <w:footnote w:id="6">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1">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 w:id="14">
    <w:p>
      <w:pPr>
        <w:pStyle w:val="FootnoteText"/>
        <w:rPr/>
      </w:pPr>
      <w:r>
        <w:rPr>
          <w:rStyle w:val="FootnoteCharacters"/>
        </w:rPr>
        <w:footnoteRef/>
      </w:r>
      <w:r>
        <w:rPr>
          <w:rStyle w:val="Emphasis"/>
        </w:rPr>
        <w:t xml:space="preserve"> </w:t>
      </w:r>
      <w:r>
        <w:rPr>
          <w:rStyle w:val="Emphasis"/>
        </w:rPr>
        <w:t>Human-in-the-loop designa uma abordagem em que uma pessoa permanece integrada num processo automatizado, assumindo funções de supervisão, interpretação, validação ou decisão.</w:t>
      </w:r>
    </w:p>
  </w:footnote>
  <w:footnote w:id="15">
    <w:p>
      <w:pPr>
        <w:pStyle w:val="FootnoteText"/>
        <w:rPr/>
      </w:pPr>
      <w:r>
        <w:rPr>
          <w:rStyle w:val="FootnoteCharacters"/>
        </w:rPr>
        <w:footnoteRef/>
      </w:r>
      <w:r>
        <w:rPr>
          <w:rStyle w:val="Emphasis"/>
          <w:color w:val="auto"/>
          <w:kern w:val="0"/>
          <w:sz w:val="22"/>
        </w:rPr>
        <w:t xml:space="preserve"> </w:t>
      </w:r>
      <w:r>
        <w:rPr>
          <w:rStyle w:val="Emphasis"/>
          <w:color w:val="auto"/>
          <w:kern w:val="0"/>
          <w:sz w:val="20"/>
          <w:szCs w:val="20"/>
        </w:rPr>
        <w:t>Camada intermédia de comunicação que permite ao servidor gerir os pedidos enviados a serviços externos, protegendo credenciais sensíveis, controlando o acesso e reduzindo a exposição direta da aplicação a sistemas externos.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doi.org/10.1088/1742-6596/2198/1/012040" TargetMode="External"/><Relationship Id="rId27" Type="http://schemas.openxmlformats.org/officeDocument/2006/relationships/image" Target="media/image17.png"/><Relationship Id="rId28" Type="http://schemas.openxmlformats.org/officeDocument/2006/relationships/hyperlink" Target="https://doi.org/10.1080/17483107.2025.2483953" TargetMode="External"/><Relationship Id="rId29" Type="http://schemas.openxmlformats.org/officeDocument/2006/relationships/image" Target="media/image18.png"/><Relationship Id="rId30" Type="http://schemas.openxmlformats.org/officeDocument/2006/relationships/hyperlink" Target="https://doi.org/10.1016/j.inffus.2019.12.012"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footnotes" Target="footnotes.xml"/><Relationship Id="rId34" Type="http://schemas.openxmlformats.org/officeDocument/2006/relationships/comments" Target="comments.xml"/><Relationship Id="rId35" Type="http://schemas.microsoft.com/office/2011/relationships/commentsExtended" Target="commentsExtended.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4377</TotalTime>
  <Application>LibreOffice/26.2.4.2$Linux_X86_64 LibreOffice_project/3346a99e6b841765b75a9b29714a5b95c6761ce3</Application>
  <AppVersion>15.0000</AppVersion>
  <Pages>131</Pages>
  <Words>47216</Words>
  <Characters>298627</Characters>
  <CharactersWithSpaces>344466</CharactersWithSpaces>
  <Paragraphs>1505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2026-07-08T15:50:57Z</dcterms:modified>
  <cp:revision>131</cp:revision>
  <dc:subject/>
  <dc:title>projecto-completo</dc:title>
</cp:coreProperties>
</file>

<file path=docProps/custom.xml><?xml version="1.0" encoding="utf-8"?>
<Properties xmlns="http://schemas.openxmlformats.org/officeDocument/2006/custom-properties" xmlns:vt="http://schemas.openxmlformats.org/officeDocument/2006/docPropsVTypes"/>
</file>