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t>Projecto completo</w:t>
      </w:r>
    </w:p>
    <w:p>
      <w:pPr/>
      <w:r>
        <w:t>Versão do documento:0.4.2</w:t>
      </w:r>
    </w:p>
    <w:p>
      <w:pPr>
        <w:pStyle w:val="Heading2"/>
      </w:pPr>
      <w:r>
        <w:t>Capítulo 1 — Introdução</w:t>
      </w:r>
    </w:p>
    <w:p>
      <w:pPr>
        <w:pStyle w:val="Heading3"/>
      </w:pPr>
      <w:r>
        <w:t>1.1 Enquadramento geral, contexto e motivação</w:t>
      </w:r>
    </w:p>
    <w:p>
      <w:pPr/>
      <w: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r>
        <w:t xml:space="preserve">Nos últimos anos, a impressão 3D e as plataformas </w:t>
      </w:r>
      <w:r>
        <w:rPr>
          <w:i/>
        </w:rPr>
        <w:t>open source</w:t>
      </w:r>
      <w: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escalabilidade, a reprodutibilidade e a integração robusta de dados antropométricos, ou seja, medidas corporais específicas do utilizador.</w:t>
      </w:r>
    </w:p>
    <w:p>
      <w:pPr/>
      <w: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pPr>
      <w:r>
        <w:t>1.2 Problema de investigação</w:t>
      </w:r>
    </w:p>
    <w:p>
      <w:pPr/>
      <w: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pPr>
      <w:r>
        <w:t>1.3 Objetivos da investigação</w:t>
      </w:r>
    </w:p>
    <w:p>
      <w:pPr>
        <w:pStyle w:val="Heading3"/>
      </w:pPr>
      <w:r>
        <w:t>1.3.1 Objetivo geral</w:t>
      </w:r>
    </w:p>
    <w:p>
      <w:pPr/>
      <w: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pPr>
      <w:r>
        <w:t>1.3.2 Objetivos específicos</w:t>
      </w:r>
    </w:p>
    <w:p>
      <w:pPr/>
      <w: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pPr>
      <w:r>
        <w:t>1.4 Abordagem metodológica geral</w:t>
      </w:r>
    </w:p>
    <w:p>
      <w:pPr/>
      <w: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pPr>
      <w:r>
        <w:t>1.5 Estrutura da dissertação</w:t>
      </w:r>
    </w:p>
    <w:p>
      <w:pPr/>
      <w: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pPr>
      <w:r>
        <w:t>Capítulo 2 — Enquadramento Teórico e Estado da Arte</w:t>
      </w:r>
    </w:p>
    <w:p>
      <w:pPr>
        <w:pStyle w:val="Heading3"/>
      </w:pPr>
      <w:r>
        <w:t>2.1 Prótese de membro superior e dispositivos médicos</w:t>
      </w:r>
    </w:p>
    <w:p>
      <w:pPr/>
      <w: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Quote"/>
      </w:pPr>
      <w:r>
        <w:t>[!Qual sector?] 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pPr>
      <w:r>
        <w:t>Tipologias de próteses de membro superior</w:t>
      </w:r>
    </w:p>
    <w:p>
      <w:pPr>
        <w:pStyle w:val="Quote"/>
      </w:pPr>
      <w:r>
        <w:t>[!Quem diz que são 4?] 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w:t>
      </w:r>
    </w:p>
    <w:p>
      <w:pPr/>
      <w: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pPr>
      <w:r>
        <w:t>Próteses mecânicas acionadas pelo corpo (</w:t>
      </w:r>
      <w:r>
        <w:rPr>
          <w:i/>
        </w:rPr>
        <w:t>body-powered</w:t>
      </w:r>
      <w:r>
        <w:t>)</w:t>
      </w:r>
    </w:p>
    <w:p>
      <w:pPr/>
      <w: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 Um atributo particularmente relevante é o feedback [^1]proprioceptivo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pPr>
      <w:r>
        <w:t>Próteses mioelétricas</w:t>
      </w:r>
    </w:p>
    <w:p>
      <w:pPr/>
      <w: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pPr>
      <w:r>
        <w:t>Sistemas híbridos</w:t>
      </w:r>
    </w:p>
    <w:p>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r>
        <w:drawing>
          <wp:inline xmlns:wp="http://schemas.openxmlformats.org/drawingml/2006/wordprocessingDrawing" distT="0" distB="0" distL="0" distR="0">
            <wp:extent cx="5715000" cy="4714875"/>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xmlns:r="http://schemas.openxmlformats.org/officeDocument/2006/relationships" r:embed="rId2"/>
                    <a:stretch>
                      <a:fillRect/>
                    </a:stretch>
                  </pic:blipFill>
                  <pic:spPr>
                    <a:xfrm>
                      <a:off x="0" y="0"/>
                      <a:ext cx="5715000" cy="4714875"/>
                    </a:xfrm>
                    <a:prstGeom prst="rect">
                      <a:avLst/>
                    </a:prstGeom>
                  </pic:spPr>
                </pic:pic>
              </a:graphicData>
            </a:graphic>
          </wp:inline>
        </w:drawing>
      </w:r>
    </w:p>
    <w:p>
      <w:pPr/>
      <w:r>
        <w:t>Figura 2.1 — Exemplos de próteses de membro superior impressas em 3D, ilustrando diversidade tipológica e construtiva.</w:t>
      </w:r>
    </w:p>
    <w:p>
      <w:pPr/>
      <w:r>
        <w:t>Fonte original: ten Kate, J., Smit, G., &amp; Breedveld, P. (2017). 3D-printed upper limb prostheses: A review. Disability and Rehabilitation: Assistive Technology, 12(3), 300-314. https://doi.org/10.1080/17483107.2016.1253117</w:t>
      </w:r>
    </w:p>
    <w:p>
      <w:pPr>
        <w:pStyle w:val="Heading3"/>
      </w:pPr>
      <w:r>
        <w:t>Considerações clínicas e funcionais</w:t>
      </w:r>
    </w:p>
    <w:p>
      <w:pPr/>
      <w: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pPr>
      <w:r>
        <w:t>Medição de resultados e abandono protésico</w:t>
      </w:r>
    </w:p>
    <w:p>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r>
        <w:t>Esta persistência do abandono é sintetizada de forma clara na Figura 2.2, que relaciona uso, rejeição primária e rejeição secundária, reforçando que o problema não é marginal, mas estrutural no campo das próteses de membro superior.</w:t>
      </w:r>
    </w:p>
    <w:p>
      <w:r>
        <w:drawing>
          <wp:inline xmlns:wp="http://schemas.openxmlformats.org/drawingml/2006/wordprocessingDrawing" distT="0" distB="0" distL="0" distR="0">
            <wp:extent cx="5715000" cy="4467225"/>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xmlns:r="http://schemas.openxmlformats.org/officeDocument/2006/relationships" r:embed="rId3"/>
                    <a:stretch>
                      <a:fillRect/>
                    </a:stretch>
                  </pic:blipFill>
                  <pic:spPr>
                    <a:xfrm>
                      <a:off x="0" y="0"/>
                      <a:ext cx="5715000" cy="4467225"/>
                    </a:xfrm>
                    <a:prstGeom prst="rect">
                      <a:avLst/>
                    </a:prstGeom>
                  </pic:spPr>
                </pic:pic>
              </a:graphicData>
            </a:graphic>
          </wp:inline>
        </w:drawing>
      </w:r>
    </w:p>
    <w:p>
      <w:pPr/>
      <w:r>
        <w:t>Figura 2.2 — Utilização, rejeição primária e rejeição secundária de próteses do membro superior adquiridas.</w:t>
      </w:r>
    </w:p>
    <w:p>
      <w:pPr/>
      <w:r>
        <w:t>Fonte original (APA 7): Biddiss, E., Beaton, D., &amp; Chau, T. (2007). Consumer design priorities for upper limb prosthetics. Disability and Rehabilitation: Assistive Technology, 2(6), 346-357. https://doi.org/10.1080/17483100701714733</w:t>
      </w:r>
    </w:p>
    <w:p>
      <w:pPr>
        <w:pStyle w:val="Heading3"/>
      </w:pPr>
      <w:r>
        <w:t>Enquadramento regulatório enquanto dispositivo médico</w:t>
      </w:r>
    </w:p>
    <w:p>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Heading3"/>
      </w:pPr>
      <w:r>
        <w:t>2.2 Design Industrial, Design Inclusivo e Design Centrado no Utilizador</w:t>
      </w:r>
    </w:p>
    <w:p>
      <w:pPr/>
      <w:r>
        <w:t>O design industrial, no contexto da saúde e das tecnologias de apoio, é reconhecido progressivamente como uma disciplina mediadora entre as necessidades humanas, os contextos de utilização e os sistemas técnicos regulados. A literatura evidencia que o design não se limita à configuração formal de produtos, mas também desempenha um papel estruturante na promoção da inclusão, da autonomia e da participação social, ao modelar a relação entre indivíduos e ambientes por meio de artefactos e sistemas. 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pPr>
      <w:r>
        <w:t>Design industrial em dispositivos médicos</w:t>
      </w:r>
    </w:p>
    <w:p>
      <w:pPr/>
      <w: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r>
        <w:t>Tabela 2.1 — Papéis dos profissionais de saúde no desenvolvimento de dispositivos médicos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Intervenientes do setor</w:t>
            </w:r>
          </w:p>
        </w:tc>
        <w:tc>
          <w:tcPr>
            <w:tcW w:w="0" w:type="auto"/>
          </w:tcPr>
          <w:p>
            <w:pPr/>
            <w:r>
              <w:t>Identificam oportunidades, especificações e condicionantes regulatórias</w:t>
            </w:r>
          </w:p>
        </w:tc>
        <w:tc>
          <w:tcPr>
            <w:tcW w:w="0" w:type="auto"/>
          </w:tcPr>
          <w:p>
            <w:pPr/>
            <w:r>
              <w:t>Mercado, estratégia e processos de certificação</w:t>
            </w:r>
          </w:p>
        </w:tc>
      </w:tr>
      <w:tr>
        <w:tc>
          <w:tcPr>
            <w:tcW w:w="0" w:type="auto"/>
          </w:tcPr>
          <w:p>
            <w:pPr/>
            <w:r>
              <w:t>Utilizadores peritos</w:t>
            </w:r>
          </w:p>
        </w:tc>
        <w:tc>
          <w:tcPr>
            <w:tcW w:w="0" w:type="auto"/>
          </w:tcPr>
          <w:p>
            <w:pPr/>
            <w:r>
              <w:t>Fornecem experiência clínica situada e problemas de uso</w:t>
            </w:r>
          </w:p>
        </w:tc>
        <w:tc>
          <w:tcPr>
            <w:tcW w:w="0" w:type="auto"/>
          </w:tcPr>
          <w:p>
            <w:pPr/>
            <w:r>
              <w:t>Experiência do utilizador e adequação funcional</w:t>
            </w:r>
          </w:p>
        </w:tc>
      </w:tr>
      <w:tr>
        <w:tc>
          <w:tcPr>
            <w:tcW w:w="0" w:type="auto"/>
          </w:tcPr>
          <w:p>
            <w:pPr/>
            <w:r>
              <w:t>Mediadores</w:t>
            </w:r>
          </w:p>
        </w:tc>
        <w:tc>
          <w:tcPr>
            <w:tcW w:w="0" w:type="auto"/>
          </w:tcPr>
          <w:p>
            <w:pPr/>
            <w:r>
              <w:t>Traduzem linguagem, necessidades e constrangimentos entre equipas</w:t>
            </w:r>
          </w:p>
        </w:tc>
        <w:tc>
          <w:tcPr>
            <w:tcW w:w="0" w:type="auto"/>
          </w:tcPr>
          <w:p>
            <w:pPr/>
            <w:r>
              <w:t>Problemas técnicos, terminologia e entendimento partilhado</w:t>
            </w:r>
          </w:p>
        </w:tc>
      </w:tr>
      <w:tr>
        <w:tc>
          <w:tcPr>
            <w:tcW w:w="0" w:type="auto"/>
          </w:tcPr>
          <w:p>
            <w:pPr/>
            <w:r>
              <w:t>Profissionais clínicos e investigadores</w:t>
            </w:r>
          </w:p>
        </w:tc>
        <w:tc>
          <w:tcPr>
            <w:tcW w:w="0" w:type="auto"/>
          </w:tcPr>
          <w:p>
            <w:pPr/>
            <w:r>
              <w:t>Enquadram cuidados, testes e validação empírica</w:t>
            </w:r>
          </w:p>
        </w:tc>
        <w:tc>
          <w:tcPr>
            <w:tcW w:w="0" w:type="auto"/>
          </w:tcPr>
          <w:p>
            <w:pPr/>
            <w:r>
              <w:t>Resultados clínicos, ensaios e usabilidade</w:t>
            </w:r>
          </w:p>
        </w:tc>
      </w:tr>
    </w:tbl>
    <w:p>
      <w:pPr/>
      <w:r>
        <w:t>Fonte adaptada. Referência original (APA 7): Kaygan, H., &amp; Kaygan, P. (2025). Clients and carers: Healthcare professionals’ roles in medical device development processes in SMEs. The Design Journal, 28(2), 213-231. https://doi.org/10.1080/14606925.2024.2420152</w:t>
      </w:r>
    </w:p>
    <w:p>
      <w:pPr>
        <w:pStyle w:val="Heading3"/>
      </w:pPr>
      <w:r>
        <w:t>Design Inclusivo e Design Universal</w:t>
      </w:r>
    </w:p>
    <w:p>
      <w:pPr/>
      <w: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r>
        <w:t>Esta perspetiva aproxima-se dos modelos sociais e relacionais da deficiência, enfatizando que a exclusão pode ser produzida por decisões de projeto que não contemplam a diversidade de utilizadores (Clarkson &amp; Coleman, 2010 (#ref-clarkson-2010)).</w:t>
      </w:r>
    </w:p>
    <w:p>
      <w:pPr/>
      <w: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pPr>
      <w:r>
        <w:t>Design Centrado no Utilizador e Design Centrado no Humano</w:t>
      </w:r>
    </w:p>
    <w:p>
      <w:pPr/>
      <w: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estabelece requisitos específicos para a aplicação de engenharia de usabilidade em dispositivos médicos, reforçando a integração formal de testes formativos e sumativos no processo regulado (Fisher &amp; Johansen, 2020 (#ref-fisher-2020); Millet et al., 2018 (#ref-millet-2018)).</w:t>
      </w:r>
    </w:p>
    <w:p>
      <w:pPr/>
      <w: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pPr>
      <w:r>
        <w:t>Design Participativo e Co-design</w:t>
      </w:r>
    </w:p>
    <w:p>
      <w:pPr/>
      <w: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Heading3"/>
      </w:pPr>
      <w:r>
        <w:t>Metodologias, instrumentos e avaliação</w:t>
      </w:r>
    </w:p>
    <w:p>
      <w:pPr/>
      <w: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r>
        <w:t>Em contextos de tecnologias de apoio, modelos como o Matching Person and Technology (MPT)[^6]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r>
        <w:t>A avaliação da evidência tem sido igualmente reforçada por meio do uso de protocolos sistemáticos, como o PRISMA, e de instrumentos de avaliação crítica, o que reflete uma crescente preocupação em fundamentar decisões de design com base empírica robusta (Chapman et al., 2025 (#ref-chapman-2025)).</w:t>
      </w:r>
    </w:p>
    <w:p>
      <w:pPr>
        <w:pStyle w:val="Heading3"/>
      </w:pPr>
      <w:r>
        <w:t>Desafios e lacunas</w:t>
      </w:r>
    </w:p>
    <w:p>
      <w:pPr/>
      <w:r>
        <w:t>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escalabilidade; – e a necessidade de integrar dimensões interseccionais (como género e fatores socioculturais) na investigação e no desenvolvimento.</w:t>
      </w:r>
    </w:p>
    <w:p>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Heading3"/>
      </w:pPr>
      <w:r>
        <w:t>2.3 Fabricação Aditiva e parametrização no design de produto</w:t>
      </w:r>
    </w:p>
    <w:p>
      <w:pPr/>
      <w: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r>
        <w:drawing>
          <wp:inline xmlns:wp="http://schemas.openxmlformats.org/drawingml/2006/wordprocessingDrawing" distT="0" distB="0" distL="0" distR="0">
            <wp:extent cx="5715000" cy="1838325"/>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xmlns:r="http://schemas.openxmlformats.org/officeDocument/2006/relationships" r:embed="rId4"/>
                    <a:stretch>
                      <a:fillRect/>
                    </a:stretch>
                  </pic:blipFill>
                  <pic:spPr>
                    <a:xfrm>
                      <a:off x="0" y="0"/>
                      <a:ext cx="5715000" cy="1838325"/>
                    </a:xfrm>
                    <a:prstGeom prst="rect">
                      <a:avLst/>
                    </a:prstGeom>
                  </pic:spPr>
                </pic:pic>
              </a:graphicData>
            </a:graphic>
          </wp:inline>
        </w:drawing>
      </w:r>
    </w:p>
    <w:p>
      <w:pPr/>
      <w:r>
        <w:t>Figura 2.3 — Fluxo digital entre aquisição, CAD/CAM e fabricação aditiva em próteses e ortóteses.</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Neste enquadramento, a personalização deixa de ser entendida como exceção e passa a constituir uma estratégia estruturada, operacionalizada por meio de “seed designs”[^7]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Heading3"/>
      </w:pPr>
      <w:r>
        <w:t>Modelação Paramétrica e Espaços de Variação</w:t>
      </w:r>
    </w:p>
    <w:p>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r>
        <w:t>No contexto da adaptação ao utilizador, a literatura destaca que a parametrização torna-se particularmente eficaz quando associada a dados mensuráveis, como a antropometria ou as digitalizações tridimensionais. Em vez de um escalonamento uniforme, que pode introduzir desvios significativos, a definição de parâmetros independentes (por exemplo, comprimento e largura) permite ajustes mais precisos e controlo dimensional dentro de margens reduzidas. Em aplicações protésicas, esta abordagem revelou maior proximidade às cinemáticas naturais e melhor adequação morfológica face a modelos simplesmente [^8]escalados (Lim et al., 2018 (#ref-lim-2018)).</w:t>
      </w:r>
    </w:p>
    <w:p>
      <w:pPr>
        <w:pStyle w:val="Heading3"/>
      </w:pPr>
      <w:r>
        <w:t>Integração com Fabricação Aditiva e Design for Additive Manufacturing</w:t>
      </w:r>
    </w:p>
    <w:p>
      <w:pPr/>
      <w: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r>
        <w:t>Esta evidência reforça a necessidade de uma ligação sistemática entre as fases de design e manufatura, contrariando abordagens que tratam a fabricação como etapa posterior e corretiva (Chtioui et al., 2023 (#ref-chtioui-2023); Wiberg et al., 2019 (#ref-wiberg-2019)).</w:t>
      </w:r>
    </w:p>
    <w:p>
      <w:pPr/>
      <w:r>
        <w:t>As tecnologias de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Heading3"/>
      </w:pPr>
      <w:r>
        <w:t>Configuradores e Cocriação Digital</w:t>
      </w:r>
    </w:p>
    <w:p>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r>
        <w:drawing>
          <wp:inline xmlns:wp="http://schemas.openxmlformats.org/drawingml/2006/wordprocessingDrawing" distT="0" distB="0" distL="0" distR="0">
            <wp:extent cx="5715000" cy="325755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xmlns:r="http://schemas.openxmlformats.org/officeDocument/2006/relationships" r:embed="rId5"/>
                    <a:stretch>
                      <a:fillRect/>
                    </a:stretch>
                  </pic:blipFill>
                  <pic:spPr>
                    <a:xfrm>
                      <a:off x="0" y="0"/>
                      <a:ext cx="5715000" cy="3257550"/>
                    </a:xfrm>
                    <a:prstGeom prst="rect">
                      <a:avLst/>
                    </a:prstGeom>
                  </pic:spPr>
                </pic:pic>
              </a:graphicData>
            </a:graphic>
          </wp:inline>
        </w:drawing>
      </w:r>
    </w:p>
    <w:p>
      <w:pPr/>
      <w:r>
        <w:t>Figura 2.4 — Exemplo de configurador digital para personalização de uma prótese impressa em 3D.</w:t>
      </w:r>
    </w:p>
    <w:p>
      <w:pPr/>
      <w:r>
        <w:t>Fonte original (APA 7):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w:t>
      </w:r>
      <w:r>
        <w:rPr>
          <w:i/>
        </w:rPr>
        <w:t>mass customization</w:t>
      </w:r>
      <w:r>
        <w:t xml:space="preserve"> e </w:t>
      </w:r>
      <w:r>
        <w:rPr>
          <w:i/>
        </w:rPr>
        <w:t>mass personalization</w:t>
      </w:r>
      <w:r>
        <w:t>, reduzindo custos marginais ao eliminar a utilização de moldes e dispositivos específicos de [^12]fabrico (Lei et al., 2016 (#ref-lei-2016); Stralen, 2018 (#ref-stralen-2018)).</w:t>
      </w:r>
    </w:p>
    <w:p>
      <w:pPr/>
      <w: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pPr>
      <w:r>
        <w:t>Otimização, Geração e Avaliação de Desempenho</w:t>
      </w:r>
    </w:p>
    <w:p>
      <w:pPr/>
      <w: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 para selecionar soluções alinhadas com objetivos específicos (Lei et al., 2016 (#ref-lei-2016); Yao et al., 2016 (#ref-yao-2016)).</w:t>
      </w:r>
    </w:p>
    <w:p>
      <w:pPr/>
      <w: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r>
        <w:t>Este cruzamento entre parametrização, simulação e FA evidencia um ecossistema digital integrado que sustenta personalização técnica com base quantitativa (Lei et al., 2016 (#ref-lei-2016); Yao et al., 2016 (#ref-yao-2016)).</w:t>
      </w:r>
    </w:p>
    <w:p>
      <w:pPr>
        <w:pStyle w:val="Heading3"/>
      </w:pPr>
      <w:r>
        <w:t>Implicações para o Design Industrial</w:t>
      </w:r>
    </w:p>
    <w:p>
      <w:pPr/>
      <w: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r>
        <w:t>Assim, a qualidade da definição paramétrica desempenha um papel estratégico para a viabilidade de sistemas adaptáveis (Ozdemir et al., 2022 (#ref-ozdemir-2022)).</w:t>
      </w:r>
    </w:p>
    <w:p>
      <w:pPr/>
      <w: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pPr>
      <w:r>
        <w:t>2.4 Antropometria aplicada ao design protésico</w:t>
      </w:r>
    </w:p>
    <w:p>
      <w:pPr/>
      <w: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pPr>
      <w:r>
        <w:t>Da dimensão linear à “forma” como dado de projeto</w:t>
      </w:r>
    </w:p>
    <w:p>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r>
        <w:t>Assim, observa-se uma valorização crescente de métodos capazes de capturar geometria tridimensional de alta resolução e de traduzir essa informação em modelos CAD passíveis de retificação, parametrização e fabrico (Squibb et al., 2024 (#ref-squibb-2024)).</w:t>
      </w:r>
    </w:p>
    <w:p>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r>
        <w:drawing>
          <wp:inline xmlns:wp="http://schemas.openxmlformats.org/drawingml/2006/wordprocessingDrawing" distT="0" distB="0" distL="0" distR="0">
            <wp:extent cx="5715000" cy="300037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xmlns:r="http://schemas.openxmlformats.org/officeDocument/2006/relationships" r:embed="rId6"/>
                    <a:stretch>
                      <a:fillRect/>
                    </a:stretch>
                  </pic:blipFill>
                  <pic:spPr>
                    <a:xfrm>
                      <a:off x="0" y="0"/>
                      <a:ext cx="5715000" cy="3000375"/>
                    </a:xfrm>
                    <a:prstGeom prst="rect">
                      <a:avLst/>
                    </a:prstGeom>
                  </pic:spPr>
                </pic:pic>
              </a:graphicData>
            </a:graphic>
          </wp:inline>
        </w:drawing>
      </w:r>
    </w:p>
    <w:p>
      <w:pPr/>
      <w:r>
        <w:t>Figura 2.5 — Marcos anatómicos e medidas de referência da mão para fins de personalização.</w:t>
      </w:r>
    </w:p>
    <w:p>
      <w:pPr/>
      <w:r>
        <w:t>Fonte original (APA 7): Yu, A., Yick, K. L., Ng, S. P., &amp; Yip, J. (2013). 2D and 3D anatomical analyses of hand dimensions for custom-made gloves. Applied Ergonomics, 44, 381-392.</w:t>
      </w:r>
    </w:p>
    <w:p>
      <w:pPr>
        <w:pStyle w:val="Heading3"/>
      </w:pPr>
      <w:r>
        <w:t>Métodos de recolha antropométrica em próteses e tecnologias de apoio</w:t>
      </w:r>
    </w:p>
    <w:p>
      <w:pPr/>
      <w:r>
        <w:t>A literatura organiza os métodos de recolha em famílias, cada uma com potencialidades e limitações específicas para o design protésico:</w:t>
      </w:r>
    </w:p>
    <w:p>
      <w:pPr>
        <w:pStyle w:val="ListNumber"/>
      </w:pPr>
      <w:r>
        <w:t>1. A antropometria manual inclui medições em posturas normalizadas, com instrumentos clínicos e de ergonomia. Mantém relevância em contextos de acessibilidade clínica e de monitorização simples (por exemplo, circunferências para inferir variações do coto). Contudo, assinala-se que as medidas de circunferência podem ser um proxy frágil para alterações reais de volume, dependendo da geometria e da distribuição dos tecidos, o que limita a sua fiabilidade para decisões de ajuste fino (Ibrahim et al., 2024 (#ref-ibrahim-2024)).</w:t>
      </w:r>
    </w:p>
    <w:p>
      <w:pPr>
        <w:pStyle w:val="ListNumber"/>
      </w:pPr>
      <w:r>
        <w:t>2. Digitalização 3D (scanning óptico)capta a superfície corporal em nuvens de pontos ou malhas, que são posteriormente limpas e convertidas em modelos utilizáveis (frequentemente em STL) para CAD e fabrico. É descrita como facilitadora de fluxos de personalização e pode ser combinada com a automatização (por exemplo, correspondência de características anatómicas) para reduzir o trabalho manual. A consistência pode variar conforme a complexidade da forma, e desafios de repetibilidade são relatados quando a geometria é irregular, como em cotos complexos (Squibb et al., 2024 (#ref-squibb-2024)).</w:t>
      </w:r>
    </w:p>
    <w:p>
      <w:pPr>
        <w:pStyle w:val="ListNumber"/>
      </w:pPr>
      <w: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Em síntese, as ortóteses constituem uma das abordagens mais adequadas para a aquisição da geometria 3D do corpo em fluxos personalizados (Silva et al., 2024 (#ref-silva-2024)).</w:t>
      </w:r>
    </w:p>
    <w:p>
      <w:pPr>
        <w:pStyle w:val="ListNumber"/>
      </w:pPr>
      <w:r>
        <w:t>4. Imagens médicas (CT/MRI) permitem obter geometria externa e, em alguns casos, informação interna (por exemplo, estruturas ósseas), o que sustenta modelos mais ricos e abordagens como a modelação estatística de forma. Contudo, envolve maior custo e menor acessibilidade e, no caso do CT, implica considerações associadas à exposição à radiação e à dependência do contexto hospitalar.</w:t>
      </w:r>
    </w:p>
    <w:p>
      <w:pPr>
        <w:pStyle w:val="ListNumber"/>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“hot spots” térmicos e flutuações de volume do coto.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pPr>
      <w:r>
        <w:t>Interpretação e aplicação de dados antropométricos no projeto</w:t>
      </w:r>
    </w:p>
    <w:p>
      <w:pPr/>
      <w:r>
        <w:t>A passagem de dados antropométricos para critérios de projeto ocorre por diferentes vias analíticas:</w:t>
      </w:r>
    </w:p>
    <w:p>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 – Métodos multivariados e aprendizagem estatística: usados quando se trabalha com dados de alta dimensionalidade (malhas, secções, nuvens de pontos), permitindo extrair padrões de retificação ou modos de variação. – Modelos preditivos e modelação estatística de forma (SSM): aplicados para reconstruir a geometria a partir de medições reduzidas e inferir relações entre a superfície e a anatomia interna, com PCA e regressões como ferramentas frequentes, embora limitados por tamanhos amostrais reduzidos em vários estudos (Sunderland et al., 2024 (#ref-sunderland-2024)).</w:t>
      </w:r>
    </w:p>
    <w:p>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pPr>
      <w:r>
        <w:t>Evidência por tipo de dispositivo</w:t>
      </w:r>
    </w:p>
    <w:p>
      <w:pPr/>
      <w:r>
        <w:t>Embora os princípios sejam transversais, a literatura evidencia diferenças por tipo de dispositivo:</w:t>
      </w:r>
    </w:p>
    <w:p>
      <w:pPr/>
      <w:r>
        <w:t>– Encaixes protésicos e ortóteses: forte ênfase na digitalização 3D, na análise quantitativa de malhas e na validação por meio de métricas de interface e/ou de simulação (FEA). Em workflows digitais de fabrico, verificam-se diferenças geométricas relevantes entre soluções manuais e digitais, reforçando que “digitalizar” não se limita a mudar de formato, mas também a alterar o resultado do ajuste final (Kannenberg et al., 2024 (#ref-kannenberg-2024); Silva et al., 2024 (#ref-silva-2024)). – Próteses de membro superior: coexistência de CT, scanners comerciais e fotogrametria como métodos de captura; estudos comparativos indicam que medições obtidas por 3D scanning podem ser fiáveis e repetíveis face a métodos tradicionais quando bem implementadas. Há também destaque para pipelines automatizados que adaptam modelos CAD inteligentes a dados de digitalização, encurtando o intervalo entre a captura e a obtenção de um modelo pronto para fabricação (Chainando et al., 2025 (#ref-chainando-2025); Çıklaçandır et al., 2022 (#ref-cklacandr-2022)). –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pPr>
      <w:r>
        <w:t>Limitações, lacunas e recomendações</w:t>
      </w:r>
    </w:p>
    <w:p>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pPr>
      <w:r>
        <w:t>Estruturação de dados</w:t>
      </w:r>
    </w:p>
    <w:p>
      <w:pPr/>
      <w: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pPr>
      <w:r>
        <w:t>2.5 Inteligência Artificial no processo de design</w:t>
      </w:r>
    </w:p>
    <w:p>
      <w:pPr/>
      <w: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r>
        <w:drawing>
          <wp:inline xmlns:wp="http://schemas.openxmlformats.org/drawingml/2006/wordprocessingDrawing" distT="0" distB="0" distL="0" distR="0">
            <wp:extent cx="5715000" cy="2905125"/>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xmlns:r="http://schemas.openxmlformats.org/officeDocument/2006/relationships" r:embed="rId7"/>
                    <a:stretch>
                      <a:fillRect/>
                    </a:stretch>
                  </pic:blipFill>
                  <pic:spPr>
                    <a:xfrm>
                      <a:off x="0" y="0"/>
                      <a:ext cx="5715000" cy="2905125"/>
                    </a:xfrm>
                    <a:prstGeom prst="rect">
                      <a:avLst/>
                    </a:prstGeom>
                  </pic:spPr>
                </pic:pic>
              </a:graphicData>
            </a:graphic>
          </wp:inline>
        </w:drawing>
      </w:r>
    </w:p>
    <w:p>
      <w:pPr/>
      <w:r>
        <w:t>Figura 2.6 — Enquadramento de um fluxo de CAD assistido por IA para desenvolvimento de produto.</w:t>
      </w:r>
    </w:p>
    <w:p>
      <w:pPr/>
      <w:r>
        <w:t>Fonte original (APA 7):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pPr>
      <w:r>
        <w:t>O que é a Inteligência Artificial</w:t>
      </w:r>
    </w:p>
    <w:p>
      <w:pPr/>
      <w:r>
        <w:t>De forma ampla, a IA pode ser entendida como um conjunto de métodos computacionais orientados a executar tarefas que requerem aprendizagem, reconhecimento de padrões, inferência ou geração de respostas com base em dados. Esta definição é útil porque evita tratar a IA como uma entidade única ou um sinônimo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pPr>
      <w:r>
        <w:t>Como funciona: dados, treino, inferência e geração</w:t>
      </w:r>
    </w:p>
    <w:p>
      <w:pPr/>
      <w: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pPr>
      <w:r>
        <w:t>Formas de IA mais relevantes para o design</w:t>
      </w:r>
    </w:p>
    <w:p>
      <w:pPr/>
      <w: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pPr>
      <w:r>
        <w:t>IA ao longo do processo de design</w:t>
      </w:r>
    </w:p>
    <w:p>
      <w:pPr/>
      <w: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r>
        <w:t>Isto não significa, porém, que a IA seja igualmente eficaz em todas as etapas. A literatura sugere que seu valor tende a ser maior em tarefas de exploração divergente, análise extensiva e automatização parcial, enquanto as etapas de convergência, enquadramento contextual, decisão ética e validação final continuam a depender fortemente do julgamento humano. A IA pode ampliar o que é possível explorar e tornar mais rápida a comparação entre alternativas, mas não elimina a necessidade de decidir o que faz sentido desenvolver, para quem, em que contexto e com que consequências (Ao et al., 2025 (#ref-ao-2025); Choudhury et al., 2025 (#ref-choudhury-2025); Virós-i-Martin &amp; Selva, 2021 (#ref-viros-i-martin-2021)).</w:t>
      </w:r>
    </w:p>
    <w:p>
      <w:pPr>
        <w:pStyle w:val="Heading3"/>
      </w:pPr>
      <w:r>
        <w:t>Papel do designer, riscos e necessidade de supervisão humana</w:t>
      </w:r>
    </w:p>
    <w:p>
      <w:pPr/>
      <w:r>
        <w:t>Neste quadro, a questão central deixa de ser se a IA substitui o designer e passa a ser como ela redistribui a agência no processo de projeto. A literatura descreve uma deslocação do designer, enquanto gerador exclusivo de forma, para um papel mais híbrido de orientador, curador, intérprete e decisor estratégico. Em vez de desaparecer, o papel humano torna-se mais exigente em tarefas como a formulação do problema, a definição de critérios, a leitura contextual, a seleção entre alternativas e a justificação das decisões. Esta transformação é particularmente relevante em domínios sensíveis, onde a adequação ao utilizador, a responsabilidade técnica e a aceitabilidade ética não podem ser delegadas a um sistema treinado apenas com dados passados (Figoli et al., 2022 (#ref-figoli-2022); Kadenhe et al., 2025 (#ref-kadenhe-2025); Virós-i-Martin &amp; Selva, 2021 (#ref-viros-i-martin-2021)).</w:t>
      </w:r>
    </w:p>
    <w:p>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Heading3"/>
      </w:pPr>
      <w:r>
        <w:t>Síntese</w:t>
      </w:r>
    </w:p>
    <w:p>
      <w:pPr/>
      <w:r>
        <w:t>Em síntese, a IA pode ser compreendida como um conjunto de métodos computacionais baseados em dados, capazes de aprender padrões, apoiar a inferência, gerar conteúdo e acelerar tarefas distribuídas ao longo de várias fases do processo de design. A sua relevância para o Design Industrial decorre menos de uma promessa de substituir a criatividade humana do que da sua capacidade de ampliar a exploração, apoiar a avaliação e tornar operáveis espaços de decisão mais complexos. O seu valor depende, contudo, do enquadramento: quanto mais o sistema exige interpretação contextual, sensibilidade humana, responsabilidade ética ou validação técnica, mais importante se torna o papel do designer como agente de mediação e controlo (Choudhury et al., 2025 (#ref-choudhury-2025); Saeidnia &amp; Ausloos, 2024 (#ref-saeidnia-2024); Verganti et al., 2020 (#ref-verganti-2020)).</w:t>
      </w:r>
    </w:p>
    <w:p>
      <w:pPr/>
      <w:r>
        <w:t>No âmbito desta investigação, esta leitura é decisiva porque legitima a integração da IA como camada assistiva à parametrização, e não como instância autónoma de projeto. Para sistemas orientados à personalização, à adaptação anatómica e ao apoio à decisão, a IA é mais útil quando ajuda a organizar alternativas, interpretar relações complexas e apoiar escolhas em espaços paramétricos amplos, preservando sempre a validação técnica, a rastreabilidade e a supervisão humana ao longo do processo (Ao et al., 2025 (#ref-ao-2025); Menaka et al., 2025 (#ref-menaka-2025); Wang &amp; Hu, 2024 (#ref-wang-2024)).</w:t>
      </w:r>
    </w:p>
    <w:p>
      <w:pPr>
        <w:pStyle w:val="Heading3"/>
      </w:pPr>
      <w:r>
        <w:t>2.6 Plataformas digitais e sistemas configuráveis</w:t>
      </w:r>
    </w:p>
    <w:p>
      <w:pPr/>
      <w:r>
        <w:t>A evolução recente do desenvolvimento de produto, particularmente em contextos de saúde e de tecnologias de apoio, tem sido acompanhada de um crescimento de plataformas digitais configuráveis e de sistemas participativos orientados à personalização. A literatura caracteriza estes sistemas como infraestruturas sociotécnicas que articulam enquadramentos conceptuais que legitimam e estruturam a participação, mecanismos técnicos de configurabilidade, como configuradores, parametrização e modularidade, e workflows participativos que traduzem experiência vivida em requisitos, protótipos e iterações de projeto (Fischer et al., 2004 (#ref-fischer-2004); Hippel &amp; Katz, 2002 (#ref-hippel-2002); Howard et al., 2022 (#ref-howard-2022)).</w:t>
      </w:r>
    </w:p>
    <w:p>
      <w:pPr/>
      <w:r>
        <w:t>Em domínios como a reabilitação e as tecnologias assistivas,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pPr>
      <w:r>
        <w:t>Fundamentos conceptuais: toolkits, meta-design e end-user development.</w:t>
      </w:r>
    </w:p>
    <w:p>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(#ref-costabile-2007); Fischer et al., 2004 (#ref-fischer-2004)).</w:t>
      </w:r>
    </w:p>
    <w:p>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r>
        <w:drawing>
          <wp:inline xmlns:wp="http://schemas.openxmlformats.org/drawingml/2006/wordprocessingDrawing" distT="0" distB="0" distL="0" distR="0">
            <wp:extent cx="5715000" cy="1285875"/>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xmlns:r="http://schemas.openxmlformats.org/officeDocument/2006/relationships" r:embed="rId8"/>
                    <a:stretch>
                      <a:fillRect/>
                    </a:stretch>
                  </pic:blipFill>
                  <pic:spPr>
                    <a:xfrm>
                      <a:off x="0" y="0"/>
                      <a:ext cx="5715000" cy="1285875"/>
                    </a:xfrm>
                    <a:prstGeom prst="rect">
                      <a:avLst/>
                    </a:prstGeom>
                  </pic:spPr>
                </pic:pic>
              </a:graphicData>
            </a:graphic>
          </wp:inline>
        </w:drawing>
      </w:r>
    </w:p>
    <w:p>
      <w:pPr/>
      <w:r>
        <w:t>Figura 2.7 — Modelo de processo para configurar participação em ecossistemas de inovação e cocriação.</w:t>
      </w:r>
    </w:p>
    <w:p>
      <w:pPr/>
      <w:r>
        <w:t>Fonte original (APA 7): Akasaka, M., Veeckman, C., Georges, A., Schuurman, D., &amp; Coorevits, L. (2022). A framework for configuring participation in living labs. https://www.semanticscholar.org/paper/305d55af5fda06b4d1b33e7d29c1f16d1b7ea488</w:t>
      </w:r>
    </w:p>
    <w:p>
      <w:pPr/>
      <w:r>
        <w:t>A literatura identifica, contudo, riscos como a participation overload, isto é, a transferência excessiva de carga de trabalho e de decisão para os utilizadores, o que requer mecanismos de apoio, curadoria e reutilização para tornar a participação sustentável (Fischer et al., 2017 (#ref-fischer-2017)).</w:t>
      </w:r>
    </w:p>
    <w:p>
      <w:pPr/>
      <w:r>
        <w:t>Em paralelo, o conceito de Software Shaping Workshop operacionaliza o meta-design como um “workshop virtual” composto por ferramentas familiares adaptadas à cultura e às competências de uma comunidade. Em contextos de reabilitação e assistência, este paradigma manifesta-se em sistemas que fornecem a cuidadores e terapeutas interfaces do tipo editor, permitindo adaptar scripts, exercícios e conteúdos sem necessidade de programação, respondendo de forma pragmática às necessidades de personalização (Costabile et al., 2007 (#ref-costabile-2007); Fischer et al., 2017 (#ref-fischer-2017)).</w:t>
      </w:r>
    </w:p>
    <w:p>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r>
        <w:t>Tabela 2.2 — Elementos centrais na configuração da participação em sistemas configuráveis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Fase e propósito</w:t>
            </w:r>
          </w:p>
        </w:tc>
        <w:tc>
          <w:tcPr>
            <w:tcW w:w="0" w:type="auto"/>
          </w:tcPr>
          <w:p>
            <w:pPr/>
            <w:r>
              <w:t>Em que momento participa o utilizador e com que objetivo</w:t>
            </w:r>
          </w:p>
        </w:tc>
      </w:tr>
      <w:tr>
        <w:tc>
          <w:tcPr>
            <w:tcW w:w="0" w:type="auto"/>
          </w:tcPr>
          <w:p>
            <w:pPr/>
            <w:r>
              <w:t>Participantes</w:t>
            </w:r>
          </w:p>
        </w:tc>
        <w:tc>
          <w:tcPr>
            <w:tcW w:w="0" w:type="auto"/>
          </w:tcPr>
          <w:p>
            <w:pPr/>
            <w:r>
              <w:t>Que perfis participam, em que número e com que papel</w:t>
            </w:r>
          </w:p>
        </w:tc>
      </w:tr>
      <w:tr>
        <w:tc>
          <w:tcPr>
            <w:tcW w:w="0" w:type="auto"/>
          </w:tcPr>
          <w:p>
            <w:pPr/>
            <w:r>
              <w:t>Formato</w:t>
            </w:r>
          </w:p>
        </w:tc>
        <w:tc>
          <w:tcPr>
            <w:tcW w:w="0" w:type="auto"/>
          </w:tcPr>
          <w:p>
            <w:pPr/>
            <w:r>
              <w:t>Que canais, espaços e métodos suportam a colaboração</w:t>
            </w:r>
          </w:p>
        </w:tc>
      </w:tr>
      <w:tr>
        <w:tc>
          <w:tcPr>
            <w:tcW w:w="0" w:type="auto"/>
          </w:tcPr>
          <w:p>
            <w:pPr/>
            <w:r>
              <w:t>Contacto</w:t>
            </w:r>
          </w:p>
        </w:tc>
        <w:tc>
          <w:tcPr>
            <w:tcW w:w="0" w:type="auto"/>
          </w:tcPr>
          <w:p>
            <w:pPr/>
            <w:r>
              <w:t>Como se recrutam participantes e como se mantém a relação</w:t>
            </w:r>
          </w:p>
        </w:tc>
      </w:tr>
      <w:tr>
        <w:tc>
          <w:tcPr>
            <w:tcW w:w="0" w:type="auto"/>
          </w:tcPr>
          <w:p>
            <w:pPr/>
            <w:r>
              <w:t>Gestão da motivação</w:t>
            </w:r>
          </w:p>
        </w:tc>
        <w:tc>
          <w:tcPr>
            <w:tcW w:w="0" w:type="auto"/>
          </w:tcPr>
          <w:p>
            <w:pPr/>
            <w:r>
              <w:t>Que fatores promovem adesão e que barreiras dificultam continuidade</w:t>
            </w:r>
          </w:p>
        </w:tc>
      </w:tr>
    </w:tbl>
    <w:p>
      <w:pPr/>
      <w:r>
        <w:t>Fonte adaptada. Referência original (APA 7): Akasaka, M., Veeckman, C., Georges, A., Schuurman, D., &amp; Coorevits, L. (2022). A framework for configuring participation in living labs. https://www.semanticscholar.org/paper/305d55af5fda06b4d1b33e7d29c1f16d1b7ea488</w:t>
      </w:r>
    </w:p>
    <w:p>
      <w:pPr>
        <w:pStyle w:val="Heading3"/>
      </w:pPr>
      <w:r>
        <w:t>Mecanismos de personalização: modularidade, parametrização e tailoring</w:t>
      </w:r>
    </w:p>
    <w:p>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ListNumber"/>
      </w:pPr>
      <w: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escalabilidade em ecossistemas de produto (Dechev et al., 2023 (#ref-dechev-2023); Peters &amp; Richter, 2023 (#ref-peters-2023)).</w:t>
      </w:r>
    </w:p>
    <w:p>
      <w:pPr>
        <w:pStyle w:val="ListNumber"/>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ListNumber"/>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r>
        <w:t>A seleção do mecanismo mais adequado depende do locus de conhecimento: modularidade funciona quando as necessidades podem ser expressas como combinações de módulos conhecidos; parametrização é mais eficaz quando há dados mensuráveis que podem ser mapeados para variáveis de design; e toolkits são indicados quando a adaptação contínua em contexto é crítica e quando o utilizador ou intermediário tem conhecimento situado para ajustar o sistema (Hippel &amp; Katz, 2002 (#ref-hippel-2002); Peters &amp; Richter, 2023 (#ref-peters-2023); Zhu &amp; Zhong, 2022 (#ref-zhu-2022)).</w:t>
      </w:r>
    </w:p>
    <w:p>
      <w:pPr>
        <w:pStyle w:val="Heading3"/>
      </w:pPr>
      <w:r>
        <w:t>Workflows participativos e infraestruturas remotas</w:t>
      </w:r>
    </w:p>
    <w:p>
      <w:pPr/>
      <w: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r>
        <w:t>No entanto, as fontes sublinham que a tecnologia não é suficiente. A eficácia destes sistemas depende de governance, isto é, de quem decide o quê e quando, de mediação por clínicos, designers ou técnicos, e de mecanismos de gestão da carga de trabalho e da comunicação. Em modelos abertos e distribuídos, surgem riscos de quebra de compromissos e de atrasos decorrentes da falta de accountability, o que exige o desenho explícito de regras, expectativas e responsabilidades (Frangos et al., 2016 (#ref-frangos-2016); Hussaini et al., 2023 (#ref-hussaini-2023); Kerr et al., 2024 (#ref-kerr-2024)).</w:t>
      </w:r>
    </w:p>
    <w:p>
      <w:pPr>
        <w:pStyle w:val="Heading3"/>
      </w:pPr>
      <w:r>
        <w:t>Aplicações em saúde, reabilitação e próteses</w:t>
      </w:r>
    </w:p>
    <w:p>
      <w:pPr/>
      <w:r>
        <w:t>Em saúde, plataformas baseadas em digital twins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r>
        <w:t>No contexto protésico e assistivo, evidencia-se a relevância dos ecossistemas modulares e das cadeias de aprendizagem distribuída. Estudos sobre próteses pediátricas, serviços de reabilitação assistiva e modelos como o Victoria Hand Project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Heading3"/>
      </w:pPr>
      <w:r>
        <w:t>Limitações e lacunas: sustentabilidade, adoção e equilíbrio entre standardização e improviso</w:t>
      </w:r>
    </w:p>
    <w:p>
      <w:pPr/>
      <w:r>
        <w:t>Apesar do potencial, a evidência empírica frequentemente baseia-se em amostras pequenas e em estudos de caso, o que limita a generalização. Para além disso, surgem três tensões estruturais (Frangos et al., 2016 (#ref-frangos-2016); Howard et al., 2022 (#ref-howard-2022); Thorsen et al., 2023 (#ref-thorsen-2023)):</w:t>
      </w:r>
    </w:p>
    <w:p>
      <w:pPr/>
      <w:r>
        <w:t>– Sustentabilidade da participação: risco de sobrecarga de participação e de desistência; necessidade de mecanismos de apoio, curadoria e redistribuição da carga entre utilizadores e especialistas (Fischer et al., 2017 (#ref-fischer-2017)).</w:t>
      </w:r>
    </w:p>
    <w:p>
      <w:pPr/>
      <w:r>
        <w:t>– Standardização vs personalização: em domínios regulados, a personalização deve manter rastreabilidade, segurança e qualidade, o que pode colidir com improvisos locais necessários para responder a necessidades idiossincráticas (Costabile et al., 2007 (#ref-costabile-2007); Fischer et al., 2004 (#ref-fischer-2004)).</w:t>
      </w:r>
    </w:p>
    <w:p>
      <w:pPr/>
      <w:r>
        <w:t>– Adoção e valor realizado: a literatura sobre personalização em massa regista falhas frequentes na conversão e na adoção de configuradores; por analogia, em saúde e tecnologias assistivas, a configurabilidade não garante aceitação sem alinhamento com expectativas, confiança e integração nos serviços (Akasaka et al., 2022 (#ref-akasaka-2022); Frangos et al., 2016 (#ref-frangos-2016)).</w:t>
      </w:r>
    </w:p>
    <w:p>
      <w:pPr>
        <w:pStyle w:val="Heading3"/>
      </w:pPr>
      <w:r>
        <w:t>2.7 Análise crítica do estado da arte e lacunas identificadas</w:t>
      </w:r>
    </w:p>
    <w:p>
      <w:pPr/>
      <w:r>
        <w:t>A transição entre o entusiasmo técnico e a maturidade efetiva do campo torna-se particularmente visível ao se observarem os níveis de prontidão tecnológica na literatura. A Figura 2.8 antecipa esta leitura ao mostrar a distribuição dos estudos por technology readiness level (TRL), reforçando que muitos contributos permanecem concentrados em fases ainda distantes de adoção ampla e sustentada.</w:t>
      </w:r>
    </w:p>
    <w:p>
      <w:r>
        <w:drawing>
          <wp:inline xmlns:wp="http://schemas.openxmlformats.org/drawingml/2006/wordprocessingDrawing" distT="0" distB="0" distL="0" distR="0">
            <wp:extent cx="5715000" cy="3762375"/>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xmlns:r="http://schemas.openxmlformats.org/officeDocument/2006/relationships" r:embed="rId9"/>
                    <a:stretch>
                      <a:fillRect/>
                    </a:stretch>
                  </pic:blipFill>
                  <pic:spPr>
                    <a:xfrm>
                      <a:off x="0" y="0"/>
                      <a:ext cx="5715000" cy="3762375"/>
                    </a:xfrm>
                    <a:prstGeom prst="rect">
                      <a:avLst/>
                    </a:prstGeom>
                  </pic:spPr>
                </pic:pic>
              </a:graphicData>
            </a:graphic>
          </wp:inline>
        </w:drawing>
      </w:r>
    </w:p>
    <w:p>
      <w:pPr/>
      <w:r>
        <w:t>Figura 2.8 — Distribuição dos estudos por nível de prontidão tecnológica (TRL) em próteses e ortóteses com fabrico digital.</w:t>
      </w:r>
    </w:p>
    <w:p>
      <w:pPr/>
      <w:r>
        <w:t>Fonte original (APA 7):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A síntese das secções anteriores evidencia um panorama marcado por avanços técnicos significativos, mas também por limitações estruturais persistentes na investigação e no desenvolvimento de próteses e de tecnologias assistivas. Um tema transversal é o desfasamento entre inovação tecnológica e evidência robusta: muitos desenvolvimentos permanecem em fase de protótipo, testados em amostras reduzidas e por períodos curtos, com escassa validação por meio de ensaios clínicos, estudos longitudinais e avaliações em contextos reais (Chadwell et al., 2020 (#ref-chadwell-2020); Samuelsson et al., 2012 (#ref-samuelsson-2012); Windrich et al., 2016 (#ref-windrich-2016)).</w:t>
      </w:r>
    </w:p>
    <w:p>
      <w:pPr/>
      <w:r>
        <w:t>Este padrão enfraquece a capacidade de comparar soluções, generalizar conclusões e traduzir melhorias laboratoriais em benefícios consistentes na vida quotidiana (Hafner &amp; Sawers, 2016 (#ref-hafner-2016); Samuelsson et al., 2012 (#ref-samuelsson-2012)).</w:t>
      </w:r>
    </w:p>
    <w:p>
      <w:pPr>
        <w:pStyle w:val="Heading3"/>
      </w:pPr>
      <w:r>
        <w:t>Lacuna 1 — Evidência insuficiente e fraca tradução para o mundo real</w:t>
      </w:r>
    </w:p>
    <w:p>
      <w:pPr/>
      <w:r>
        <w:t>A revisão de literatura aponta repetidamente a ausência de estudos comparativos robustos e de ensaios clínicos que confrontem dispositivos avançados com prescrições convencionais, particularmente em sistemas ativos e externamente alimentados. Em vários subdomínios, observa-se dependência de protótipos e de pequenas amostras, o que limita as inferências sobre eficácia, segurança e valor clínico. Em paralelo, verifica-se predominância de avaliações em laboratório e de tarefas pouco representativas, que não captam adequadamente o desempenho em ambientes naturais, com variabilidade de contextos, objetos e exigências funcionais (Ghillebert et al., 2019 (#ref-ghillebert-2019); Samuelsson et al., 2012 (#ref-samuelsson-2012); Windrich et al., 2016 (#ref-windrich-2016)).</w:t>
      </w:r>
    </w:p>
    <w:p>
      <w:pPr/>
      <w:r>
        <w:t>Esta lacuna é particularmente relevante porque a adaptação, a aprendizagem e o abandono de próteses ocorrem ao longo do tempo e em ecossistemas reais, como o trabalho, a casa e o espaço público. Quando a evidência se baseia em janelas de observação curtas, torna-se difícil compreender trajetórias de adoção, padrões de uso e emergências de problemas de conforto ou de manutenção (Chadwell et al., 2020 (#ref-chadwell-2020); Samuelsson et al., 2012 (#ref-samuelsson-2012)).</w:t>
      </w:r>
    </w:p>
    <w:p>
      <w:pPr>
        <w:pStyle w:val="Heading3"/>
      </w:pPr>
      <w:r>
        <w:t>Lacuna 2 — Desalinhamento entre necessidades identificadas, métricas objetivas, e qualidade de vida</w:t>
      </w:r>
    </w:p>
    <w:p>
      <w:pPr/>
      <w:r>
        <w:t>Um problema recorrente é a ligação frágil entre aquilo que os utilizadores referem como necessidades — como conforto, controlo intuitivo, aparência e participação social —, os indicadores objetivos habitualmente medidos — como desempenho em testes funcionais, parâmetros biomecânicos e contagens de atividade  —, e os resultados finais desejáveis — como autonomia e qualidade de vida. Revisões salientam que as necessidades são contextuais e interdependentes e que as medições laboratoriais podem não refletir tarefas relevantes do quotidiano, contribuindo para contradições entre resultados subjetivos e objetivos (Cordella et al., 2016 (#ref-cordella-2016); Manz et al., 2022 (#ref-manz-2022)).</w:t>
      </w:r>
    </w:p>
    <w:p>
      <w:pPr/>
      <w:r>
        <w:t>Esta desconexão tem implicações diretas no design: sem métricas ecologicamente válidas e sensíveis às prioridades do utilizador, torna-se difícil orientar decisões de projeto para benefícios significativos e sustentados, podendo ocorrer “melhorias técnicas” que não se traduzem em aceitação ou uso continuado (Manz et al., 2022 (#ref-manz-2022); Samuelsson et al., 2012 (#ref-samuelsson-2012)).</w:t>
      </w:r>
    </w:p>
    <w:p>
      <w:pPr>
        <w:pStyle w:val="Heading3"/>
      </w:pPr>
      <w:r>
        <w:t>Lacuna 3 — Persistência de problemas na interface corpo–dispositivo e na personalização</w:t>
      </w:r>
    </w:p>
    <w:p>
      <w:pPr/>
      <w:r>
        <w:t>Apesar do progresso em componentes e controlo, a literatura converge para a identificação da interface corpo–dispositivo como um ponto crítico ainda não resolvido. Problemas de ajuste, desconforto, irritação cutânea e dificuldades de adaptação persistem como fatores determinantes de insatisfação e de abandono. Nas revisões, a personalização é frequentemente descrita como insuficiente ou metodologicamente frágil, com evidência difícil de sintetizar devido à variabilidade das intervenções e ao registo incompleto (Alluhydan et al., 2023 (#ref-alluhydan-2023); Baldock et al., 2023 (#ref-baldock-2023); Richardson &amp; Dillon, 2017 (#ref-richardson-2017)).</w:t>
      </w:r>
    </w:p>
    <w:p>
      <w:pPr/>
      <w:r>
        <w:t>Um aspeto estruturante desta lacuna é a falta de pipelines “medição → decisão de design → validação” consistentes e acessíveis, com dados objetivos suficientes para orientar ajustes individualizados. Mesmo quando se propõem soluções baseadas em sensores e na monitorização do uso, emergem barreiras práticas, como o custo, a autonomia da bateria, a disponibilidade e a formação, o que limita a adoção como prática clínica padrão (Chadwell et al., 2020 (#ref-chadwell-2020); Richardson &amp; Dillon, 2017 (#ref-richardson-2017)).</w:t>
      </w:r>
    </w:p>
    <w:p>
      <w:pPr>
        <w:pStyle w:val="Heading3"/>
      </w:pPr>
      <w:r>
        <w:t>Lacuna 4 — Estagnação e fragilidade metodológica em controlo e interação humano–prótese</w:t>
      </w:r>
    </w:p>
    <w:p>
      <w:pPr/>
      <w:r>
        <w:t>No caso das próteses de membro superior, algumas revisões caracterizam uma estagnação relativa nas estratégias de controlo em aplicações comerciais, com evolução lenta desde as primeiras abordagens do século XX. Persistem dificuldades de robustez e de transferibilidade entre cenários laboratoriais e o uso real, bem como desafios associados ao esforço cognitivo, ao tempo de aprendizagem e à inconsistência de desempenho em situações quotidianas (Cordella et al., 2016 (#ref-cordella-2016); Marinelli et al., 2022 (#ref-marinelli-2022)).</w:t>
      </w:r>
    </w:p>
    <w:p>
      <w:pPr/>
      <w:r>
        <w:t>Esta lacuna não é apenas técnica: reflete também uma conceptualização insuficiente da interação humano–prótese como um sistema integrado, em que controlo, feedback, treino e contexto de uso devem ser co-otimizados (Domínguez-Ruiz et al., 2023 (#ref-dominguez-ruiz-2023); Marinelli et al., 2022 (#ref-marinelli-2022)).</w:t>
      </w:r>
    </w:p>
    <w:p>
      <w:pPr>
        <w:pStyle w:val="Heading3"/>
      </w:pPr>
      <w:r>
        <w:t>Lacuna 5 — Acesso, custo, manutenção e inequidades sistémicas</w:t>
      </w:r>
    </w:p>
    <w:p>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trade-offs claros: soluções biomecanicamente mais sofisticadas podem ser mais frágeis e difíceis de manter, comprometendo a sustentabilidade do uso (Alluhydan et al., 2023 (#ref-alluhydan-2023); Andrysek, 2010 (#ref-andrysek-2010); Baumann &amp; Maria, 2023 (#ref-baumann-2023)).</w:t>
      </w:r>
    </w:p>
    <w:p>
      <w:pPr/>
      <w: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Heading3"/>
      </w:pPr>
      <w:r>
        <w:t>Lacuna 6 — Envolvimento do utilizador e registo metodológico insuficiente</w:t>
      </w:r>
    </w:p>
    <w:p>
      <w:pPr/>
      <w:r>
        <w:t>O envolvimento do utilizador é descrito como um problema metodológico e ético ainda não resolvido. Revisões relacionam explicitamente processos pouco patient-tailored ao abandono e à incapacidade de responder às necessidades relevantes. Em várias áreas, identifica-se a ausência de métodos qualitativos sistemáticos para captar a experiência e a aceitabilidade, mesmo em componentes centrados no conforto, como liners, o que limita a compreensão profunda dos fatores de uso e de rejeição (Marinelli et al., 2022 (#ref-marinelli-2022); Richardson &amp; Dillon, 2017 (#ref-richardson-2017); Walker et al., 2019 (#ref-walker-2019)).</w:t>
      </w:r>
    </w:p>
    <w:p>
      <w:pPr/>
      <w:r>
        <w:t>Adicionalmente, a heterogeneidade de métodos e a falta de critérios comuns de avaliação, como escalas partilhadas de utilidade e satisfação, dificultam a síntese e as meta-análises, mantendo o campo fragmentado e com baixa comparabilidade (Cordella et al., 2016 (#ref-cordella-2016); Hafner &amp; Sawers, 2016 (#ref-hafner-2016); Richardson &amp; Dillon, 2017 (#ref-richardson-2017)).</w:t>
      </w:r>
    </w:p>
    <w:p>
      <w:pPr>
        <w:pStyle w:val="Heading3"/>
      </w:pPr>
      <w:r>
        <w:t>Implicações para esta investigação</w:t>
      </w:r>
    </w:p>
    <w:p>
      <w:pPr/>
      <w:r>
        <w:t>Em conjunto, estas lacunas apontam para a necessidade de abordagens que:</w:t>
      </w:r>
    </w:p>
    <w:p>
      <w:pPr>
        <w:pStyle w:val="ListNumber"/>
      </w:pPr>
      <w:r>
        <w:t>1. reforcem a ligação entre personalização e evidência, com pipelines integrados de aquisição de dados, geração de variantes e validação;</w:t>
      </w:r>
    </w:p>
    <w:p>
      <w:pPr>
        <w:pStyle w:val="ListNumber"/>
      </w:pPr>
      <w:r>
        <w:t>2. privilegiem avaliação ecologicamente válida e longitudinal, aproximando métricas de resultados de participação e qualidade de vida;</w:t>
      </w:r>
    </w:p>
    <w:p>
      <w:pPr>
        <w:pStyle w:val="ListNumber"/>
      </w:pPr>
      <w:r>
        <w:t>3. tratem a interface corpo–dispositivo e o conforto como requisitos estruturantes, não como otimizações posteriores;</w:t>
      </w:r>
    </w:p>
    <w:p>
      <w:pPr>
        <w:pStyle w:val="ListNumber"/>
      </w:pPr>
      <w:r>
        <w:t>4. incorporem envolvimento do utilizador como elemento contínuo e reportável, articulando métodos qualitativos e quantitativos;</w:t>
      </w:r>
    </w:p>
    <w:p>
      <w:pPr>
        <w:pStyle w:val="ListNumber"/>
      </w:pPr>
      <w:r>
        <w:t>5. Considerem a acessibilidade, a manutenção e o contexto de serviço como parte do problema de design (Anderson et al., 2024 (#ref-anderson-2024); Baumann &amp; Maria, 2023 (#ref-baumann-2023); Chadwell et al., 2020 (#ref-chadwell-2020)).</w:t>
      </w:r>
    </w:p>
    <w:p>
      <w:pPr>
        <w:pStyle w:val="Heading2"/>
      </w:pPr>
      <w:r>
        <w:t>Capítulo 3 — Metodologia de Investigação</w:t>
      </w:r>
    </w:p>
    <w:p>
      <w:pPr>
        <w:pStyle w:val="Heading3"/>
      </w:pPr>
      <w:r>
        <w:t>3.1 Enquadramento metodológico e abordagem Research Through Design</w:t>
      </w:r>
    </w:p>
    <w:p>
      <w:pPr/>
      <w: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Heading3"/>
      </w:pPr>
      <w:r>
        <w:t>3.2 O design industrial como prática investigativa</w:t>
      </w:r>
    </w:p>
    <w:p>
      <w:pPr/>
      <w:r>
        <w:t>O projeto parte do entendimento do design industrial como disciplina projetual, técnica e social, capaz de mediar entre a inovação tecnológica e a experiência humana. No domínio das próteses de membros superiores, esta mediação assume particular relevância, dado que o objeto projetado intervém diretamente na corporeidade, na autonomia e na identidade do utilizador. Esta perspetiva aproxima-se da ideia de designerly ways of knowing, segundo a qual o design possui modos próprios de formular problemas, produzir conhecimento e articular exigências funcionais, formais e humanas (Cross, 1982 (#ref-cross-1982)).</w:t>
      </w:r>
    </w:p>
    <w:p>
      <w:pPr/>
      <w:r>
        <w:t>A produção contemporânea de próteses personalizadas continua a enfrentar desafios significativos, nomeadamente custos elevados, processos de adaptação pouco flexíveis, dependência de técnicos especializados e dificuldades de escalabilidade. Embora a impressão 3D tenha contribuído para a democratização parcial do fabrico de dispositivos de apoio, persistem limitações na personalização anatómica rigorosa, na reprodutibilidade dos processos e na integração sistemática de critérios ergonómicos e simbólicos.</w:t>
      </w:r>
    </w:p>
    <w:p>
      <w:pPr/>
      <w:r>
        <w:t>Neste enquadramento, o design industrial é entendido como uma prática investigativa capaz de estruturar soluções que conciliem requisitos anatómicos, funcionais, ergonómicos, estéticos e simbólicos. A investigação assume que o desenvolvimento de um sistema paramétrico assistido por inteligência artificial pode contribuir para superar abordagens baseadas em modelos estáticos e em ajustes empíricos, promovendo processos mais configuráveis, reprodutíveis e acessíveis. A dimensão investigativa não reside apenas na resolução do problema projetual, mas também na explicitação dos critérios, das relações paramétricas e dos mecanismos de decisão que tornam o processo analisável, criticável e transferível para outros contextos de desenvolvimento.</w:t>
      </w:r>
    </w:p>
    <w:p>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Heading3"/>
      </w:pPr>
      <w:r>
        <w:t>3.3 Estrutura metodológica do projeto</w:t>
      </w:r>
    </w:p>
    <w:p>
      <w:pPr/>
      <w:r>
        <w:t>A metodologia organiza-se em três fases interligadas — conceptual, metodológica e empírica — que se desenvolvem de forma sequencial, mantendo, contudo, a natureza iterativa própria do processo de design. Esta estrutura funciona como adaptação do enquadramento RTD a um problema de design de produto com forte componente digital e prototípica, preservando a alternância entre abertura exploratória e convergência decisional característica do Double Diamond (Design Council, 2020 (#ref-design-council-2020); Zimmerman et al., 2007 (#ref-zimmerman-2007)).</w:t>
      </w:r>
    </w:p>
    <w:p>
      <w:pPr/>
      <w: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Heading3"/>
      </w:pPr>
      <w:r>
        <w:t>3.4 Métodos de recolha e análise de dados</w:t>
      </w:r>
    </w:p>
    <w:p>
      <w:pPr/>
      <w:r>
        <w:t>A investigação recorre a métodos qualitativos e experimentais, coerentes com a natureza prática do RTD. A recolha de dados realiza-se em diferentes níveis, combinando análise documental, comparação de precedentes, construção paramétrica, prototipagem iterativa e reflexão crítica sobre os resultados de cada ciclo.</w:t>
      </w:r>
    </w:p>
    <w:p>
      <w:pPr/>
      <w: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r>
        <w:t>Durante o desenvolvimento do sistema paramétrico, os dados assumem natureza técnica e projetual, incluindo parâmetros geométricos, relações dimensionais, tempos de fabrico, consumo de material e desempenho estrutural dos protótipos. Estes dados são analisados de forma iterativa, permitindo reformular o modelo paramétrico e otimizar o seu desempenho.</w:t>
      </w:r>
    </w:p>
    <w:p>
      <w:pPr/>
      <w: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r>
        <w:t>Embora o presente estudo não utilize participantes reais, a literatura metodológica da área ajuda a esclarecer como medições lineares e procedimentos de ajuste são normalmente operacionalizados em contextos aplicados. A Figura 3.1 ilustra esse tipo de recolha dimensional orientada para fabrico, servindo aqui como precedente metodológico para a tradução de medidas em parâmetros de projeto.</w:t>
      </w:r>
    </w:p>
    <w:p>
      <w:r>
        <w:drawing>
          <wp:inline xmlns:wp="http://schemas.openxmlformats.org/drawingml/2006/wordprocessingDrawing" distT="0" distB="0" distL="0" distR="0">
            <wp:extent cx="5715000" cy="163830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xmlns:r="http://schemas.openxmlformats.org/officeDocument/2006/relationships" r:embed="rId10"/>
                    <a:stretch>
                      <a:fillRect/>
                    </a:stretch>
                  </pic:blipFill>
                  <pic:spPr>
                    <a:xfrm>
                      <a:off x="0" y="0"/>
                      <a:ext cx="5715000" cy="1638300"/>
                    </a:xfrm>
                    <a:prstGeom prst="rect">
                      <a:avLst/>
                    </a:prstGeom>
                  </pic:spPr>
                </pic:pic>
              </a:graphicData>
            </a:graphic>
          </wp:inline>
        </w:drawing>
      </w:r>
    </w:p>
    <w:p>
      <w:pPr/>
      <w:r>
        <w:t>Figura 3.1 — Exemplo de recolha dimensional para ajuste de prótese impressa em 3D.</w:t>
      </w:r>
    </w:p>
    <w:p>
      <w:pPr/>
      <w:r>
        <w:t>Fonte original (APA 7):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pPr>
      <w:r>
        <w:t>3.5 Critérios de avaliação e limitações metodológicas</w:t>
      </w:r>
    </w:p>
    <w:p>
      <w:pPr/>
      <w: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e prototípico, e não como validação final de eficácia em contexto de uso.</w:t>
      </w:r>
    </w:p>
    <w:p>
      <w:pPr/>
      <w: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Bdr>
          <w:bottom w:val="single" w:sz="6" w:space="1" w:color="808080"/>
        </w:pBdr>
      </w:pPr>
    </w:p>
    <w:p>
      <w:pPr>
        <w:pStyle w:val="Heading2"/>
      </w:pPr>
      <w:r>
        <w:t>Capítulo 4 — Desenvolvimento do Modelo Paramétrico</w:t>
      </w:r>
    </w:p>
    <w:p>
      <w:pPr>
        <w:pStyle w:val="Heading3"/>
      </w:pPr>
      <w:r>
        <w:t>4.1 Definição do problema de design e requisitos</w:t>
      </w:r>
    </w:p>
    <w:p>
      <w:pPr/>
      <w:r>
        <w:t>A definição do problema de design no desenvolvimento de próteses de membro superior é enquadrada na literatura como um desafio multiobjetivo situado na interseção entre o desempenho biomecânico, a integração humano-dispositivo e a experiência vivida do utilizador (Cordella et al., 2016 (#ref-cordella-2016); Guo, 2025 (#ref-guo-2025); Peerdeman et al., 2011 (#ref-peerdeman-2011)). O problema não pode, por isso, ser reduzido à mera replicação formal da mão ou do membro perdido. Em vez disso, trata-se de conceber dispositivos que conciliem funcionalidade, conforto, leveza, fiabilidade, controlo inteligível, aceitabilidade estética e viabilidade económica, num contexto em que continuam a registar-se taxas elevadas de rejeição e de abandono. A literatura associa estas taxas, de forma recorrente, a desconforto no encaixe, peso excessivo, limitações funcionais, baixa robustez e estratégias de controlo pouco intuitivas, revelando uma lacuna persistente entre a capacidade tecnológica e as necessidades reais de uso (Biddiss et al., 2007 (#ref-biddiss-2007); Cordella et al., 2016 (#ref-cordella-2016); Peerdeman et al., 2011 (#ref-peerdeman-2011)).</w:t>
      </w:r>
    </w:p>
    <w:p>
      <w:pPr/>
      <w:r>
        <w:t>No que respeita aos tipos de requisitos considerados, a conceção protésica integra múltiplas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de remoção e a adequação prolongada ao uso quotidiano. Ao nível técnico, definem-se parâmetros relativos a atuadores, sistemas de transmissão, sensores, estratégias de controlo, fontes de energia e seleção de materiais com propriedades mecânicas e biocompatíveis adequadas.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projetual (Cordella et al., 2016 (#ref-cordella-2016); Hofmann et al., 2016 (#ref-hofmann-2016); Jones et al., 2023 (#ref-jones-2023)). Em contextos paramétricos, esta operacionalização materializa-se na definição de variáveis geométricas, mecânicas e construtivas controladas por parâmetros, permitindo a geração de geometrias adaptadas a dados antropométricos e a requisitos funcionais específicos.</w:t>
      </w:r>
    </w:p>
    <w:p>
      <w:pPr/>
      <w:r>
        <w:t>Diversos enquadramentos metodológicos sustentam a especificação de requisitos em sistemas protéticos paramétricos ou fabricados digitalmente. Para além dos modelos clássicos de engenharia sistemática, observa-se uma transição clara para abordagens centradas no utilizador,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r>
        <w:t>A formalização de constrangimentos nas fases iniciais do design desempenha igualmente um papel estruturante. Constrangimentos materiais são definidos em termos de resistência, rigidez, durabilidade e compatibilidade biológica. Constrangimentos mecânicos incluem limites de torque, deformação admissível, integridade estrutural sob carga e capacidades cinemáticas mínimas para tarefas quotidianas. Constrangimentos anatómicos são integrados com base em dados antropométricos e, quando possível, na digitalização do membro residual, o que condiciona as geometrias, as interfaces e os volumes internos. Finalmente, os constrangimentos produtivos relacionam-se com as capacidades e limitações do fabrico aditivo, as tolerâncias, a orientação de impressão, o tempo de fabrico, o custo e a escalabilidade. A formalização destes limites desde as fases conceptuais permite enquadrar o processo como um exercício de otimização sob múltiplas restrições, estruturando as decisões projetuais de forma explícita e verificável (Brack &amp; Amalu, 2021 (#ref-brack-2021); Herneth et al., 2024 (#ref-herneth-2024); Jones et al., 2023 (#ref-jones-2023)).</w:t>
      </w:r>
    </w:p>
    <w:p>
      <w:pPr>
        <w:pStyle w:val="Heading3"/>
      </w:pPr>
      <w:r>
        <w:t>4.2 Parâmetros antropométricos e estrutura do modelo</w:t>
      </w:r>
    </w:p>
    <w:p>
      <w:pPr/>
      <w:r>
        <w:t>A definição e operacionalização de parâmetros antropométricos constituem um elemento central no desenvolvimento de sistemas protésicos personalizados, funcionando como a principal interface entre o corpo do utilizador e a configuração geométrica e funcional do modelo paramétrico. No contexto das próteses de membro superior, estes parâmetros não se limitam a medições isoladas, mas integram um sistema estruturado de variáveis que descrevem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forma a alimentar diretamente a lógica do modelo digital (Chatzioglou et al., 2024 (#ref-chatzioglou-2024); Moreo, 2016 (#ref-moreo-2016); Rodríguez-Vega &amp; Rodríguez-Vega, 2024 (#ref-rodriguez-vega-2024)).</w:t>
      </w:r>
    </w:p>
    <w:p>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r>
        <w:drawing>
          <wp:inline xmlns:wp="http://schemas.openxmlformats.org/drawingml/2006/wordprocessingDrawing" distT="0" distB="0" distL="0" distR="0">
            <wp:extent cx="5715000" cy="331470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xmlns:r="http://schemas.openxmlformats.org/officeDocument/2006/relationships" r:embed="rId11"/>
                    <a:stretch>
                      <a:fillRect/>
                    </a:stretch>
                  </pic:blipFill>
                  <pic:spPr>
                    <a:xfrm>
                      <a:off x="0" y="0"/>
                      <a:ext cx="5715000" cy="3314700"/>
                    </a:xfrm>
                    <a:prstGeom prst="rect">
                      <a:avLst/>
                    </a:prstGeom>
                  </pic:spPr>
                </pic:pic>
              </a:graphicData>
            </a:graphic>
          </wp:inline>
        </w:drawing>
      </w:r>
    </w:p>
    <w:p>
      <w:pPr/>
      <w:r>
        <w:t>Figura 4.1 — Parâmetros antropométricos utilizados na modelação paramétrica de dedos protésicos.</w:t>
      </w:r>
    </w:p>
    <w:p>
      <w:pPr/>
      <w:r>
        <w:t>Fonte original (APA 7):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do dispositivo (Chatzioglou et al., 2024 (#ref-chatzioglou-2024); Nag et al., 2003 (#ref-nag-2003)).</w:t>
      </w:r>
    </w:p>
    <w:p>
      <w:pPr/>
      <w:r>
        <w:t>Tabela 4.1 — Principais parâmetros antropométricos da mão e do membro superior relevantes para modelação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Mão</w:t>
            </w:r>
          </w:p>
        </w:tc>
        <w:tc>
          <w:tcPr>
            <w:tcW w:w="0" w:type="auto"/>
          </w:tcPr>
          <w:p>
            <w:pPr/>
            <w:r>
              <w:t>Comprimento da mão</w:t>
            </w:r>
          </w:p>
        </w:tc>
        <w:tc>
          <w:tcPr>
            <w:tcW w:w="0" w:type="auto"/>
          </w:tcPr>
          <w:p>
            <w:pPr/>
            <w:r>
              <w:t>Distância do punho à ponta do dedo médio</w:t>
            </w:r>
          </w:p>
        </w:tc>
        <w:tc>
          <w:tcPr>
            <w:tcW w:w="0" w:type="auto"/>
          </w:tcPr>
          <w:p>
            <w:pPr/>
            <w:r>
              <w:t>Escala global do modelo</w:t>
            </w:r>
          </w:p>
        </w:tc>
      </w:tr>
      <w:tr>
        <w:tc>
          <w:tcPr>
            <w:tcW w:w="0" w:type="auto"/>
          </w:tcPr>
          <w:p>
            <w:pPr/>
            <w:r>
              <w:t>Mão</w:t>
            </w:r>
          </w:p>
        </w:tc>
        <w:tc>
          <w:tcPr>
            <w:tcW w:w="0" w:type="auto"/>
          </w:tcPr>
          <w:p>
            <w:pPr/>
            <w:r>
              <w:t>Largura da mão</w:t>
            </w:r>
          </w:p>
        </w:tc>
        <w:tc>
          <w:tcPr>
            <w:tcW w:w="0" w:type="auto"/>
          </w:tcPr>
          <w:p>
            <w:pPr/>
            <w:r>
              <w:t>Distância entre metacarpos II e V</w:t>
            </w:r>
          </w:p>
        </w:tc>
        <w:tc>
          <w:tcPr>
            <w:tcW w:w="0" w:type="auto"/>
          </w:tcPr>
          <w:p>
            <w:pPr/>
            <w:r>
              <w:t>Definição do volume da palma</w:t>
            </w:r>
          </w:p>
        </w:tc>
      </w:tr>
      <w:tr>
        <w:tc>
          <w:tcPr>
            <w:tcW w:w="0" w:type="auto"/>
          </w:tcPr>
          <w:p>
            <w:pPr/>
            <w:r>
              <w:t>Palma</w:t>
            </w:r>
          </w:p>
        </w:tc>
        <w:tc>
          <w:tcPr>
            <w:tcW w:w="0" w:type="auto"/>
          </w:tcPr>
          <w:p>
            <w:pPr/>
            <w:r>
              <w:t>Comprimento da palma</w:t>
            </w:r>
          </w:p>
        </w:tc>
        <w:tc>
          <w:tcPr>
            <w:tcW w:w="0" w:type="auto"/>
          </w:tcPr>
          <w:p>
            <w:pPr/>
            <w:r>
              <w:t>Base do dedo médio até ao punho</w:t>
            </w:r>
          </w:p>
        </w:tc>
        <w:tc>
          <w:tcPr>
            <w:tcW w:w="0" w:type="auto"/>
          </w:tcPr>
          <w:p>
            <w:pPr/>
            <w:r>
              <w:t>Estrutura e proporção da palma</w:t>
            </w:r>
          </w:p>
        </w:tc>
      </w:tr>
      <w:tr>
        <w:tc>
          <w:tcPr>
            <w:tcW w:w="0" w:type="auto"/>
          </w:tcPr>
          <w:p>
            <w:pPr/>
            <w:r>
              <w:t>Dedos</w:t>
            </w:r>
          </w:p>
        </w:tc>
        <w:tc>
          <w:tcPr>
            <w:tcW w:w="0" w:type="auto"/>
          </w:tcPr>
          <w:p>
            <w:pPr/>
            <w:r>
              <w:t>Comprimento dos dedos</w:t>
            </w:r>
          </w:p>
        </w:tc>
        <w:tc>
          <w:tcPr>
            <w:tcW w:w="0" w:type="auto"/>
          </w:tcPr>
          <w:p>
            <w:pPr/>
            <w:r>
              <w:t>MCP até ponta</w:t>
            </w:r>
          </w:p>
        </w:tc>
        <w:tc>
          <w:tcPr>
            <w:tcW w:w="0" w:type="auto"/>
          </w:tcPr>
          <w:p>
            <w:pPr/>
            <w:r>
              <w:t>Dimensionamento funcional</w:t>
            </w:r>
          </w:p>
        </w:tc>
      </w:tr>
      <w:tr>
        <w:tc>
          <w:tcPr>
            <w:tcW w:w="0" w:type="auto"/>
          </w:tcPr>
          <w:p>
            <w:pPr/>
            <w:r>
              <w:t>Dedos</w:t>
            </w:r>
          </w:p>
        </w:tc>
        <w:tc>
          <w:tcPr>
            <w:tcW w:w="0" w:type="auto"/>
          </w:tcPr>
          <w:p>
            <w:pPr/>
            <w:r>
              <w:t>Proporções falângicas</w:t>
            </w:r>
          </w:p>
        </w:tc>
        <w:tc>
          <w:tcPr>
            <w:tcW w:w="0" w:type="auto"/>
          </w:tcPr>
          <w:p>
            <w:pPr/>
            <w:r>
              <w:t>Relação entre segmentos</w:t>
            </w:r>
          </w:p>
        </w:tc>
        <w:tc>
          <w:tcPr>
            <w:tcW w:w="0" w:type="auto"/>
          </w:tcPr>
          <w:p>
            <w:pPr/>
            <w:r>
              <w:t>Definição cinemática</w:t>
            </w:r>
          </w:p>
        </w:tc>
      </w:tr>
      <w:tr>
        <w:tc>
          <w:tcPr>
            <w:tcW w:w="0" w:type="auto"/>
          </w:tcPr>
          <w:p>
            <w:pPr/>
            <w:r>
              <w:t>Dedos</w:t>
            </w:r>
          </w:p>
        </w:tc>
        <w:tc>
          <w:tcPr>
            <w:tcW w:w="0" w:type="auto"/>
          </w:tcPr>
          <w:p>
            <w:pPr/>
            <w:r>
              <w:t>Largura/profundidade</w:t>
            </w:r>
          </w:p>
        </w:tc>
        <w:tc>
          <w:tcPr>
            <w:tcW w:w="0" w:type="auto"/>
          </w:tcPr>
          <w:p>
            <w:pPr/>
            <w:r>
              <w:t>Secção transversal</w:t>
            </w:r>
          </w:p>
        </w:tc>
        <w:tc>
          <w:tcPr>
            <w:tcW w:w="0" w:type="auto"/>
          </w:tcPr>
          <w:p>
            <w:pPr/>
            <w:r>
              <w:t>Ajuste estrutural e estético</w:t>
            </w:r>
          </w:p>
        </w:tc>
      </w:tr>
      <w:tr>
        <w:tc>
          <w:tcPr>
            <w:tcW w:w="0" w:type="auto"/>
          </w:tcPr>
          <w:p>
            <w:pPr/>
            <w:r>
              <w:t>Polegar</w:t>
            </w:r>
          </w:p>
        </w:tc>
        <w:tc>
          <w:tcPr>
            <w:tcW w:w="0" w:type="auto"/>
          </w:tcPr>
          <w:p>
            <w:pPr/>
            <w:r>
              <w:t>Comprimento e orientação</w:t>
            </w:r>
          </w:p>
        </w:tc>
        <w:tc>
          <w:tcPr>
            <w:tcW w:w="0" w:type="auto"/>
          </w:tcPr>
          <w:p>
            <w:pPr/>
            <w:r>
              <w:t>Geometria e oposição</w:t>
            </w:r>
          </w:p>
        </w:tc>
        <w:tc>
          <w:tcPr>
            <w:tcW w:w="0" w:type="auto"/>
          </w:tcPr>
          <w:p>
            <w:pPr/>
            <w:r>
              <w:t>Preensão e usabilidade</w:t>
            </w:r>
          </w:p>
        </w:tc>
      </w:tr>
      <w:tr>
        <w:tc>
          <w:tcPr>
            <w:tcW w:w="0" w:type="auto"/>
          </w:tcPr>
          <w:p>
            <w:pPr/>
            <w:r>
              <w:t>Punho</w:t>
            </w:r>
          </w:p>
        </w:tc>
        <w:tc>
          <w:tcPr>
            <w:tcW w:w="0" w:type="auto"/>
          </w:tcPr>
          <w:p>
            <w:pPr/>
            <w:r>
              <w:t>Largura/profundidade</w:t>
            </w:r>
          </w:p>
        </w:tc>
        <w:tc>
          <w:tcPr>
            <w:tcW w:w="0" w:type="auto"/>
          </w:tcPr>
          <w:p>
            <w:pPr/>
            <w:r>
              <w:t>Dimensões do punho</w:t>
            </w:r>
          </w:p>
        </w:tc>
        <w:tc>
          <w:tcPr>
            <w:tcW w:w="0" w:type="auto"/>
          </w:tcPr>
          <w:p>
            <w:pPr/>
            <w:r>
              <w:t>Interface estrutural</w:t>
            </w:r>
          </w:p>
        </w:tc>
      </w:tr>
      <w:tr>
        <w:tc>
          <w:tcPr>
            <w:tcW w:w="0" w:type="auto"/>
          </w:tcPr>
          <w:p>
            <w:pPr/>
            <w:r>
              <w:t>Antebraço</w:t>
            </w:r>
          </w:p>
        </w:tc>
        <w:tc>
          <w:tcPr>
            <w:tcW w:w="0" w:type="auto"/>
          </w:tcPr>
          <w:p>
            <w:pPr/>
            <w:r>
              <w:t>Circunferência/comprimento residual</w:t>
            </w:r>
          </w:p>
        </w:tc>
        <w:tc>
          <w:tcPr>
            <w:tcW w:w="0" w:type="auto"/>
          </w:tcPr>
          <w:p>
            <w:pPr/>
            <w:r>
              <w:t>Medidas do membro residual</w:t>
            </w:r>
          </w:p>
        </w:tc>
        <w:tc>
          <w:tcPr>
            <w:tcW w:w="0" w:type="auto"/>
          </w:tcPr>
          <w:p>
            <w:pPr/>
            <w:r>
              <w:t>Ajuste do encaixe</w:t>
            </w:r>
          </w:p>
        </w:tc>
      </w:tr>
    </w:tbl>
    <w:p>
      <w:pPr>
        <w:pStyle w:val="Heading3"/>
      </w:pPr>
      <w:r>
        <w:t>Conjuntos mínimos de parâmetros por nível de amputação</w:t>
      </w:r>
    </w:p>
    <w:p>
      <w:pPr/>
      <w:r>
        <w:t>A definição de um conjunto mínimo de parâmetros antropométricos depende diretamente do nível de amputação, uma vez que diferentes configurações protésicas exigem graus distintos de detalhe. Em termos práticos, reduzir o número de medições necessárias é importante para viabilizar processos de personalização mais escaláveis, sobretudo quando a recolha de dados ocorre fora de contextos clínicos altamente especializados (Moreo, 2016 (#ref-moreo-2016); Romero et al., 2025 (#ref-da-silveira-romero-2025)).</w:t>
      </w:r>
    </w:p>
    <w:p>
      <w:pPr/>
      <w:r>
        <w:t>Tabela 4.2 — Conjuntos mínimos de parâmetros por nível de amputação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Transradial (abaixo do cotovelo)</w:t>
            </w:r>
          </w:p>
        </w:tc>
        <w:tc>
          <w:tcPr>
            <w:tcW w:w="0" w:type="auto"/>
          </w:tcPr>
          <w:p>
            <w:pPr/>
            <w:r>
              <w:t>Comprimento do membro residual, circunferência do antebraço, largura do punho</w:t>
            </w:r>
          </w:p>
        </w:tc>
      </w:tr>
      <w:tr>
        <w:tc>
          <w:tcPr>
            <w:tcW w:w="0" w:type="auto"/>
          </w:tcPr>
          <w:p>
            <w:pPr/>
            <w:r>
              <w:t>Desarticulação do punho</w:t>
            </w:r>
          </w:p>
        </w:tc>
        <w:tc>
          <w:tcPr>
            <w:tcW w:w="0" w:type="auto"/>
          </w:tcPr>
          <w:p>
            <w:pPr/>
            <w:r>
              <w:t>Largura e profundidade do punho, comprimento da mão</w:t>
            </w:r>
          </w:p>
        </w:tc>
      </w:tr>
      <w:tr>
        <w:tc>
          <w:tcPr>
            <w:tcW w:w="0" w:type="auto"/>
          </w:tcPr>
          <w:p>
            <w:pPr/>
            <w:r>
              <w:t>Parcial da mão</w:t>
            </w:r>
          </w:p>
        </w:tc>
        <w:tc>
          <w:tcPr>
            <w:tcW w:w="0" w:type="auto"/>
          </w:tcPr>
          <w:p>
            <w:pPr/>
            <w:r>
              <w:t>Comprimento da palma, dimensões dos dedos remanescentes</w:t>
            </w:r>
          </w:p>
        </w:tc>
      </w:tr>
      <w:tr>
        <w:tc>
          <w:tcPr>
            <w:tcW w:w="0" w:type="auto"/>
          </w:tcPr>
          <w:p>
            <w:pPr/>
            <w:r>
              <w:t>Dedos (parcial)</w:t>
            </w:r>
          </w:p>
        </w:tc>
        <w:tc>
          <w:tcPr>
            <w:tcW w:w="0" w:type="auto"/>
          </w:tcPr>
          <w:p>
            <w:pPr/>
            <w:r>
              <w:t>Comprimento e largura do dedo, proporções falângicas</w:t>
            </w:r>
          </w:p>
        </w:tc>
      </w:tr>
      <w:tr>
        <w:tc>
          <w:tcPr>
            <w:tcW w:w="0" w:type="auto"/>
          </w:tcPr>
          <w:p>
            <w:pPr/>
            <w:r>
              <w:t>Mão completa (cosmética/funcional)</w:t>
            </w:r>
          </w:p>
        </w:tc>
        <w:tc>
          <w:tcPr>
            <w:tcW w:w="0" w:type="auto"/>
          </w:tcPr>
          <w:p>
            <w:pPr/>
            <w:r>
              <w:t>Comprimento da mão, largura da palma, comprimento dos dedos</w:t>
            </w:r>
          </w:p>
        </w:tc>
      </w:tr>
    </w:tbl>
    <w:p>
      <w:pPr/>
      <w:r>
        <w:t>Esta abordagem permite estruturar o sistema paramétrico com base em entradas (inputs) essenciais, reduzindo a complexidade sem comprometer a funcionalidade. Importa, contudo, distinguir entre parâmetros mínimos de configuração e parâmetros de refinamento: os primeiros permitem gerar uma instância funcional do modelo; os segundos melhoram o ajuste, a coerência proporcional ou o desempenho cinemático quando há dados adicionais disponíveis.</w:t>
      </w:r>
    </w:p>
    <w:p>
      <w:pPr>
        <w:pStyle w:val="Heading3"/>
      </w:pPr>
      <w:r>
        <w:t>Limitações do escalonamento uniforme</w:t>
      </w:r>
    </w:p>
    <w:p>
      <w:pPr/>
      <w:r>
        <w:t>Uma limitação recorrente em abordagens simplificadas de modelação é o uso de escalonamento uniforme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parâmetros independentes e a possibilidade de derivar proporções locais sem pressupor homotetia global do modelo (Lim et al., 2018 (#ref-lim-2018); Nag et al., 2003 (#ref-nag-2003); Rodríguez-Vega &amp; Rodríguez-Vega, 2024 (#ref-rodriguez-vega-2024)).</w:t>
      </w:r>
    </w:p>
    <w:p>
      <w:pPr/>
      <w: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r>
        <w:drawing>
          <wp:inline xmlns:wp="http://schemas.openxmlformats.org/drawingml/2006/wordprocessingDrawing" distT="0" distB="0" distL="0" distR="0">
            <wp:extent cx="5715000" cy="410527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xmlns:r="http://schemas.openxmlformats.org/officeDocument/2006/relationships" r:embed="rId12"/>
                    <a:stretch>
                      <a:fillRect/>
                    </a:stretch>
                  </pic:blipFill>
                  <pic:spPr>
                    <a:xfrm>
                      <a:off x="0" y="0"/>
                      <a:ext cx="5715000" cy="4105275"/>
                    </a:xfrm>
                    <a:prstGeom prst="rect">
                      <a:avLst/>
                    </a:prstGeom>
                  </pic:spPr>
                </pic:pic>
              </a:graphicData>
            </a:graphic>
          </wp:inline>
        </w:drawing>
      </w:r>
    </w:p>
    <w:p>
      <w:pPr/>
      <w:r>
        <w:t>Figura 4.2 — Comparação entre o escalonamento uniforme e a modelação paramétrica de dedo protésico.</w:t>
      </w:r>
    </w:p>
    <w:p>
      <w:pPr/>
      <w:r>
        <w:t>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Heading3"/>
      </w:pPr>
      <w:r>
        <w:t>Métodos de recolha de dados antropométricos</w:t>
      </w:r>
    </w:p>
    <w:p>
      <w:pPr/>
      <w: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tipo de dado necessário (Çıklaçandır et al., 2022 (#ref-cklacandr-2022); Herbst et al., 2021 (#ref-herbst-2021)).</w:t>
      </w:r>
    </w:p>
    <w:p>
      <w:pPr/>
      <w:r>
        <w:t>Tabela 4.3 — Métodos de recolha de dados antropométricos e suas características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Medição manual</w:t>
            </w:r>
          </w:p>
        </w:tc>
        <w:tc>
          <w:tcPr>
            <w:tcW w:w="0" w:type="auto"/>
          </w:tcPr>
          <w:p>
            <w:pPr/>
            <w:r>
              <w:t>Dimensões lineares</w:t>
            </w:r>
          </w:p>
        </w:tc>
        <w:tc>
          <w:tcPr>
            <w:tcW w:w="0" w:type="auto"/>
          </w:tcPr>
          <w:p>
            <w:pPr/>
            <w:r>
              <w:t>Simplicidade, baixo custo</w:t>
            </w:r>
          </w:p>
        </w:tc>
        <w:tc>
          <w:tcPr>
            <w:tcW w:w="0" w:type="auto"/>
          </w:tcPr>
          <w:p>
            <w:pPr/>
            <w:r>
              <w:t>Representação geométrica limitada</w:t>
            </w:r>
          </w:p>
        </w:tc>
        <w:tc>
          <w:tcPr>
            <w:tcW w:w="0" w:type="auto"/>
          </w:tcPr>
          <w:p>
            <w:pPr/>
            <w:r>
              <w:t>Parametrização básica</w:t>
            </w:r>
          </w:p>
        </w:tc>
      </w:tr>
      <w:tr>
        <w:tc>
          <w:tcPr>
            <w:tcW w:w="0" w:type="auto"/>
          </w:tcPr>
          <w:p>
            <w:pPr/>
            <w:r>
              <w:t>Digitalização 3D</w:t>
            </w:r>
          </w:p>
        </w:tc>
        <w:tc>
          <w:tcPr>
            <w:tcW w:w="0" w:type="auto"/>
          </w:tcPr>
          <w:p>
            <w:pPr/>
            <w:r>
              <w:t>Geometria superficial</w:t>
            </w:r>
          </w:p>
        </w:tc>
        <w:tc>
          <w:tcPr>
            <w:tcW w:w="0" w:type="auto"/>
          </w:tcPr>
          <w:p>
            <w:pPr/>
            <w:r>
              <w:t>Elevada precisão, rapidez</w:t>
            </w:r>
          </w:p>
        </w:tc>
        <w:tc>
          <w:tcPr>
            <w:tcW w:w="0" w:type="auto"/>
          </w:tcPr>
          <w:p>
            <w:pPr/>
            <w:r>
              <w:t>Equipamento e processamento necessários</w:t>
            </w:r>
          </w:p>
        </w:tc>
        <w:tc>
          <w:tcPr>
            <w:tcW w:w="0" w:type="auto"/>
          </w:tcPr>
          <w:p>
            <w:pPr/>
            <w:r>
              <w:t>Encaixe e forma</w:t>
            </w:r>
          </w:p>
        </w:tc>
      </w:tr>
      <w:tr>
        <w:tc>
          <w:tcPr>
            <w:tcW w:w="0" w:type="auto"/>
          </w:tcPr>
          <w:p>
            <w:pPr/>
            <w:r>
              <w:t>Imagiologia médica</w:t>
            </w:r>
          </w:p>
        </w:tc>
        <w:tc>
          <w:tcPr>
            <w:tcW w:w="0" w:type="auto"/>
          </w:tcPr>
          <w:p>
            <w:pPr/>
            <w:r>
              <w:t>Estrutura interna e externa</w:t>
            </w:r>
          </w:p>
        </w:tc>
        <w:tc>
          <w:tcPr>
            <w:tcW w:w="0" w:type="auto"/>
          </w:tcPr>
          <w:p>
            <w:pPr/>
            <w:r>
              <w:t>Dados anatómicos detalhados</w:t>
            </w:r>
          </w:p>
        </w:tc>
        <w:tc>
          <w:tcPr>
            <w:tcW w:w="0" w:type="auto"/>
          </w:tcPr>
          <w:p>
            <w:pPr/>
            <w:r>
              <w:t>Alto custo e menor acessibilidade</w:t>
            </w:r>
          </w:p>
        </w:tc>
        <w:tc>
          <w:tcPr>
            <w:tcW w:w="0" w:type="auto"/>
          </w:tcPr>
          <w:p>
            <w:pPr/>
            <w:r>
              <w:t>Modelação biomecânica</w:t>
            </w:r>
          </w:p>
        </w:tc>
      </w:tr>
      <w:tr>
        <w:tc>
          <w:tcPr>
            <w:tcW w:w="0" w:type="auto"/>
          </w:tcPr>
          <w:p>
            <w:pPr/>
            <w:r>
              <w:t>Fotogrametria</w:t>
            </w:r>
          </w:p>
        </w:tc>
        <w:tc>
          <w:tcPr>
            <w:tcW w:w="0" w:type="auto"/>
          </w:tcPr>
          <w:p>
            <w:pPr/>
            <w:r>
              <w:t>Geometria aproximada</w:t>
            </w:r>
          </w:p>
        </w:tc>
        <w:tc>
          <w:tcPr>
            <w:tcW w:w="0" w:type="auto"/>
          </w:tcPr>
          <w:p>
            <w:pPr/>
            <w:r>
              <w:t>Acessível, potencial remoto</w:t>
            </w:r>
          </w:p>
        </w:tc>
        <w:tc>
          <w:tcPr>
            <w:tcW w:w="0" w:type="auto"/>
          </w:tcPr>
          <w:p>
            <w:pPr/>
            <w:r>
              <w:t>Precisão variável</w:t>
            </w:r>
          </w:p>
        </w:tc>
        <w:tc>
          <w:tcPr>
            <w:tcW w:w="0" w:type="auto"/>
          </w:tcPr>
          <w:p>
            <w:pPr/>
            <w:r>
              <w:t>Aquisição preliminar</w:t>
            </w:r>
          </w:p>
        </w:tc>
      </w:tr>
    </w:tbl>
    <w:p>
      <w:pPr>
        <w:pStyle w:val="Heading3"/>
      </w:pPr>
      <w:r>
        <w:t>Bases de dados antropométricas, extração e normalização</w:t>
      </w:r>
    </w:p>
    <w:p>
      <w:pPr/>
      <w: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legível.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r>
        <w:t>Tabela 4.4 — Fontes integradas na base local de dados antropométricos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Fonte</w:t>
            </w:r>
          </w:p>
        </w:tc>
        <w:tc>
          <w:tcPr>
            <w:tcW w:w="0" w:type="auto"/>
          </w:tcPr>
          <w:p>
            <w:pPr/>
            <w:r>
              <w:t>População e cobertura</w:t>
            </w:r>
          </w:p>
        </w:tc>
        <w:tc>
          <w:tcPr>
            <w:tcW w:w="0" w:type="auto"/>
          </w:tcPr>
          <w:p>
            <w:pPr/>
            <w:r>
              <w:t>Dados extraídos</w:t>
            </w:r>
          </w:p>
        </w:tc>
        <w:tc>
          <w:tcPr>
            <w:tcW w:w="0" w:type="auto"/>
          </w:tcPr>
          <w:p>
            <w:pPr/>
            <w:r>
              <w:t>Registos</w:t>
            </w:r>
          </w:p>
        </w:tc>
      </w:tr>
      <w:tr>
        <w:tc>
          <w:tcPr>
            <w:tcW w:w="0" w:type="auto"/>
          </w:tcPr>
          <w:p>
            <w:pPr/>
            <w:r>
              <w:t>DINED kima1993, TU Delft</w:t>
            </w:r>
          </w:p>
        </w:tc>
        <w:tc>
          <w:tcPr>
            <w:tcW w:w="0" w:type="auto"/>
          </w:tcPr>
          <w:p>
            <w:pPr/>
            <w:r>
              <w:t>Crianças neerlandesas, 2–12 anos</w:t>
            </w:r>
          </w:p>
        </w:tc>
        <w:tc>
          <w:tcPr>
            <w:tcW w:w="0" w:type="auto"/>
          </w:tcPr>
          <w:p>
            <w:pPr/>
            <w:r>
              <w:t>Médias e desvios-padrão de medições da mão por idade e sexo</w:t>
            </w:r>
          </w:p>
        </w:tc>
        <w:tc>
          <w:tcPr>
            <w:tcW w:w="0" w:type="auto"/>
          </w:tcPr>
          <w:p>
            <w:pPr/>
            <w:r>
              <w:t>528</w:t>
            </w:r>
          </w:p>
        </w:tc>
      </w:tr>
      <w:tr>
        <w:tc>
          <w:tcPr>
            <w:tcW w:w="0" w:type="auto"/>
          </w:tcPr>
          <w:p>
            <w:pPr/>
            <w:r>
              <w:t>DINED geron1998, TU Delft</w:t>
            </w:r>
          </w:p>
        </w:tc>
        <w:tc>
          <w:tcPr>
            <w:tcW w:w="0" w:type="auto"/>
          </w:tcPr>
          <w:p>
            <w:pPr/>
            <w:r>
              <w:t>Idosos neerlandeses, 50–80+ anos</w:t>
            </w:r>
          </w:p>
        </w:tc>
        <w:tc>
          <w:tcPr>
            <w:tcW w:w="0" w:type="auto"/>
          </w:tcPr>
          <w:p>
            <w:pPr/>
            <w:r>
              <w:t>Médias e desvios-padrão de medições da mão por grupos etários</w:t>
            </w:r>
          </w:p>
        </w:tc>
        <w:tc>
          <w:tcPr>
            <w:tcW w:w="0" w:type="auto"/>
          </w:tcPr>
          <w:p>
            <w:pPr/>
            <w:r>
              <w:t>210</w:t>
            </w:r>
          </w:p>
        </w:tc>
      </w:tr>
      <w:tr>
        <w:tc>
          <w:tcPr>
            <w:tcW w:w="0" w:type="auto"/>
          </w:tcPr>
          <w:p>
            <w:pPr/>
            <w:r>
              <w:t>DINED dined2004, TU Delft</w:t>
            </w:r>
          </w:p>
        </w:tc>
        <w:tc>
          <w:tcPr>
            <w:tcW w:w="0" w:type="auto"/>
          </w:tcPr>
          <w:p>
            <w:pPr/>
            <w:r>
              <w:t>Adultos neerlandeses, 20–60+ anos</w:t>
            </w:r>
          </w:p>
        </w:tc>
        <w:tc>
          <w:tcPr>
            <w:tcW w:w="0" w:type="auto"/>
          </w:tcPr>
          <w:p>
            <w:pPr/>
            <w:r>
              <w:t>Médias e desvios-padrão de medições da mão por sexo e idade</w:t>
            </w:r>
          </w:p>
        </w:tc>
        <w:tc>
          <w:tcPr>
            <w:tcW w:w="0" w:type="auto"/>
          </w:tcPr>
          <w:p>
            <w:pPr/>
            <w:r>
              <w:t>114</w:t>
            </w:r>
          </w:p>
        </w:tc>
      </w:tr>
      <w:tr>
        <w:tc>
          <w:tcPr>
            <w:tcW w:w="0" w:type="auto"/>
          </w:tcPr>
          <w:p>
            <w:pPr/>
            <w:r>
              <w:t>Rodríguez-Vega e Rodríguez-Vega (2024)</w:t>
            </w:r>
          </w:p>
        </w:tc>
        <w:tc>
          <w:tcPr>
            <w:tcW w:w="0" w:type="auto"/>
          </w:tcPr>
          <w:p>
            <w:pPr/>
            <w:r>
              <w:t>População mexicana, 15–59 anos</w:t>
            </w:r>
          </w:p>
        </w:tc>
        <w:tc>
          <w:tcPr>
            <w:tcW w:w="0" w:type="auto"/>
          </w:tcPr>
          <w:p>
            <w:pPr/>
            <w:r>
              <w:t>Comprimento da mão, comprimento da palma, largura da mão e diâmetro de preensão, com valores gerais e por grupos etários</w:t>
            </w:r>
          </w:p>
        </w:tc>
        <w:tc>
          <w:tcPr>
            <w:tcW w:w="0" w:type="auto"/>
          </w:tcPr>
          <w:p>
            <w:pPr/>
            <w:r>
              <w:t>360</w:t>
            </w:r>
          </w:p>
        </w:tc>
      </w:tr>
      <w:tr>
        <w:tc>
          <w:tcPr>
            <w:tcW w:w="0" w:type="auto"/>
          </w:tcPr>
          <w:p>
            <w:pPr/>
            <w:r>
              <w:t>Nag et al. (2003)</w:t>
            </w:r>
          </w:p>
        </w:tc>
        <w:tc>
          <w:tcPr>
            <w:tcW w:w="0" w:type="auto"/>
          </w:tcPr>
          <w:p>
            <w:pPr/>
            <w:r>
              <w:t>Mulheres indianas trabalhadoras</w:t>
            </w:r>
          </w:p>
        </w:tc>
        <w:tc>
          <w:tcPr>
            <w:tcW w:w="0" w:type="auto"/>
          </w:tcPr>
          <w:p>
            <w:pPr/>
            <w:r>
              <w:t>51 dimensões da mão, incluindo comprimentos, larguras, circunferências, profundidades e aberturas</w:t>
            </w:r>
          </w:p>
        </w:tc>
        <w:tc>
          <w:tcPr>
            <w:tcW w:w="0" w:type="auto"/>
          </w:tcPr>
          <w:p>
            <w:pPr/>
            <w:r>
              <w:t>255</w:t>
            </w:r>
          </w:p>
        </w:tc>
      </w:tr>
      <w:tr>
        <w:tc>
          <w:tcPr>
            <w:tcW w:w="0" w:type="auto"/>
          </w:tcPr>
          <w:p>
            <w:pPr/>
            <w:r>
              <w:t>Gordon et al. (2015)</w:t>
            </w:r>
          </w:p>
        </w:tc>
        <w:tc>
          <w:tcPr>
            <w:tcW w:w="0" w:type="auto"/>
          </w:tcPr>
          <w:p>
            <w:pPr/>
            <w:r>
              <w:t>Militares norte-americanos do ANSUR II</w:t>
            </w:r>
          </w:p>
        </w:tc>
        <w:tc>
          <w:tcPr>
            <w:tcW w:w="0" w:type="auto"/>
          </w:tcPr>
          <w:p>
            <w:pPr/>
            <w:r>
              <w:t>Medições da mão, punho e antebraço extraídas das estatísticas públicas do inquérito</w:t>
            </w:r>
          </w:p>
        </w:tc>
        <w:tc>
          <w:tcPr>
            <w:tcW w:w="0" w:type="auto"/>
          </w:tcPr>
          <w:p>
            <w:pPr/>
            <w:r>
              <w:t>154</w:t>
            </w:r>
          </w:p>
        </w:tc>
      </w:tr>
      <w:tr>
        <w:tc>
          <w:tcPr>
            <w:tcW w:w="0" w:type="auto"/>
          </w:tcPr>
          <w:p>
            <w:pPr/>
            <w:r>
              <w:t>Chatzioglou et al. (2024)</w:t>
            </w:r>
          </w:p>
        </w:tc>
        <w:tc>
          <w:tcPr>
            <w:tcW w:w="0" w:type="auto"/>
          </w:tcPr>
          <w:p>
            <w:pPr/>
            <w:r>
              <w:t>Jovens adultos da Turquia</w:t>
            </w:r>
          </w:p>
        </w:tc>
        <w:tc>
          <w:tcPr>
            <w:tcW w:w="0" w:type="auto"/>
          </w:tcPr>
          <w:p>
            <w:pPr/>
            <w:r>
              <w:t>Comprimentos dos cinco dedos da mão direita, por sexo e combinado</w:t>
            </w:r>
          </w:p>
        </w:tc>
        <w:tc>
          <w:tcPr>
            <w:tcW w:w="0" w:type="auto"/>
          </w:tcPr>
          <w:p>
            <w:pPr/>
            <w:r>
              <w:t>56</w:t>
            </w:r>
          </w:p>
        </w:tc>
      </w:tr>
      <w:tr>
        <w:tc>
          <w:tcPr>
            <w:tcW w:w="0" w:type="auto"/>
          </w:tcPr>
          <w:p>
            <w:pPr/>
            <w:r>
              <w:t>Hu et al. (2007)</w:t>
            </w:r>
          </w:p>
        </w:tc>
        <w:tc>
          <w:tcPr>
            <w:tcW w:w="0" w:type="auto"/>
          </w:tcPr>
          <w:p>
            <w:pPr/>
            <w:r>
              <w:t>Idosos chineses da área de Pequim</w:t>
            </w:r>
          </w:p>
        </w:tc>
        <w:tc>
          <w:tcPr>
            <w:tcW w:w="0" w:type="auto"/>
          </w:tcPr>
          <w:p>
            <w:pPr/>
            <w:r>
              <w:t>Larguras, comprimento da mão, comprimento do dedo e comprimento antebraço-ponta dos dedos</w:t>
            </w:r>
          </w:p>
        </w:tc>
        <w:tc>
          <w:tcPr>
            <w:tcW w:w="0" w:type="auto"/>
          </w:tcPr>
          <w:p>
            <w:pPr/>
            <w:r>
              <w:t>50</w:t>
            </w:r>
          </w:p>
        </w:tc>
      </w:tr>
      <w:tr>
        <w:tc>
          <w:tcPr>
            <w:tcW w:w="0" w:type="auto"/>
          </w:tcPr>
          <w:p>
            <w:pPr/>
            <w:r>
              <w:t>Ibiwari et al. (2025)</w:t>
            </w:r>
          </w:p>
        </w:tc>
        <w:tc>
          <w:tcPr>
            <w:tcW w:w="0" w:type="auto"/>
          </w:tcPr>
          <w:p>
            <w:pPr/>
            <w:r>
              <w:t>Atletas universitários da Nigéria</w:t>
            </w:r>
          </w:p>
        </w:tc>
        <w:tc>
          <w:tcPr>
            <w:tcW w:w="0" w:type="auto"/>
          </w:tcPr>
          <w:p>
            <w:pPr/>
            <w:r>
              <w:t>Comprimento da mão, largura da mão, comprimento palmar e 3.º dedo, por modalidade e sexo</w:t>
            </w:r>
          </w:p>
        </w:tc>
        <w:tc>
          <w:tcPr>
            <w:tcW w:w="0" w:type="auto"/>
          </w:tcPr>
          <w:p>
            <w:pPr/>
            <w:r>
              <w:t>32</w:t>
            </w:r>
          </w:p>
        </w:tc>
      </w:tr>
      <w:tr>
        <w:tc>
          <w:tcPr>
            <w:tcW w:w="0" w:type="auto"/>
          </w:tcPr>
          <w:p>
            <w:pPr/>
            <w:r>
              <w:t>Anacleto Filho et al. (2023)</w:t>
            </w:r>
          </w:p>
        </w:tc>
        <w:tc>
          <w:tcPr>
            <w:tcW w:w="0" w:type="auto"/>
          </w:tcPr>
          <w:p>
            <w:pPr/>
            <w:r>
              <w:t>Trabalhadores industriais portugueses</w:t>
            </w:r>
          </w:p>
        </w:tc>
        <w:tc>
          <w:tcPr>
            <w:tcW w:w="0" w:type="auto"/>
          </w:tcPr>
          <w:p>
            <w:pPr/>
            <w:r>
              <w:t>Comprimento e largura da mão, por sexo</w:t>
            </w:r>
          </w:p>
        </w:tc>
        <w:tc>
          <w:tcPr>
            <w:tcW w:w="0" w:type="auto"/>
          </w:tcPr>
          <w:p>
            <w:pPr/>
            <w:r>
              <w:t>20</w:t>
            </w:r>
          </w:p>
        </w:tc>
      </w:tr>
      <w:tr>
        <w:tc>
          <w:tcPr>
            <w:tcW w:w="0" w:type="auto"/>
          </w:tcPr>
          <w:p>
            <w:pPr/>
            <w:r>
              <w:t>Mistarihi (2020)</w:t>
            </w:r>
          </w:p>
        </w:tc>
        <w:tc>
          <w:tcPr>
            <w:tcW w:w="0" w:type="auto"/>
          </w:tcPr>
          <w:p>
            <w:pPr/>
            <w:r>
              <w:t>Trabalhadores com deficiência física na Jordânia</w:t>
            </w:r>
          </w:p>
        </w:tc>
        <w:tc>
          <w:tcPr>
            <w:tcW w:w="0" w:type="auto"/>
          </w:tcPr>
          <w:p>
            <w:pPr/>
            <w:r>
              <w:t>Comprimento da mão, largura da mão e comprimento cotovelo-ponta dos dedos</w:t>
            </w:r>
          </w:p>
        </w:tc>
        <w:tc>
          <w:tcPr>
            <w:tcW w:w="0" w:type="auto"/>
          </w:tcPr>
          <w:p>
            <w:pPr/>
            <w:r>
              <w:t>9</w:t>
            </w:r>
          </w:p>
        </w:tc>
      </w:tr>
      <w:tr>
        <w:tc>
          <w:tcPr>
            <w:tcW w:w="0" w:type="auto"/>
          </w:tcPr>
          <w:p>
            <w:pPr/>
            <w:r>
              <w:t>Lim et al. (2018)</w:t>
            </w:r>
          </w:p>
        </w:tc>
        <w:tc>
          <w:tcPr>
            <w:tcW w:w="0" w:type="auto"/>
          </w:tcPr>
          <w:p>
            <w:pPr/>
            <w:r>
              <w:t>Adultos jovens nos EUA</w:t>
            </w:r>
          </w:p>
        </w:tc>
        <w:tc>
          <w:tcPr>
            <w:tcW w:w="0" w:type="auto"/>
          </w:tcPr>
          <w:p>
            <w:pPr/>
            <w:r>
              <w:t>Comprimento e largura do dedo indicador para customização de dedo protésico</w:t>
            </w:r>
          </w:p>
        </w:tc>
        <w:tc>
          <w:tcPr>
            <w:tcW w:w="0" w:type="auto"/>
          </w:tcPr>
          <w:p>
            <w:pPr/>
            <w:r>
              <w:t>2</w:t>
            </w:r>
          </w:p>
        </w:tc>
      </w:tr>
    </w:tbl>
    <w:p>
      <w:pPr/>
      <w: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r>
        <w:t>A opção pelo formato longo foi deliberada. Em vez de criar uma linha por dimensão com colunas fixas para média, desvio-padrão e percentis, cada estatística foi registada como uma linha própria. Assim, uma mesma dimensão pode originar várias linhas para média, desvio-padrão, P5, P50, P95, mínimo ou máximo. Este formato facilita a integração de fontes incompletas, porque nem todos os estudos reportam o mesmo conjunto de estatísticas. Na base atual, existem 612 médias, 609 desvios-padrão, 513 percentis, 28 mínimos e 28 máximos. Esta assimetria é metodologicamente relevante: os datasets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r>
        <w:t>As principais dificuldades encontradas dizem respeito à heterogeneidade dos protocolos. A expressão “comprimento da mão”, por exemplo, nem sempre corresponde ao mesmo trajeto anatómico: alguns estudos usam a prega do punho, outros o processo estilóide, e outros definem o comprimento a partir de marcos funcionais da palma. Do mesmo modo, há estudos que medem a mão direita, outros a mão dominante, e o estudo português mede a mão esquerda por constrangimentos de recolha (Anacleto Filho et al., 2023 (#ref-anacleto-filho-2023)). Estas diferenças impedem tratar todas as entradas como equivalentes diretas e justificam o registo explícito do protocolo de medição. A base não apaga a heterogeneidade; torna-a explícita para que o modelo paramétrico possa usar os dados de forma informada.</w:t>
      </w:r>
    </w:p>
    <w:p>
      <w:pPr/>
      <w:r>
        <w:t>Houve também dificuldades de granularidade e representatividade. Algumas fontes são estatisticamente fortes, mas pouco específicas para a mão; outras são ricas em medidas da mão, mas limitadas a uma população muito particular. Nag et al. (2003), por exemplo, fornece uma cobertura dimensional muito detalhada, mas apenas para mulheres indianas trabalhadoras. Rodríguez-Vega e Rodríguez-Vega (2024) oferecem uma amostra mexicana numerosa e grupos etários úteis, mas concentram-se em quatro dimensões principais. Ibiwari et al. (2025) acrescenta dados africanos, mas a amostra é composta por atletas universitários, não por população geral. Mistarihi (2020) é relevante por incluir trabalhadores com deficiência física, mas apresenta poucos registos, sem desagregação suficiente por sexo. Estes casos foram mantidos porque aumentam a diversidade de referência, mas as suas limitações foram registadas nos metadados da população, da dimensão amostral e da qualidade do dado.</w:t>
      </w:r>
    </w:p>
    <w:p>
      <w:pPr/>
      <w:r>
        <w:t>Em sentido inverso, algumas fontes facilitaram a extração. As tabelas com percentis claros, unidades explícitas e separação por sexo ou idade permitiram codificação direta e maior confiança. A estrutura HTML da DINED facilitou a recuperação sistemática de médias e desvios-padrão por sub-base, sexo e grupo etário, embora não disponibilize percentis na mesma interface. 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militares, crianças neerlandesas ou idosos chineses não representam automaticamente utilizadores com amputação de membro superior.</w:t>
      </w:r>
    </w:p>
    <w:p>
      <w:pPr/>
      <w:r>
        <w:t>As decisões de normalização seguiram quatro princípios. Primeiro, todas as unidades foram convertidas para milímetros, centímetros e polegadas, mantendo uma unidade-fonte única para evitar conversões ambíguas no momento de utilização. Segundo, valores provenientes de subgrupos muito pequenos, figuras em vez de tabelas, desvios-padrão atípicos ou definições anatómicas incertas foram preservados, mas assinalados em notas de qualidade, em vez de serem eliminados sem rasto. Terceiro, as medidas foram agrupadas por região corporal, para distinguir dimensões diretamente ligadas à geometria da mão de dimensões úteis apenas para a interface com o punho ou antebraço. Quarto, os dados foram tratados como referências paramétricas e não como prescrições dimensionais finais.</w:t>
      </w:r>
    </w:p>
    <w:p>
      <w:pPr/>
      <w:r>
        <w:t>Esta base faz sentido para o projeto porque responde a uma necessidade específica do modelo desenvolvido: transformar uma discussão genérica sobre personalização em intervalos, relações e restrições utilizáveis. O modelo precisa de saber que medidas são recorrentes na literatura, que variações são plausíveis entre populações, que dimensões podem servir como entradas mínimas e onde o escalonamento uniforme se torna arriscado. A base local permite comparar comprimento da mão, largura da palma, comprimentos digitais, dimensões do punho e relações com o antebraço de forma rastreável. Por isso, ela sustenta a passagem entre o enquadramento antropométrico e a modelação em OpenSCAD: os dados não geram a prótese por si só, mas delimitam o espaço de variação no qual o modelo pode operar com maior coerência.</w:t>
      </w:r>
    </w:p>
    <w:p>
      <w:pPr/>
      <w: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pPr>
      <w:r>
        <w:t>Estrutura paramétrica e mapeamento de parâmetros</w:t>
      </w:r>
    </w:p>
    <w:p>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r>
        <w:t>Tabela 4.5 — Estrutura hierárquica dos parâmetros no modelo paramétrico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Primários</w:t>
            </w:r>
          </w:p>
        </w:tc>
        <w:tc>
          <w:tcPr>
            <w:tcW w:w="0" w:type="auto"/>
          </w:tcPr>
          <w:p>
            <w:pPr/>
            <w:r>
              <w:t>Comprimento da mão, largura da palma</w:t>
            </w:r>
          </w:p>
        </w:tc>
        <w:tc>
          <w:tcPr>
            <w:tcW w:w="0" w:type="auto"/>
          </w:tcPr>
          <w:p>
            <w:pPr/>
            <w:r>
              <w:t>Input direto</w:t>
            </w:r>
          </w:p>
        </w:tc>
        <w:tc>
          <w:tcPr>
            <w:tcW w:w="0" w:type="auto"/>
          </w:tcPr>
          <w:p>
            <w:pPr/>
            <w:r>
              <w:t>Independentes</w:t>
            </w:r>
          </w:p>
        </w:tc>
      </w:tr>
      <w:tr>
        <w:tc>
          <w:tcPr>
            <w:tcW w:w="0" w:type="auto"/>
          </w:tcPr>
          <w:p>
            <w:pPr/>
            <w:r>
              <w:t>Derivados</w:t>
            </w:r>
          </w:p>
        </w:tc>
        <w:tc>
          <w:tcPr>
            <w:tcW w:w="0" w:type="auto"/>
          </w:tcPr>
          <w:p>
            <w:pPr/>
            <w:r>
              <w:t>Proporções das falanges</w:t>
            </w:r>
          </w:p>
        </w:tc>
        <w:tc>
          <w:tcPr>
            <w:tcW w:w="0" w:type="auto"/>
          </w:tcPr>
          <w:p>
            <w:pPr/>
            <w:r>
              <w:t>Construção geométrica</w:t>
            </w:r>
          </w:p>
        </w:tc>
        <w:tc>
          <w:tcPr>
            <w:tcW w:w="0" w:type="auto"/>
          </w:tcPr>
          <w:p>
            <w:pPr/>
            <w:r>
              <w:t>Dependentes</w:t>
            </w:r>
          </w:p>
        </w:tc>
      </w:tr>
      <w:tr>
        <w:tc>
          <w:tcPr>
            <w:tcW w:w="0" w:type="auto"/>
          </w:tcPr>
          <w:p>
            <w:pPr/>
            <w:r>
              <w:t>Funcionais</w:t>
            </w:r>
          </w:p>
        </w:tc>
        <w:tc>
          <w:tcPr>
            <w:tcW w:w="0" w:type="auto"/>
          </w:tcPr>
          <w:p>
            <w:pPr/>
            <w:r>
              <w:t>Amplitude de movimento, posição articular</w:t>
            </w:r>
          </w:p>
        </w:tc>
        <w:tc>
          <w:tcPr>
            <w:tcW w:w="0" w:type="auto"/>
          </w:tcPr>
          <w:p>
            <w:pPr/>
            <w:r>
              <w:t>Desempenho</w:t>
            </w:r>
          </w:p>
        </w:tc>
        <w:tc>
          <w:tcPr>
            <w:tcW w:w="0" w:type="auto"/>
          </w:tcPr>
          <w:p>
            <w:pPr/>
            <w:r>
              <w:t>Ligação cinemática</w:t>
            </w:r>
          </w:p>
        </w:tc>
      </w:tr>
      <w:tr>
        <w:tc>
          <w:tcPr>
            <w:tcW w:w="0" w:type="auto"/>
          </w:tcPr>
          <w:p>
            <w:pPr/>
            <w:r>
              <w:t>Construtivos</w:t>
            </w:r>
          </w:p>
        </w:tc>
        <w:tc>
          <w:tcPr>
            <w:tcW w:w="0" w:type="auto"/>
          </w:tcPr>
          <w:p>
            <w:pPr/>
            <w:r>
              <w:t>Espessuras, folgas, tolerâncias</w:t>
            </w:r>
          </w:p>
        </w:tc>
        <w:tc>
          <w:tcPr>
            <w:tcW w:w="0" w:type="auto"/>
          </w:tcPr>
          <w:p>
            <w:pPr/>
            <w:r>
              <w:t>Fabrico</w:t>
            </w:r>
          </w:p>
        </w:tc>
        <w:tc>
          <w:tcPr>
            <w:tcW w:w="0" w:type="auto"/>
          </w:tcPr>
          <w:p>
            <w:pPr/>
            <w:r>
              <w:t>Ajuste técnico</w:t>
            </w:r>
          </w:p>
        </w:tc>
      </w:tr>
    </w:tbl>
    <w:p>
      <w:pPr/>
      <w:r>
        <w:t>A tradução destes parâmetros em geometria é realizada por meio de relações explícitas entre medições e componentes do modelo.</w:t>
      </w:r>
    </w:p>
    <w:p>
      <w:pPr/>
      <w:r>
        <w:t>Tabela 4.6 — Mapeamento entre parâmetros antropométricos e elementos do modelo</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Comprimento da mão</w:t>
            </w:r>
          </w:p>
        </w:tc>
        <w:tc>
          <w:tcPr>
            <w:tcW w:w="0" w:type="auto"/>
          </w:tcPr>
          <w:p>
            <w:pPr/>
            <w:r>
              <w:t>Escala geral e comprimento dos dedos</w:t>
            </w:r>
          </w:p>
        </w:tc>
      </w:tr>
      <w:tr>
        <w:tc>
          <w:tcPr>
            <w:tcW w:w="0" w:type="auto"/>
          </w:tcPr>
          <w:p>
            <w:pPr/>
            <w:r>
              <w:t>Largura da palma</w:t>
            </w:r>
          </w:p>
        </w:tc>
        <w:tc>
          <w:tcPr>
            <w:tcW w:w="0" w:type="auto"/>
          </w:tcPr>
          <w:p>
            <w:pPr/>
            <w:r>
              <w:t>Volume da palma e espaçamento entre dedos</w:t>
            </w:r>
          </w:p>
        </w:tc>
      </w:tr>
      <w:tr>
        <w:tc>
          <w:tcPr>
            <w:tcW w:w="0" w:type="auto"/>
          </w:tcPr>
          <w:p>
            <w:pPr/>
            <w:r>
              <w:t>Comprimento dos dedos</w:t>
            </w:r>
          </w:p>
        </w:tc>
        <w:tc>
          <w:tcPr>
            <w:tcW w:w="0" w:type="auto"/>
          </w:tcPr>
          <w:p>
            <w:pPr/>
            <w:r>
              <w:t>Geometria das falanges</w:t>
            </w:r>
          </w:p>
        </w:tc>
      </w:tr>
      <w:tr>
        <w:tc>
          <w:tcPr>
            <w:tcW w:w="0" w:type="auto"/>
          </w:tcPr>
          <w:p>
            <w:pPr/>
            <w:r>
              <w:t>Circunferência do antebraço</w:t>
            </w:r>
          </w:p>
        </w:tc>
        <w:tc>
          <w:tcPr>
            <w:tcW w:w="0" w:type="auto"/>
          </w:tcPr>
          <w:p>
            <w:pPr/>
            <w:r>
              <w:t>Geometria do encaixe</w:t>
            </w:r>
          </w:p>
        </w:tc>
      </w:tr>
      <w:tr>
        <w:tc>
          <w:tcPr>
            <w:tcW w:w="0" w:type="auto"/>
          </w:tcPr>
          <w:p>
            <w:pPr/>
            <w:r>
              <w:t>Largura do punho</w:t>
            </w:r>
          </w:p>
        </w:tc>
        <w:tc>
          <w:tcPr>
            <w:tcW w:w="0" w:type="auto"/>
          </w:tcPr>
          <w:p>
            <w:pPr/>
            <w:r>
              <w:t>Interface palma-punho</w:t>
            </w:r>
          </w:p>
        </w:tc>
      </w:tr>
      <w:tr>
        <w:tc>
          <w:tcPr>
            <w:tcW w:w="0" w:type="auto"/>
          </w:tcPr>
          <w:p>
            <w:pPr/>
            <w:r>
              <w:t>Proporções falângicas</w:t>
            </w:r>
          </w:p>
        </w:tc>
        <w:tc>
          <w:tcPr>
            <w:tcW w:w="0" w:type="auto"/>
          </w:tcPr>
          <w:p>
            <w:pPr/>
            <w:r>
              <w:t>Relações cinemáticas dos mecanismos digitais</w:t>
            </w:r>
          </w:p>
        </w:tc>
      </w:tr>
    </w:tbl>
    <w:p>
      <w:pPr/>
      <w:r>
        <w:t>Este mapeamento constitui a base da modelação paramétrica, permitindo converter dados antropométricos em configurações geométricas e funcionais. Em termos práticos, a passagem de medição para geometria não deve ser entendida como uma transposição linear, mas como a definição de relações controladas: certos parâmetros regulam a escala geral, outros definem proporções locais e outros ainda atuam como restrições de consistência ou de fabricabilidade. Antes de qualquer implementação em código, torna-se necessário estabilizar três níveis: os dados de entrada, as relações entre parâmetros e os limites técnicos que condicionam a sua transformação em forma.</w:t>
      </w:r>
    </w:p>
    <w:p>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pPr>
      <w:r>
        <w:t>4.3 Modelação paramétrica em OpenSCAD</w:t>
      </w:r>
    </w:p>
    <w:p>
      <w:pPr/>
      <w:r>
        <w:t>A modelação paramétrica em OpenSCAD corresponde, nesta investigação, ao momento em que a estrutura definida na secção anterior passa de um quadro conceptual a um sistema operativo.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r>
        <w:t>A modelação paramétrica em OpenSCAD é, por isso, aqui entendida como uma abordagem em que a geometria resulta de regras explícitas, parâmetros definidos em código e relações de dependência entre componentes, em vez de edição manual isolada de formas. Para o desenvolvimento de próteses personalizadas de membro superior, esta lógica é particularmente relevante, pois permite tratar a prótese como uma família configurável de soluções, regenerável com base em novos dados antropométricos, requisitos funcionais e limites de fabrico. A literatura sobre modelação paramétrica aplicada a próteses e sobre CAD baseado em código converge precisamente nesta direção, associando este tipo de abordagem a maior rastreabilidade, repetibilidade e capacidade de automatização em fluxos de personalização digital (Machado et al., 2019 (#ref-machado-2019); Moreo, 2016 (#ref-moreo-2016); Romero et al., 2025 (#ref-da-silveira-romero-2025)).</w:t>
      </w:r>
    </w:p>
    <w:p>
      <w:pPr/>
      <w:r>
        <w:t>Ao contrário de ambientes centrados na manipulação gráfica direta, o OpenSCAD opera como uma especificação computacional do objeto. Essa característica é metodologicamente relevante para a presente investigação porque torna o modelo não apenas um resultado geométrico, mas também um artefacto explícito de projeto: um sistema em que se registam as relações entre entradas antropométricas, módulos geométricos, restrições construtivas e decisões formais. Neste sentido, a modelação baseada em código articula-se bem com uma perspetiva de Research Through Design, na medida em que o próprio modelo pode ser lido, revisto, testado e documentado como uma estrutura de conhecimento técnico.</w:t>
      </w:r>
    </w:p>
    <w:p>
      <w:pPr>
        <w:pStyle w:val="Heading3"/>
      </w:pPr>
      <w:r>
        <w:t>4.3.1 Estrutura técnica, parâmetros e restrições</w:t>
      </w:r>
    </w:p>
    <w:p>
      <w:pPr/>
      <w:r>
        <w:t>A estrutura técnica de um modelo paramétrico baseado em OpenSCAD pode ser compreendida como uma arquitetura em camadas. 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fabricabilidade. Esta organização permite controlar a personalização sem comprometer a coerência interna do sistema (Moreo, 2016 (#ref-moreo-2016); Nini et al., 2024 (#ref-nini-2024); Saldarriaga et al., 2024 (#ref-saldarriaga-2024)).</w:t>
      </w:r>
    </w:p>
    <w:p>
      <w:pPr/>
      <w:r>
        <w:t>Tabela 4.7 — Estrutura técnica em camadas de um modelo paramétrico em OpenSCAD para próteses personalizadas</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Entrada</w:t>
            </w:r>
          </w:p>
        </w:tc>
        <w:tc>
          <w:tcPr>
            <w:tcW w:w="0" w:type="auto"/>
          </w:tcPr>
          <w:p>
            <w:pPr/>
            <w:r>
              <w:t>Dados antropométricos e/ou dados de digitalização</w:t>
            </w:r>
          </w:p>
        </w:tc>
        <w:tc>
          <w:tcPr>
            <w:tcW w:w="0" w:type="auto"/>
          </w:tcPr>
          <w:p>
            <w:pPr/>
            <w:r>
              <w:t>Individualizar o modelo</w:t>
            </w:r>
          </w:p>
        </w:tc>
        <w:tc>
          <w:tcPr>
            <w:tcW w:w="0" w:type="auto"/>
          </w:tcPr>
          <w:p>
            <w:pPr/>
            <w:r>
              <w:t>Largura da palma, comprimentos digitais, perímetro do coto</w:t>
            </w:r>
          </w:p>
        </w:tc>
      </w:tr>
      <w:tr>
        <w:tc>
          <w:tcPr>
            <w:tcW w:w="0" w:type="auto"/>
          </w:tcPr>
          <w:p>
            <w:pPr/>
            <w:r>
              <w:t>Derivação geométrica</w:t>
            </w:r>
          </w:p>
        </w:tc>
        <w:tc>
          <w:tcPr>
            <w:tcW w:w="0" w:type="auto"/>
          </w:tcPr>
          <w:p>
            <w:pPr/>
            <w:r>
              <w:t>Parâmetros calculados a partir das entradas</w:t>
            </w:r>
          </w:p>
        </w:tc>
        <w:tc>
          <w:tcPr>
            <w:tcW w:w="0" w:type="auto"/>
          </w:tcPr>
          <w:p>
            <w:pPr/>
            <w:r>
              <w:t>Traduzir medidas em relações formais</w:t>
            </w:r>
          </w:p>
        </w:tc>
        <w:tc>
          <w:tcPr>
            <w:tcW w:w="0" w:type="auto"/>
          </w:tcPr>
          <w:p>
            <w:pPr/>
            <w:r>
              <w:t>Comprimentos segmentares, espessuras, offsets</w:t>
            </w:r>
          </w:p>
        </w:tc>
      </w:tr>
      <w:tr>
        <w:tc>
          <w:tcPr>
            <w:tcW w:w="0" w:type="auto"/>
          </w:tcPr>
          <w:p>
            <w:pPr/>
            <w:r>
              <w:t>Comportamento funcional</w:t>
            </w:r>
          </w:p>
        </w:tc>
        <w:tc>
          <w:tcPr>
            <w:tcW w:w="0" w:type="auto"/>
          </w:tcPr>
          <w:p>
            <w:pPr/>
            <w:r>
              <w:t>Parâmetros ligados ao uso e ao mecanismo</w:t>
            </w:r>
          </w:p>
        </w:tc>
        <w:tc>
          <w:tcPr>
            <w:tcW w:w="0" w:type="auto"/>
          </w:tcPr>
          <w:p>
            <w:pPr/>
            <w:r>
              <w:t>Regular movimento, montagem e desempenho</w:t>
            </w:r>
          </w:p>
        </w:tc>
        <w:tc>
          <w:tcPr>
            <w:tcW w:w="0" w:type="auto"/>
          </w:tcPr>
          <w:p>
            <w:pPr/>
            <w:r>
              <w:t>Amplitude articular, espaço para tendões, eixos</w:t>
            </w:r>
          </w:p>
        </w:tc>
      </w:tr>
      <w:tr>
        <w:tc>
          <w:tcPr>
            <w:tcW w:w="0" w:type="auto"/>
          </w:tcPr>
          <w:p>
            <w:pPr/>
            <w:r>
              <w:t>Restrições produtivas</w:t>
            </w:r>
          </w:p>
        </w:tc>
        <w:tc>
          <w:tcPr>
            <w:tcW w:w="0" w:type="auto"/>
          </w:tcPr>
          <w:p>
            <w:pPr/>
            <w:r>
              <w:t>Limites de fabrico e consistência</w:t>
            </w:r>
          </w:p>
        </w:tc>
        <w:tc>
          <w:tcPr>
            <w:tcW w:w="0" w:type="auto"/>
          </w:tcPr>
          <w:p>
            <w:pPr/>
            <w:r>
              <w:t>Garantir fabricabilidade e robustez</w:t>
            </w:r>
          </w:p>
        </w:tc>
        <w:tc>
          <w:tcPr>
            <w:tcW w:w="0" w:type="auto"/>
          </w:tcPr>
          <w:p>
            <w:pPr/>
            <w:r>
              <w:t>Espessura mínima, folgas, raios mínimos</w:t>
            </w:r>
          </w:p>
        </w:tc>
      </w:tr>
    </w:tbl>
    <w:p>
      <w:pPr/>
      <w:r>
        <w:t>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de encaixe. A modularidade tem aqui duas vantagens diretas: reduz a opacidade do sistema e facilita a regeneração controlada de variantes. Num contexto protésico, isto permite que alterações nos parâmetros de entrada não se propaguem de forma arbitrária a todo o modelo, mas sim segundo relações previamente explícitas e localizáveis (Machado et al., 2019 (#ref-machado-2019); Romero et al., 2025 (#ref-da-silveira-romero-2025)).</w:t>
      </w:r>
    </w:p>
    <w:p>
      <w:pPr/>
      <w:r>
        <w:t>Outro aspeto central é a integração de restrições diretamente na lógica paramétrica. Em vez de tratar a verificação de fabricabilidade como etapa exclusivamente posterior, o modelo pode incorporar, desde o início, limites mínimos de espessura, folgas entre elementos móveis, margens de tolerância e verificações condicionais para evitar combinações inválidas. Este princípio é particularmente relevante em próteses produzidas por fabrico aditivo, nas quais pequenas alterações dimensionais podem comprometer a montagem, a resistência ou a imprimibilidade. Estudos sobre modelação paramétrica de dedos protésicos e sockets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r>
        <w:t>Finalmente, 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contemporânea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Heading3"/>
      </w:pPr>
      <w:r>
        <w:t>4.3.2 Análise crítica da abordagem</w:t>
      </w:r>
    </w:p>
    <w:p>
      <w:pPr/>
      <w:r>
        <w:t>A adoção do OpenSCAD apresenta vantagens metodológicas claras para este projeto. A primeira é a transparência. Como o modelo é definido por código, as relações entre variáveis, dependências e restrições ficam mais explícitas do que em muitos fluxos CAD baseados apenas em operações gráficas. Esta condição favorece a rastreabilidade, a revisão crítica e a reprodutibilidade, qualidades particularmente importantes num trabalho académico em que o modelo paramétrico não é apenas um instrumento de produção formal, mas também um objeto de análise (Machado et al., 2019 (#ref-machado-2019)).</w:t>
      </w:r>
    </w:p>
    <w:p>
      <w:pPr/>
      <w:r>
        <w:t>Uma segunda vantagem reside na afinidade entre a modelação baseada em código, a automação e a partilha aberta. A literatura mostra que sistemas como o OpenSCAD articulam-se bem com lógicas de configuração web, de geração repetida de variantes e de circulação de ficheiros-fonte em comunidades distribuídas. O facto de um modelo poder ser exposto por meio de parâmetros, ligado a interfaces HTML e convertido em resultados fabricáveis, sem exigir edição direta do código a cada iteração, constitui um argumento forte para a sua utilização em contextos de personalização acessível (Nilsiam &amp; Pearce, 2017 (#ref-nilsiam-2017)). Para um projeto que pretende aproximar parametrização, interface e apoio computacional, esta característica é especialmente relevante.</w:t>
      </w:r>
    </w:p>
    <w:p>
      <w:pPr/>
      <w:r>
        <w:t>Contudo, a abordagem apresenta limitações importantes. A primeira é a barreira cognitiva associada à programação. Mesmo quando o modelo é modular e bem estruturado, a edição direta em OpenSCAD exige raciocínio abstrato sobre transformações geométricas, dependências paramétricas e operações booleanas. Por essa razão, a utilidade do OpenSCAD aumenta quando o sistema é mediado por camadas intermediárias de interface ou por procedimentos que exponham apenas os parâmetros realmente necessários à configuração. A segunda limitação é geométrica: a lógica de Constructive Solid Geometry favorece peças mecânicas, modulares e relativamente discretas, mas tende a ser menos fluida para superfícies orgânicas complexas ou interfaces anatómicas altamente irregulares, sobretudo quando comparada com ferramentas mais orientadas para superfícies livres.</w:t>
      </w:r>
    </w:p>
    <w:p>
      <w:pPr/>
      <w:r>
        <w:t>Há ainda uma limitação na interoperabilidade. A literatura comparativa sobre OpenSCAD sublinha que o ecossistema está fortemente orientado para formatos tesselados e para fluxos de fabrico baseados em malhas, o que pode dificultar a integração com certos circuitos CAD industriais ou com ambientes que exijam preservação completa da informação paramétrica em formatos normalizados (Machado et al., 2019 (#ref-machado-2019)). 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r>
        <w:t>Por fim, importa reconhecer que a robustez da abordagem não se esgota na geração da geometria. Mesmo quando a lógica paramétrica é clara e as restrições estão integradas, a validação continua a depender da verificação no slicer, do controlo dimensional, de eventual simulação estrutural e da observação do comportamento da peça em protótipo. 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criticabilidade que justifica a sua escolha como base para a modelação paramétrica aqui desenvolvida.</w:t>
      </w:r>
    </w:p>
    <w:p>
      <w:pPr>
        <w:pStyle w:val="Heading3"/>
      </w:pPr>
      <w:r>
        <w:t>4.4 Iterações, refinamento e discussão intermédia</w:t>
      </w:r>
    </w:p>
    <w:p>
      <w:pPr/>
      <w: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r>
        <w:t>À medida que a estrutura geral se consolidou, o trabalho iterativo deslocou-se para a decomposição do sistema em módulos relativamente autónomos. Esta modularização permitiu isolar problemas, testar componentes localmente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Mais do que uma escolha organizativa do código, a modularização funcionou como uma clarificação progressiva da lógica do objeto, aproximando o modelo de uma estrutura configurável, mais disciplinada e compatível com futuros contextos de interface ou de configuração assistida (Nilsiam &amp; Pearce, 2017 (#ref-nilsiam-2017)).</w:t>
      </w:r>
    </w:p>
    <w:p>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r>
        <w:t>Outro eixo central do processo prendeu-se à relação entre personalização e fabricabilidade. Nem toda a variação admissível do ponto de vista formal mostrou-se viável do ponto de vista produtivo. Certas configurações geravam geometrias demasiado finas, folgas inadequadas, transições abruptas ou zonas vulneráveis no contexto da impressão 3D.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r>
        <w:t>A dimensão funcional introduziu um nível adicional de exigência. Em sistemas configuráveis para próteses, a coerência geométrica e a imprimibilidade não bastam para assegurar a adequação ao uso. A articulação entre segmentos, o posicionamento relativo dos mecanismos, a distribuição de massa, as zonas de esforço e a amplitude de movimento influenciam diretamente o desempenho esperado do objeto. Por essa razão, várias revisões do modelo implicaram reajustes que não se limitavam a problemas formais, mas também à necessidade de manter um equilíbrio plausível entre adaptação dimensional, comportamento funcional e viabilidade material. O refinamento correspondeu, assim, a uma negociação contínua entre a simplificação paramétrica e a exigência prototípica.</w:t>
      </w:r>
    </w:p>
    <w:p>
      <w:pPr/>
      <w: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Bdr>
          <w:bottom w:val="single" w:sz="6" w:space="1" w:color="808080"/>
        </w:pBdr>
      </w:pPr>
    </w:p>
    <w:p>
      <w:pPr>
        <w:pStyle w:val="Heading2"/>
      </w:pPr>
      <w:r>
        <w:t>Capítulo 5 — Plataforma Web e Integração Digital</w:t>
      </w:r>
    </w:p>
    <w:p>
      <w:pPr>
        <w:pStyle w:val="Heading3"/>
      </w:pPr>
      <w:r>
        <w:t>5.1 Enquadramento conceptual e perfis de utilizador</w:t>
      </w:r>
    </w:p>
    <w:p>
      <w:pPr/>
      <w:r>
        <w:t>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Esta leitura é coerente com a literatura sobre personalização digital e mass personalisation, que descreve os configuradores como infraestruturas que expõem uma parte controlada do espaço de variação, permitindo adaptar produtos sem comprometer a coerência interna do modelo-base (Ozdemir, Verlinden, &amp; Cascini, 2022; Stralen, 2018 (#ref-stralen-2018)).</w:t>
      </w:r>
    </w:p>
    <w:p>
      <w:pPr/>
      <w:r>
        <w:t>Do ponto de vista funcional, a plataforma foi concebida para suportar um processo de personalização progressiva,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projetual ou experimental. Em vez de exigir que cada interveniente compreenda a estrutura interna do ficheiro OpenSCAD, o sistema disponibiliza uma camada de interação mais acessível, baseada em controlos paramétricos, pré-visualização tridimensional e gestão de configurações. Tal opção aproxima-se de abordagens recentes em plataformas de personalização protésica, nas quais a interface funciona como meio de tornar observável, configurável e progressivamente verificável um processo que, de outro modo, permaneceria dependente de software especializado ou de mediação exclusivamente técnica (Peixoto et al., 2025 (#ref-peixoto-2025)).</w:t>
      </w:r>
    </w:p>
    <w:p>
      <w:pPr/>
      <w:r>
        <w:t>Neste sentido, a plataforma deve ser entendida como um sistema sociotécnico, e não apenas como um artefacto de software. A personalização deixa de ser concebida como um ato individual e isolado e passa a ser enquadrada como um processo distribuído, no qual diferentes agentes intervêm com graus distintos de responsabilidade e de controlo. 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r>
        <w:t>A definição dos perfis de utilizador corresponde, por isso, a uma opção conceptual central. O sistema organiza-se em três perfis principais: administrador, técnico e utilizador. O perfil de administrador assegura a gestão global da plataforma, incluindo a criação de contas, a definição de permissões e a supervisão do ecossistema de configurações. O perfil técnico, pensado para profissionais intermédios, como protésicos,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interações delimitadas pelo sistema. Esta segmentação traduz uma lógica de controlo de acesso baseada em papéis, procurando equilibrar autonomia, segurança, inteligibilidade e responsabilidade distribuída.</w:t>
      </w:r>
    </w:p>
    <w:p>
      <w:pPr/>
      <w:r>
        <w:t>Importa sublinhar que esta diferenciação não se limita a uma decisão administrativa. Ela participa diretamente na forma como a plataforma enquadra a personalização. 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r>
        <w:t>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mas também em reconfigurar o próprio processo de personalização como uma sequência assistida, rastreável e criticável. É nessa articulação entre configurabilidade, mediação da interface e organização por perfis que a secção seguinte, dedicada à arquitetura geral do sistema, encontra a sua base conceptual.</w:t>
      </w:r>
    </w:p>
    <w:p>
      <w:pPr>
        <w:pStyle w:val="Heading3"/>
      </w:pPr>
      <w:r>
        <w:t>5.2 Arquitetura geral do sistema</w:t>
      </w:r>
    </w:p>
    <w:p>
      <w:pPr/>
      <w:r>
        <w:t>A arquitetura geral do sistema foi concebida como uma estrutura em camadas, organizada para separar a interface, a lógica de aplicação, a persistência de dados e os serviços complementares de apoio à configuração.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r>
        <w:t>No lado do cliente, a aplicação funciona no navegador e integra os componentes responsáveis pela interface, pela recolha e edição de parâmetros, pela gestão do estado da sessão e pela visualização local dos modelos. No lado do servidor, um serviço desenvolvido em Node.js com Express assegura o fornecimento de ficheiros estáticos, o processamento de pedidos à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e “retaguarda”, mas sim a uma estratégia de contenção da complexidade e de delimitação explícita de responsabilidades.</w:t>
      </w:r>
    </w:p>
    <w:p>
      <w:pPr/>
      <w: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projetual. Deste modo, a base de dados não funciona apenas como repositório administrativo, mas também como infraestrutura que sustenta a continuidade, o versionamento prático e a rastreabilidade das variantes produzidas.</w:t>
      </w:r>
    </w:p>
    <w:p>
      <w:pPr/>
      <w:r>
        <w:t>Um dos aspetos mais relevantes da arquitetura é que a renderização geométrica não é executada no servidor. Em vez disso, o cálculo e a geração da geometria tridimensional ocorrem localmente no navegador, por meio de um processo baseado em OpenSCAD, compilado para WebAssembly e executado em um Web Worker. Esta decisão reduz a carga computacional do backend,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r>
        <w:t>No plano da segurança e do controlo de acesso, a arquitetura incorpora autenticação baseada em JWT, utilização de tokens de atualização em cookies HttpOnly, validação de dados, limitação de pedidos e bloqueio explícito de ficheiros sensíveis. 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pPr>
      <w:r>
        <w:t>5.3 Integração OpenSCAD via WebAssembly (WASM)</w:t>
      </w:r>
    </w:p>
    <w:p>
      <w:pPr/>
      <w:r>
        <w:t>A integração do OpenSCAD por meio de WebAssembly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r>
        <w:t>Em termos operacionais, o processo organiza-se em uma cadeia relativamente clara. Os ficheiros .scad, que contêm a definição algorítmica do modelo, e os conjuntos de parâmetros produzidos pela interface são carregados no frontend. Esses elementos são depois encaminhados para um Web Worker, isto é, um processo separado da interface principal, capaz de executar tarefas pesadas em segundo plano. Nesse worker, a versão compilada do OpenSCAD em WASM interpreta o código, aplica os parâmetros recebidos e gera a geometria tridimensional correspondente. O resultado é então devolvido ao ambiente de visualização no navegador, onde o utilizador pode observar os efeitos das alterações introduzidas sem sair da plataforma nem recorrer a software CAD instalado localmente. Esta cadeia de parâmetros -&gt; worker -&gt; OpenSCAD em WASM -&gt; geometria visível é central para o funcionamento do sistema, pois liga a edição, o cálculo e o feedback formal numa sequência rastreável.</w:t>
      </w:r>
    </w:p>
    <w:p>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protésicos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o faz dentro dos limites computacionais e operacionais do navegador. O valor da solução reside, por isso, menos numa promessa de desempenho absoluto e mais na capacidade de tornar executável, em ambiente web, um núcleo paramétrico explícito e criticável.</w:t>
      </w:r>
    </w:p>
    <w:p>
      <w:pPr>
        <w:pStyle w:val="Heading3"/>
      </w:pPr>
      <w:r>
        <w:t>5.4 Estrutura funcional da plataforma</w:t>
      </w:r>
    </w:p>
    <w:p>
      <w:pPr/>
      <w:r>
        <w:t>A estrutura funcional da plataforma organiza-se em um conjunto de módulos interligados que suportam o ciclo completo de configuração paramétrica: seleção do modelo, introdução e edição de parâmetros, visualização tridimensional, sugestões assistidas por IA, gestão de configurações e administração multiutilizador. Esta organização modular não serve apenas para distribuir funcionalidades; também torna o processo de personalização legível e sequencial. 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feedback com decisão (Ozdemir et al., 2022 (#ref-ozdemir-2022); Peixoto et al., 2025 (#ref-peixoto-2025)).</w:t>
      </w:r>
    </w:p>
    <w:p>
      <w:pPr/>
      <w:r>
        <w:t>O ponto de entrada do sistema é o módulo de seleção de modelos. Cada modelo é descrito por um ficheiro de configuração que inclui o identificador, a descrição, o ficheiro OpenSCAD associado e a lista de parâmetros editáveis. A partir dessa estrutura, a interface consegue gerar dinamicamente os controlos de edição necessários, como sliders, campos numéricos, caixas de seleção ou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r>
        <w:t>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STL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r>
        <w:t>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human-in-the-loop assumida no projeto.</w:t>
      </w:r>
    </w:p>
    <w:p>
      <w:pPr/>
      <w:r>
        <w:t>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Funcionalmente, este módulo transforma a configuração de um ato momentâneo numa sequência acumulativa e rastreável,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da plataforma não se esgota na manipulação de parâmetros e na visualização de formas; inclui também a gestão das relações entre agentes, das responsabilidades e dos níveis de intervenção. Neste sentido, a aplicação obtém sugestões paramétricas através do servidor, que se comunica com serviços externos por intermédio de um proxy seguro¹, mas enquadra essa capacidade dentro de uma estrutura funcional mais ampla, em que configuração, supervisão e persistência coexistem como partes de um mesmo sistema operativo.</w:t>
      </w:r>
    </w:p>
    <w:p>
      <w:pPr/>
      <w: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r>
        <w:t>A biblioteca de modelos integrada na plataforma confirma esta lógica modular. Em vez de tratar a prótese como um único ficheiro estático, o sistema organiza diferentes famílias de mãos protésicas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r>
        <w:t>No caso do Paraglider Hand, também conhecido como Flexible Flyer, a integração partiu de uma mão mecânica acionada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r>
        <w:t>Em conjunto, estes casos mostram que a escalabilidade da plataforma depende menos da quantidade de modelos disponíveis e mais da existência de uma gramática comum de integração. Cada nova mão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Heading3"/>
      </w:pPr>
      <w:r>
        <w:t>5.5 Gestão de parâmetros, versões e escalabilidade</w:t>
      </w:r>
    </w:p>
    <w:p>
      <w:pPr/>
      <w:r>
        <w:t>A gestão de parâmetros constitui uma das condições centrais para transformar um modelo paramétrico em 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r>
        <w:t>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A segunda é a reconfigurabilidade do próprio sistema: a adição, remoção ou ajuste de parâmetros pode ser realizada sem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w:t>
      </w:r>
    </w:p>
    <w:p>
      <w:pPr/>
      <w: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Embora esta solução ainda não corresponda a um sistema de versionamento completo nos moldes tradicionais do desenvolvimento de software, já suporta uma função projetualmente relevante: acompanhar o processo iterativo de configuração, preservar variantes e permitir a comparação entre estados sucessivos do mesmo artefacto.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r>
        <w:t>Do ponto de vista funcional, a persistência dessas configurações em estruturas JSON associadas a modelos e utilizadores reforça a continuidade entre interação, revisão e reutilização. O sistema deixa de operar apenas em tempo real e passa a acumular histórico operativo, possibilitando retomar soluções anteriores, documentar alternativas exploradas e preparar comparações futuras entre versões. Esta forma de versionamento prático é coerente com o caráter prototípico da plataforma: ainda não pretende substituir mecanismos mais sofisticados de gestão de revisões, mas fornece uma base suficiente para sustentar o acompanhamento iterativo do desenvolvimento e a análise reflexiva do processo.</w:t>
      </w:r>
    </w:p>
    <w:p>
      <w:pPr/>
      <w:r>
        <w:t>Quanto à escalabilidade, a plataforma beneficia de uma arquitetura modular e orientada para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respetivo registo em models-config.json, o que evidencia uma forma de escalabilidade baseada menos na duplicação de código e mais na extensão configurável.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r>
        <w:t>Todavia, esta escalabilidade deve ser analisada criticamente. O recurso ao SQLite é adequado a um protótipo funcional com baixa ou média concorrência, mas poderá revelar limitações em cenários de utilização mais intensiva, com múltiplos utilizadores simultâneos, maior volume de configurações ou necessidades mais exigentes de auditoria e sincronização. De forma semelhante, a renderização local via WASM, embora eficaz em muitos contextos, depende do desempenho do dispositivo do utilizador, o que introduz variabilidade na experiência e impõe limites ao crescimento indiscriminado da complexidade geométrica. Assim, a escalabilidade da plataforma não pode ser reduzida à possibilidade de adicionar funcionalidades ou modelos; envolve também a capacidade de sustentar esse crescimento sem perder legibilidade, desempenho, segurança e manutenibilidade.</w:t>
      </w:r>
    </w:p>
    <w:p>
      <w:pPr/>
      <w:r>
        <w:t>Neste sentido, a secção confirma uma conclusão importante para o projeto: a gestão de parâmetros, de configurações e de expansão futura deve ser entendida como parte integrante da própria lógica de design da plataforma. Não se trata apenas de resolver problemas infraestruturais posteriores, mas de reconhecer que a configurabilidade, a persistência e o crescimento controlado são condições para que a personalização paramétrica permaneça tecnicamente viável e metodologicamente rastreável ao longo do desenvolvimento.</w:t>
      </w:r>
    </w:p>
    <w:p>
      <w:pPr>
        <w:pBdr>
          <w:bottom w:val="single" w:sz="6" w:space="1" w:color="808080"/>
        </w:pBdr>
      </w:pPr>
    </w:p>
    <w:p>
      <w:pPr>
        <w:pStyle w:val="Heading2"/>
      </w:pPr>
      <w:r>
        <w:t>Capítulo 6 — Integração da Inteligência Artificial</w:t>
      </w:r>
    </w:p>
    <w:p>
      <w:pPr>
        <w:pStyle w:val="Heading3"/>
      </w:pPr>
      <w:r>
        <w:t>6.1 Papel da IA no sistema proposto</w:t>
      </w:r>
    </w:p>
    <w:p>
      <w:pPr/>
      <w:r>
        <w:t>A integração da inteligência artificial no sistema proposto deve ser enquadrada com precisão. A literatura recente mostra que a IA já ocupa um lugar relevante no domínio das próteses, mas esse lugar permanece concentrado sobretudo em tarefas de controlo, interpretação de biosinais, reconhecimento de gestos e adaptação funcional, e menos na estruturação integral de fluxos de personalização paramétrica. Revisões sobre próteses de membro superior e sobre próteses e ortóteses indicam que a aprendizagem automática é aplicada principalmente à classificação de sinais EMG, à inferência de intenção motora e à melhoria do desempenho operativo do dispositivo (Choo e Chang, 2023; Terrazas-Rodas e Carrión-Pérez, 2022; Hachoumi, Laabidi e Eddabbah, 2026; Batista, Vieira e Gaspar, 2025). Em contrapartida, continuam pouco consolidadas as abordagens que articulam, no mesmo sistema, a entrada antropométrica, o modelo paramétrico explícito, a sugestão assistida de parâmetros e a supervisão técnica. Esta lacuna é central para a presente investigação, pois permite situar a proposta não como repetição do estado da arte, mas como tentativa de ligação entre componentes que a literatura tende a desenvolver de forma fragmentada.</w:t>
      </w:r>
    </w:p>
    <w:p>
      <w:pPr/>
      <w:r>
        <w:t>Neste enquadramento, o papel da IA não consiste em substituir o processo de projeto, a lógica geométrica nem a validação técnica. A sua função é a de uma camada complementar de apoio à configuração, operando sobre uma base paramétrica já definida.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Estudos sobre próteses paramétricas para diferentes níveis de amputação da mão, sobre customização de dedos protésicos por modelação paramétrica e sobre sockets personalizados para próteses transradiais demonstram que a personalização pode ser estruturada por meio de modelos explícitos e fluxos CAD/CAM ajustáveis (da Silveira Romero et al., 2025 (#ref-da-silveira-romero-2025); Lim et al., 2018 (#ref-lim-2018); Saldarriaga et al., 2024 (#ref-saldarriaga-2024)). O sistema aqui proposto parte precisamente desta premissa: a geometria não é gerada de forma opaca por um modelo autónomo, mas sim por um modelo paramétrico explícito, definido em OpenSCAD e manipulável por meio de parâmetros rastreáveis.</w:t>
      </w:r>
    </w:p>
    <w:p>
      <w:pPr/>
      <w: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abordagens data-driven orientadas a melhorar a adaptação, o conforto e a adequação estrutural, sem eliminar a necessidade de interpretação humana (Gu et al., 2024 (#ref-gu-2024)). Em termos projetuais, a IA funciona como instrumento de apoio à decisão e à iteração: propõe pontos de partida, ajuda a comparar cenários e acelera os ciclos de teste, sem substituir a estrutura técnica do sistema. Entre os antecedentes mais próximos desta lógica encontram-se trabalhos que combinam personalização anatómica, modelação paramétrica, fabrico aditivo e componentes inteligentes, como o estudo de Romero et al. (2025) (#ref-da-silveira-romero-2025), bem como quadros de otimização estrutural orientados por dados anatómicos e constrangimentos de adaptação, como o proposto por Gu et al. (2024) (#ref-gu-2024).</w:t>
      </w:r>
    </w:p>
    <w:p>
      <w:pPr/>
      <w: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a rastreabilidade entre a entrada, a sugestão e o resultado geométrico. Em vez de encerrar o processo num modelo generativo pouco transparente, o sistema mantém a IA numa posição assistiva e supervisionada: sugere, mas não determina autonomamente; apoia, mas não valida; acelera, mas não substitui o julgamento técnico. Esta opção é particularmente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assim, menos na promessa de automatização total e mais na sua capacidade de reforçar um processo de personalização já estruturado por lógica paramétrica explícita, por requisitos de fabrico e por responsabilidade humana.</w:t>
      </w:r>
    </w:p>
    <w:p>
      <w:pPr>
        <w:pStyle w:val="Heading3"/>
      </w:pPr>
      <w:r>
        <w:t>6.2 IA na parametrização, personalização e apoio à decisão</w:t>
      </w:r>
    </w:p>
    <w:p>
      <w:pPr/>
      <w:r>
        <w:t>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Neste enquadramento, a IA não elimina a lógica determinística do modelo paramétrico; antes, aumenta a sua operabilidade, ajudando a propor intervalos plausíveis, combinações coerentes entre variáveis e pontos de partida mais ajustados ao caso específico.</w:t>
      </w:r>
    </w:p>
    <w:p>
      <w:pPr/>
      <w:r>
        <w:t>No plano da personalização, esta mediação é importante porque a adaptação de uma prótese não se reduz ao escalonamento uniforme da forma. A literatura indica que diferentes parâmetros podem ter de ser controlados de forma independente para respeitar as proporções anatómicas, o conforto, a mobilidade e os requisitos de montagem. O estudo de Lim et al. (2018) (#ref-lim-2018), por exemplo, demonstra que o comprimento e a largura de um dedo protésico não devem ser ajustados como se fossem variáveis que variam de forma linear e proporcional, reforçando a necessidade de parametrizações mais finas do que simples operações de escala. De forma convergente, Gu et al. (2024) (#ref-gu-2024) mostram que abordagens data-driven podem apoiar a adaptação estrutural e a melhoria da vestibilidade, sugerindo que métodos inteligentes podem ser úteis para antecipar as relações entre geometria, desempenho e conforto. Para o sistema proposto, isto significa que a IA pode funcionar como uma camada de inferência preliminar sobre um espaço paramétrico já estruturado, e não como um gerador autónomo de soluções.</w:t>
      </w:r>
    </w:p>
    <w:p>
      <w:pPr/>
      <w: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r>
        <w:t>É por isso que, nesta investigação, a personalização assistida por IA deve ser entendida como uma prática de human-in-the-loop. O sistema não procura substituir o protésico, o designer ou o utilizador informado, mas sim ampliar a sua capacidade de análise e de exploração. A IA pode sugerir configurações iniciais, organizar alternativas, sinalizar dependências entre parâmetros e tornar mais legíveis certas consequências projetuais; 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Heading3"/>
      </w:pPr>
      <w:r>
        <w:t>6.3 Validação antropométrica assistida por IA no sistema</w:t>
      </w:r>
    </w:p>
    <w:p>
      <w:pPr/>
      <w:r>
        <w:t>A validação antropométrica assistida por IA realizada no sistema deve ser entendida como validação interna de plausibilidade e de coerência paramétrica, não como validação clínica da prótese final. O objetivo foi verificar se uma pessoa sem conhecimento técnico de medições da mão poderia descrever um caso em linguagem comum e obter, como ponto de partida, um conjunto de parâmetros anatómica e tecnicamente plausível para o modelo Flexy Beast. Esta distinção é metodologicamente essencial: a plataforma consegue testar conformidade com o esquema, intervalos declarados, proporcionalidade digital e coerência de lateralidade, mas não consegue, por si só, provar conforto, segurança, desempenho funcional ou adequação terapêutica.</w:t>
      </w:r>
    </w:p>
    <w:p>
      <w:pPr/>
      <w:r>
        <w:t>O ensaio foi estruturado a partir da cadeia funcional implementada na plataforma: descrição livre do caso, construção do pedido no frontend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r>
        <w:t>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O quinto foi a lateralidade em casos de amputação unilateral, verificando se o parâmetro de espelhamento produzia a mão do lado amputado e não uma cópia do lado medido.</w:t>
      </w:r>
    </w:p>
    <w:p>
      <w:pPr/>
      <w:r>
        <w:t>O primeiro conjunto experimental usou cinco perfis sintéticos descritos apenas por indicadores populacionais indiretos, como idade, sexo, altura, peso, país, envergadura ou constituição física, sem qualquer medição direta da mão. Este cenário é relevante porque corresponde ao caso de menor literacia técnica: o utilizador não sabe medir a mão com rigor, mas consegue fornecer informação demográfica geral. Nas cinco situações, a IA produziu valores dentro dos limites do modelo, manteve a ordem anatómica dos dedos e gerou dimensões compatíveis com a idade e a constituição descritas. A redução espontânea de parâmetros de hardware num perfil infantil também mostrou que o modelo de linguagem usou as legendas do esquema, e não apenas os nomes técnicos dos parâmetros.</w:t>
      </w:r>
    </w:p>
    <w:p>
      <w:pPr/>
      <w:r>
        <w:t>O segundo conjunto experimental avaliou três níveis de riqueza de entrada em cenários de amputação unilateral. Num caso com medições completas da mão intacta, os valores fornecidos foram preservados de forma literal e o sistema sugeriu a mão oposta. 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Este resultado é relevante porque mostra que a IA consegue degradar o comportamento de forma gradual: usa medições diretas quando existem, ancora estimativas em dados parciais e recorre a normas populacionais quando só há descrição geral.</w:t>
      </w:r>
    </w:p>
    <w:p>
      <w:pPr/>
      <w:r>
        <w:t>Os resultados devem, contudo, ser lidos com cautela. A execução documentada corresponde a uma amostra representativa, não a uma caracterização estatística completa da distribuição de saídas. A repetição do mesmo perfil produziu variações pequenas, na ordem de poucos milímetros, preservando os invariantes anatómicos e os limites do modelo; ainda assim, essa variabilidade confirma que a componente de IA é estocástica. Também se observou uma forma de variabilidade estrutural: em algumas execuções, certos parâmetros de hardware foram emitidos explicitamente; noutras, foram omitidos, deixando o valor corrente do modelo. Ambas as respostas são aceitáveis no contrato atual, mas reforçam a necessidade de avaliar propriedades invariantes, e não valores exatos isolados.</w:t>
      </w:r>
    </w:p>
    <w:p>
      <w:pPr/>
      <w:r>
        <w:t>A principal fragilidade identificada prende-se com a lateralidade. Embora os ensaios tenham produzido o lado correto, a regra de espelhamento foi inferida pelo modelo a partir da linguagem natural, e não imposta explicitamente no pedido. Esta situação é aceitável como evidência preliminar de capacidade inferencial, mas é insuficiente como salvaguarda de um parâmetro crítico: uma prótese gerada para o lado errado é inutilizável e o erro pode não ser imediatamente evidente para um utilizador não especializado. Por isso, a evolução do sistema deve incluir uma instrução explícita sobre mão intacta, lado amputado e espelhamento, bem como validação no servidor por esquema JSON e reenvio automático do pedido quando a saída não cumprir o contrato esperado.</w:t>
      </w:r>
    </w:p>
    <w:p>
      <w:pPr/>
      <w:r>
        <w:t>A principal conclusão desta validação é que a IA pode cumprir uma função útil de acessibilidade paramétrica: transformar descrições incompletas e não técnicas em pontos de partida editáveis, coerentes e auditáveis. No entanto, a sua utilidade depende da arquitetura que a contém. A sugestão só é metodologicamente defensável porque está ancorada no esquema do modelo, limitada por intervalos, filtrada pela interface e sujeita a revisão humana. 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Heading3"/>
      </w:pPr>
      <w:r>
        <w:t>6.4 Ajuste, validação e limitações éticas e técnicas</w:t>
      </w:r>
    </w:p>
    <w:p>
      <w:pPr/>
      <w:r>
        <w:t>A introdução de IA num sistema deste tipo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Por essa razão, as saídas da IA devem ser entendidas como hipóteses operativas sujeitas a validação posterior, e não como prescrições definitivas.</w:t>
      </w:r>
    </w:p>
    <w:p>
      <w:pPr/>
      <w: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no próprio sistema: limites paramétricos, validação de intervalos, verificação de coerência entre módulos, comparação entre alternativas e supervisão humana capaz de identificar quando uma sugestão é tecnicamente infundada ou insuficientemente justificada. Esta necessidade de enquadramento crítico é coerente com a literatura sobre explicabilidade e responsabilidade no design assistido por IA, que sublinha a importância de não tratar o modelo algorítmico como uma caixa-preta autojustificada (Panchal et al., 2019 (#ref-panchal-2019); Yüksel et al., 2023 (#ref-yuksel-2023)).</w:t>
      </w:r>
    </w:p>
    <w:p>
      <w:pPr/>
      <w:r>
        <w:t>As limitações éticas são igualmente centrais. Num domínio associado a dispositivos personalizados e potencialmente sensíveis, importa evitar a recolha excessiva de dados, a exposição desnecessária de informação pessoal e a falsa perceção de objetividade algorítmica. Mesmo quando o sistema trabalha com dados antropométricos não clínicos ou em cenários experimentais, a sua arquitetura deve assumir princípios de minimização de dados, controlo de acesso e transparência quanto ao papel efetivo da IA. O utilizador deve compreender que está perante um sistema de apoio à decisão e não perante uma autoridade clínica autónoma. Esta clareza é essencial para evitar deslocamentos indevidos de responsabilidade e definir corretamente o escopo da ferramenta.</w:t>
      </w:r>
    </w:p>
    <w:p>
      <w:pPr/>
      <w: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Bdr>
          <w:bottom w:val="single" w:sz="6" w:space="1" w:color="808080"/>
        </w:pBdr>
      </w:pPr>
    </w:p>
    <w:p>
      <w:pPr>
        <w:pStyle w:val="Heading2"/>
      </w:pPr>
      <w:r>
        <w:t>Capítulo 7 — Interface, Interação e Experiência de Utilização</w:t>
      </w:r>
    </w:p>
    <w:p>
      <w:pPr>
        <w:pStyle w:val="Heading3"/>
      </w:pPr>
      <w:r>
        <w:t>7.1 Estratégia de interação e decisões de UI/UX</w:t>
      </w:r>
    </w:p>
    <w:p>
      <w:pPr/>
      <w:r>
        <w:t>A estratégia de interação da plataforma foi definida a partir de um problema central: tornar utilizável um sistema de modelação paramétrica baseado em código sem expor o utilizador à complexidade direta do OpenSCAD. Em vez de apresentar a lógica algorítmica do modelo como interface principal, a aplicação organiza a interação em torno de ações reconhecíveis e progressivas, como selecionar um modelo, introduzir dados antropométricos, ajustar parâmetros, observar o resultado e guardar versões. Esta opção traduz uma decisão de UI/UX deliberada: a interface não procura ocultar a natureza técnica do sistema, mas reconfigurá-la em operações compreensíveis, sequenciais e verificáveis, em linha com abordagens que privilegiam a clareza do onboarding, a navegação guiada e a redução da carga interpretativa em plataformas de personalização protésica (Colombo et al., 2015 (#ref-colombo-2015); Peixoto et al., 2025 (#ref-peixoto-2025)).</w:t>
      </w:r>
    </w:p>
    <w:p>
      <w:pPr/>
      <w:r>
        <w:t>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feedback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A literatura revisada sugere precisamente que sistemas de configuração mais eficazes tendem a separar a visualização, o ajuste e a validação em camadas de interação mais inteligíveis, quer em plataformas web orientadas ao utilizador final, quer em interfaces destinadas a profissionais de ajuste protésico (Peixoto et al., 2025 (#ref-peixoto-2025); Quintero et al., 2018 (#ref-quintero-2018)).</w:t>
      </w:r>
    </w:p>
    <w:p>
      <w:pPr/>
      <w:r>
        <w:t>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UI/UX,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r>
        <w:t>Outra decisão relevante diz respeito à articulação entre a edição paramétrica e a pré-visualização. A renderização local via WebAssembly permite que a resposta visual decorra da própria lógica geométrica do sistema, e não de imagens estáticas ou de simplificações visuais desconexas do modelo. 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r>
        <w:t>Em termos de linguagem visual e de uso, a plataforma privilegia a clareza funcional em relação à exuberância formal. Isto é coerente com o contexto do projeto: trata-se de uma ferramenta de configuração protésica, não de um configurador lúdico ou promocional. Assim, as decisões de UI/UX visam favorecer a legibilidade, a consistência entre os controlos, a previsibilidade das ações e a rastreabilidade das alterações. O valor da interface não reside apenas na aparência, mas na sua capacidade de mediar, com o mínimo de ambiguidade possível, a passagem entre os dados do utilizador, as regras paramétricas, a assistência algorítmica e o resultado tridimensional. Essa necessidade de clareza torna-se ainda mais evidente quando a literatura sobre próteses inteligentes sublinha a importância de equilibrar a autonomia do utilizador, os mecanismos de supervisão e a diferenciação de permissões entre utilizadores e profissionais (Bai et al., 2024 (#ref-bai-2024); Quintero et al., 2018 (#ref-quintero-2018)).</w:t>
      </w:r>
    </w:p>
    <w:p>
      <w:pPr/>
      <w:r>
        <w:t>Deste modo, a estratégia de interação adotada não deve ser lida apenas como um conjunto de escolhas de interface, mas como uma decisão metodológica sobre a forma de tornar o processo de personalização observável, configurável e criticável. A UI/UX participa diretamente na construção do sistema, atuando como infraestrutura de mediação entre o conhecimento técnico, os dados individuais e a decisão projetual. O seu objetivo não é simplificar artificialmente o problema, mas organizar a complexidade de forma inteligível, preservando continuidade com a lógica paramétrica do modelo e com o enquadramento assistivo da IA discutido no capítulo anterior.</w:t>
      </w:r>
    </w:p>
    <w:p>
      <w:pPr>
        <w:pStyle w:val="Heading3"/>
      </w:pPr>
      <w:r>
        <w:t>7.2 Experiência do designer e do utilizador final</w:t>
      </w:r>
    </w:p>
    <w:p>
      <w:pPr/>
      <w:r>
        <w:t>A experiência do designer, técnico ou clínico que utiliza a plataforma distingue-se estruturalmente da do utilizador final, embora ambas se desenvolvam sobre a mesma infraestrutura digital. A literatura analisada sugere que esta diferença não decorre apenas de níveis distintos de literacia técnica, mas também do próprio tipo de decisão que cada agente é chamado a tomar. 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Em contrapartida, quando a configuração incide sobre preferências de controlo, inteligibilidade do sistema ou aspetos estéticos mais diretamente experienciados pelo utilizador, a participação deste torna-se mais substantiva. 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r>
        <w:t>Para o designer, protésico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Contudo, essa mesma literatura mostra também que a digitalização não aumenta automaticamente a confiança profissional: quando o sistema elimina pistas tácteis, empíricas ou processuais importantes, pode igualmente restringir certas formas de saber prático, como sugere a literatura sobre retificação digital e workflows CAD/CAM.</w:t>
      </w:r>
    </w:p>
    <w:p>
      <w:pPr/>
      <w:r>
        <w:t>Para o utilizador final, por outro lado, a experiência tende a ser mais centrada na compreensibilidade, na confiança e na perceção de participação. Mesmo quando a pessoa não manipula diretamente todos os parâmetros, a possibilidade de visualizar o modelo, reconhecer alterações e acompanhar o processo de personalização torna a configuração menos opaca. A interface ajuda, assim, a transformar essa adaptação de uma decisão técnica distante em um processo parcialmente observável e inteligível. Este aspeto é particularmente relevante num domínio em que a aceitação de uma prótese não depende apenas do desempenho funcional, mas também da perceção de adequação, de participação e de controlo sobre o resultado. A literatura revisada sugere, de forma consistente, que a inteligibilidade da lógica do sistema influencia a experiência de uso: quando o sistema torna mais visíveis os efeitos das ações, os limites das escolhas ou a relação entre input e comportamento, tende a aumentar tanto a capacidade de uso quanto a confiança subjetiva. Plataformas de personalização estética e sistemas com uma visualização mais explícita do espaço de decisão sugerem, precisamente, que a agência do utilizador cresce quando o domínio editável é legível e de baixo risco (Peixoto et al., 2025 (#ref-peixoto-2025)).</w:t>
      </w:r>
    </w:p>
    <w:p>
      <w:pPr/>
      <w:r>
        <w:t>Esta diferenciação torna-se mais clara quando se distinguem três domínios de personalização que a literatura tende a tratar de forma distinta. No primeiro, correspondente à geometria do encaixe e ao ajustamento biomecânico, predomina uma lógica clínica: a pessoa fornece feedback sobre conforto, tolerância ou preferência, mas a decisão permanece concentrada em quem detém competência técnica e responsabilidade pela validação. No segundo, correspondente à personalização do controlo e à afinação de sistemas interativos, a autoridade do utilizador tende a aumentar, porque só ele pode avaliar de forma imediata a sensação de controlo, a carga cognitiva ou a adequação do comportamento do sistema em uso. No terceiro, ligado à personalização estética e identitária, a literatura sugere que a autonomia dessa participação pode ser mais ampla, precisamente porque o risco clínico e biomecânico é menor e o critério de adequação é mais diretamente experienciado pelo próprio. Esta distinção é importante porque impede tratar a “participação do utilizador” como uma categoria homogénea.</w:t>
      </w:r>
    </w:p>
    <w:p>
      <w:pPr/>
      <w:r>
        <w:t>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A literatura recente sobre próteses inteligentes e interfaces configuráveis aponta no mesmo sentido, defendendo modelos de controlo em que parâmetros críticos permanecem sob supervisão profissional, enquanto ajustes mais circunscritos podem tornar-se acessíveis ao utilizador final (Bai et al., 2024 (#ref-bai-2024); Quintero et al., 2018 (#ref-quintero-2018)).</w:t>
      </w:r>
    </w:p>
    <w:p>
      <w:pPr/>
      <w:r>
        <w:t>Do ponto de vista da experiência global, a plataforma revela-se mais forte quando entendida como um espaço de colaboração assimétrica. O designer ou técnico dispõe de uma ferramenta que acelera iterações, estrutura a exploração paramétrica e apoia decisões de maior responsabilidade; o utilizador final ganha maior transparência, inteligibilidade e possibilidade de acompanhamento; e o sistema, no seu conjunto, passa a oferecer uma cadeia de interação mais clara entre o conhecimento especializado e a necessidade individual. A utilização da plataforma não se resume, por isso, à ergonomia dos ecrãs, mas à forma como distribui a agência entre diferentes participantes no processo de personalização.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É precisamente essa distribuição desigual, mas intencional, de acesso, interpretação e decisão que prepara a questão seguinte: não apenas quem usa a plataforma, mas também de que modo ela própria medeia o processo de design.</w:t>
      </w:r>
    </w:p>
    <w:p>
      <w:pPr>
        <w:pStyle w:val="Heading3"/>
      </w:pPr>
      <w:r>
        <w:t>7.3 Mediação do processo de design e reflexão crítica</w:t>
      </w:r>
    </w:p>
    <w:p>
      <w:pPr/>
      <w:r>
        <w:t>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mas também porque explicita que a personalização não é um ato instantâneo: trata-se de uma dinâmica iterativa de leitura de dados, proposta de configuração, avaliação visual, revisão crítica e eventual exportação para fabrico. A literatura revisada reforça que esta dimensão processual não constitui mero efeito secundário da interface, mas sim parte central do modo como sistemas digitais desta natureza distribuem trabalho, autoridade e visibilidade entre diferentes agentes. Em vez de apenas executar decisões previamente tomadas, a plataforma ajuda a estruturar quando, como e por quem essas decisões se tornam possíveis.</w:t>
      </w:r>
    </w:p>
    <w:p>
      <w:pPr/>
      <w:r>
        <w:t>Neste sentido, a interface funciona como um dispositivo epistemológico, e não apenas operacional. Ela condiciona a forma como o problema é visto, como as alternativas são exploradas e como as decisões são justificadas. Ao disponibilizar parâmetros editáveis, visualização tridimensional, sugestões assistidas por IA e gestão de versões, a plataforma torna o trabalho projetual mais estruturado e rastreável. Contudo, essa mesma estrutura também estabelece limites: o utilizador explora o espaço de soluções que o modelo e a interface permitem. A mediação digital aumenta a capacidade de ação, mas também enquadra e delimita o campo do possível. A literatura revisada sugere precisamente que as plataformas mais relevantes neste domínio operam por mecanismos concretos de mediação: controlo diferenciado de permissões, exposição seletiva de variáveis, pontos de partida algorítmicos, visualização orientada por problema e formas de supervisão embutidas na própria interface. Tal tensão entre a ampliação da capacidade e o enquadramento do campo de decisão torna-se particularmente visível em sistemas que diferenciam deliberadamente entre parâmetros acessíveis ao utilizador e parâmetros reservados a profissionais ou a rotinas automáticas de afinação (Bai et al., 2024 (#ref-bai-2024); Alili et al., 2023 (#ref-alili-2023)).</w:t>
      </w:r>
    </w:p>
    <w:p>
      <w:pPr/>
      <w:r>
        <w:t>Uma implicação decisiva desta leitura é que a plataforma não medeia apenas “quem usa”, mas também “o que pode ser visto”. A visualização tridimensional, os indicadores de estado, os limites paramétricos e os mecanismos de feedback não são elementos neutros de apresentação; organizam a inteligibilidade do problema. 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 Nesta perspetiva, a mediação digital não é mera facilitação; é também uma tecnologia de enquadramento do juízo projetual.</w:t>
      </w:r>
    </w:p>
    <w:p>
      <w:pPr/>
      <w:r>
        <w:t>Esta observação conduz a uma importante reflexão crítica. Uma interface bem desenhada pode criar a sensação de evidência ou de neutralidade em decisões que continuam contingentes e projetuais.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r>
        <w:t>Deste ponto de vista, o sistema proposto assume uma posição produtiva: utiliza a interface para ampliar a acessibilidade, a inteligibilidade e a capacidade iterativa, sem dissolver a necessidade de julgamento humano. A mediação do processo de design não elimina a autoria projetual nem substitui a validação técnica; reorganiza-as num ambiente digital mais controlado e explícito. A plataforma redistribui a agência, mas não o faz de forma uniforme: concentra certas decisões em agentes tecnicamente qualificados, abre outras à participação informada do utilizador e deixa outras sob enquadramento assistido por lógica algorítmica. É precisamente nessa articulação entre interface, lógica paramétrica, sugestão assistida, visibilidade seletiva e responsabilidade crítica que reside o valor metodológico deste sistema enquanto contributo para o design de próteses personalizadas.</w:t>
      </w:r>
    </w:p>
    <w:p>
      <w:pPr>
        <w:pBdr>
          <w:bottom w:val="single" w:sz="6" w:space="1" w:color="808080"/>
        </w:pBdr>
      </w:pPr>
    </w:p>
    <w:p>
      <w:pPr>
        <w:pStyle w:val="Heading2"/>
      </w:pPr>
      <w:r>
        <w:t>Capítulo 8 — Avaliação e Discussão</w:t>
      </w:r>
    </w:p>
    <w:p>
      <w:pPr>
        <w:pStyle w:val="Heading3"/>
      </w:pPr>
      <w:r>
        <w:t>8.1 Estratégia e critérios de avaliação</w:t>
      </w:r>
    </w:p>
    <w:p>
      <w:pPr/>
      <w:r>
        <w:t>A avaliação do sistema foi organizada em torno de três níveis complementares: coerência técnica do modelo paramétrico, funcionamento da plataforma digital e plausibilidade das sugestões assistidas por IA. Esta separação é necessária porque o projeto combina componentes de natureza distinta. Um modelo OpenSCAD pode ser parametricamente consistente e, ainda assim, a interface pode não tornar essa consistência compreensível; do mesmo modo, uma sugestão de IA pode ser plausível como ponto de partida e continuar insuficiente como validação final da prótese. Assim, os critérios usados procuram avaliar o encadeamento entre dados, parâmetros, renderização e revisão humana, em vez de tratar qualquer componente como solução autónoma.</w:t>
      </w:r>
    </w:p>
    <w:p>
      <w:pPr/>
      <w:r>
        <w:t>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Estes critérios foram escolhidos porque são verificáveis dentro do sistema e correspondem a riscos diretamente relacionados com a personalização inicial. Não avaliam conforto, desempenho funcional nem segurança clínica, mas permitem identificar se a cadeia descrição livre, sugestão paramétrica e modelo renderizado preserva condições mínimas de plausibilidade antes de qualquer prototipagem.</w:t>
      </w:r>
    </w:p>
    <w:p>
      <w:pPr>
        <w:pStyle w:val="Heading3"/>
      </w:pPr>
      <w:r>
        <w:t>8.2 Avaliação técnica e experiencial do sistema</w:t>
      </w:r>
    </w:p>
    <w:p>
      <w:pPr/>
      <w:r>
        <w:t>Do ponto de vista técnico, a integração entre interface, esquema paramétrico e renderização local mostrou-se funcional para o modelo Flexy Beast. A plataforma conseguiu expor os parâmetros ativos, receber sugestões em JSON, rejeitar chaves desconhecidas e aplicar os valores válidos aos controlos do modelo. A correção de uma fragilidade anterior, em que o pedido à IA permanecia alinhado com um modelo removido, foi particularmente relevante: ao usar o esquema vivo do modelo, o sistema reduziu a possibilidade de receber parâmetros sem correspondência geométrica. Esta alteração reforça a rastreabilidade, porque cada sugestão pode ser comparada com um parâmetro existente, com o seu intervalo e com a sua consequência visual.</w:t>
      </w:r>
    </w:p>
    <w:p>
      <w:pPr/>
      <w:r>
        <w:t>Nos ensaios com perfis sintéticos, a IA produziu valores dentro dos intervalos definidos e manteve proporções anatómicas plausíveis em todos os casos observados. Os perfis sem medições diretas demonstraram a utilidade do sistema para utilizadores com baixa literacia antropométrica, enquanto os perfis com dados parciais mostraram que o mecanismo preserva medidas fornecidas e estima os campos em falta de forma proporcional. A experiência resultante deve ser entendida como uma redução da barreira inicial de configuração: o utilizador ou técnico deixa de começar perante um conjunto vazio de parâmetros e passa a trabalhar a partir de uma proposta editável, visualizável e criticável.</w:t>
      </w:r>
    </w:p>
    <w:p>
      <w:pPr>
        <w:pStyle w:val="Heading3"/>
      </w:pPr>
      <w:r>
        <w:t>8.3 Discussão dos resultados face aos objetivos</w:t>
      </w:r>
    </w:p>
    <w:p>
      <w:pPr/>
      <w:r>
        <w:t>Face aos objetivos da investigação, os resultados reforçam a pertinência de articular design paramétrico, dados antropométricos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dimensionalmente plausível. 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r>
        <w:t>A avaliação também delimita com clareza os limites do sistema. A variabilidade estocástica da IA impede tratar uma saída isolada como prescrição fixa; a ausência de uma referência clínica direta impede afirmar precisão individual; e a lateralidade, embora correta nos ensaios, requer uma regra explícita de espelhamento para deixar de depender de inferência linguística. Consequentemente, os resultados são promissores enquanto validação de coerência interna e de acessibilidade paramétrica, mas permanecem preliminares enquanto validação protésica. A continuidade do trabalho deverá incluir amostragem repetida por perfil, validação JSON estrita no servidor, conjunto permanente de regressão e comparação com medições reais ou bases antropométricas com referência individual.</w:t>
      </w:r>
    </w:p>
    <w:p>
      <w:pPr>
        <w:pBdr>
          <w:bottom w:val="single" w:sz="6" w:space="1" w:color="808080"/>
        </w:pBdr>
      </w:pPr>
    </w:p>
    <w:p>
      <w:pPr>
        <w:pStyle w:val="Heading2"/>
      </w:pPr>
      <w:r>
        <w:t>Capítulo 9 — Conclusões e Trabalhos Futuros</w:t>
      </w:r>
    </w:p>
    <w:p>
      <w:pPr>
        <w:pStyle w:val="Heading3"/>
      </w:pPr>
      <w:r>
        <w:t>9.1 Síntese dos principais contributos</w:t>
      </w:r>
    </w:p>
    <w:p>
      <w:pPr>
        <w:pStyle w:val="Heading3"/>
      </w:pPr>
      <w:r>
        <w:t>9.2 Contributos para o Design Industrial</w:t>
      </w:r>
    </w:p>
    <w:p>
      <w:pPr>
        <w:pStyle w:val="Heading3"/>
      </w:pPr>
      <w:r>
        <w:t>9.3 Limitações e perspetivas de desenvolvimento futuro</w:t>
      </w:r>
    </w:p>
    <w:p>
      <w:pPr>
        <w:pStyle w:val="Heading2"/>
      </w:pPr>
      <w:r>
        <w:t>Bibliografia</w:t>
      </w:r>
    </w:p>
    <w:p>
      <w:pPr/>
      <w: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r>
        <w:t>&lt;a id="ref-albin-2023"&gt;&lt;/a&gt; Albin, T., &amp; Molenbroek, J. F. M. (2023). Introduction to the special issue, anthropometry in design. https://repository.tudelft.nl/file/Fileda5bfdc9-98bc-41d3-a402-553d5f0d0a63</w:t>
      </w:r>
    </w:p>
    <w:p>
      <w:pPr/>
      <w:r>
        <w:t>&lt;a id="ref-astm-international-2024"&gt;&lt;/a&gt; ASTM International. (2024). Standard guide for assessing fit accommodation of exoskeletons for manufacturers and designers. https://www.astm.org/f3661-24.html</w:t>
      </w:r>
    </w:p>
    <w:p>
      <w:pPr/>
      <w: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r>
        <w:t>&lt;a id="ref-bates-2020"&gt;&lt;/a&gt; Bates, T., Fergason, J., &amp; Pierrie, S. N. (2020). Technological advances in prosthesis design and rehabilitation following upper extremity limb loss. https://www.semanticscholar.org/paper/905056ffa9fa963e8df8b974d90b94c05a5f7e29</w:t>
      </w:r>
    </w:p>
    <w:p>
      <w:pPr/>
      <w:r>
        <w:t>&lt;a id="ref-bradtmiller-2022"&gt;&lt;/a&gt; Bradtmiller, B. (2022). Design for all, design for disabled: How important is anthropometry? https://researchonline.jcu.edu.au/76898/</w:t>
      </w:r>
    </w:p>
    <w:p>
      <w:pPr/>
      <w: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r>
        <w:t>&lt;a id="ref-kaygan-2025"&gt;&lt;/a&gt; Kaygan, H., &amp; Kaygan, P. (2025). Clients and carers: Healthcare professionals’ roles in medical device development processes in SMEs. The Design Journal, 28(2), 213-231. https://doi.org/10.1080/14606925.2024.2420152</w:t>
      </w:r>
    </w:p>
    <w:p>
      <w:pPr/>
      <w: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r>
        <w:t>&lt;a id="ref-colombo-2015"&gt;&lt;/a&gt; Colombo, G., Facoetti, G., Rizzi, C., &amp; Vitali, A. (2015). Low cost hand-tracking devices to design customized medical devices. Interacción. https://doi.org/10.1007/978-3-319-21067-436</w:t>
      </w:r>
    </w:p>
    <w:p>
      <w:pPr/>
      <w: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r>
        <w:t>&lt;a id="ref-engdahl-2024"&gt;&lt;/a&gt; Engdahl, S., Gonzalez, M. A., Lee, C., &amp; Gates, D. H. (2024). Perspectives on the comparative benefits of body-powered and myoelectric upper limb prostheses. https://jneuroengrehab.biomedcentral.com/counter/pdf/10.1186/s12984-024-01436-4</w:t>
      </w:r>
    </w:p>
    <w:p>
      <w:pPr/>
      <w: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r>
        <w:t>&lt;a id="ref-fink-2023"&gt;&lt;/a&gt; Fink, C., &amp; Diamond, Y. (2023). Prosthesis options and management in upper extremity amputation. https://www.semanticscholar.org/paper/3532a770446eb6144ef25a6b0162d1f98b61e0ff</w:t>
      </w:r>
    </w:p>
    <w:p>
      <w:pPr/>
      <w: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r>
        <w:t>&lt;a id="ref-kandikjan-2022"&gt;&lt;/a&gt; Kandikjan, T., Djokikj, J., Mircheski, I., &amp; Angeleska, E. (2022). Integrating parametric design and additive manufacturing knowledge in industrial design education. https://www.semanticscholar.org/paper/7d28a8c124ef0a3599dd937791a3f3e093775ac0</w:t>
      </w:r>
    </w:p>
    <w:p>
      <w:pPr/>
      <w: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r>
        <w:t>&lt;a id="ref-lei-2016"&gt;&lt;/a&gt; Lei, N., Yao, X., Moon, S. K., &amp; Bi, G. (2016). An additive manufacturing process model for product family design. https://dr.ntu.edu.sg/bitstream/10356/83735/1/An%20additive%20manufacturing%20process%20model%20for%20product%20family%20design.pdf</w:t>
      </w:r>
    </w:p>
    <w:p>
      <w:pPr/>
      <w:r>
        <w:t>&lt;a id="ref-lindell-2021"&gt;&lt;/a&gt; Lindell, E., Tingsvik, H., Guo, L., &amp; Peterson, J. (2021). 3D body scan as anthropometric tool for individualized prosthetic socks. https://sciendo.com/pdf/10.2478/aut-2021-0007</w:t>
      </w:r>
    </w:p>
    <w:p>
      <w:pPr/>
      <w: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r>
        <w:t>&lt;a id="ref-peixoto-2025"&gt;&lt;/a&gt; Peixoto, S., Martins, N., Miranda, D., Matos, D., &amp; Carvalho, V. (2025). The design process in the development of an online platform for personalizing wearable prostheses: A preliminary approach. Designs, 9(2), 39. https://doi.org/10.3390/designs9020039</w:t>
      </w:r>
    </w:p>
    <w:p>
      <w:pPr/>
      <w:r>
        <w:t>&lt;a id="ref-parlamento-europeu-2017"&gt;&lt;/a&gt; Parlamento Europeu, &amp; Conselho da União Europeia. (2017). Regulation (EU) 2017/745 of the European Parliament and of the Council of 5 April 2017 on medical devices. https://eur-lex.europa.eu/eli/reg/2017/745/oj</w:t>
      </w:r>
    </w:p>
    <w:p>
      <w:pPr/>
      <w:r>
        <w:t>&lt;a id="ref-chapman-2025"&gt;&lt;/a&gt; Chapman, K., Allen, C., &amp; Kendall, E. (2025). Methods for co-designing health communication initiatives with people with disability: A scoping review. Health Communication. https://doi.org/10.1080/10810730.2025.2462679</w:t>
      </w:r>
    </w:p>
    <w:p>
      <w:pPr/>
      <w:r>
        <w:t>&lt;a id="ref-clarkson-2010"&gt;&lt;/a&gt; Clarkson, J., &amp; Coleman, R. (2010). Inclusive design. Design Studies. https://doi.org/10.1080/09544821003693689</w:t>
      </w:r>
    </w:p>
    <w:p>
      <w:pPr/>
      <w:r>
        <w:t>&lt;a id="ref-chtioui-2023"&gt;&lt;/a&gt; Chtioui, N., Gaha, R., &amp; Benamara, A. (2023). Design for additive manufacturing: Review and framework proposal. https://sei.ardascience.com/index.php/journal/article/download/185/169</w:t>
      </w:r>
    </w:p>
    <w:p>
      <w:pPr/>
      <w:r>
        <w:t>&lt;a id="ref-fisher-2020"&gt;&lt;/a&gt; Fisher, M., &amp; Johansen, E. (2020). Human-centered design for medical devices and diagnostics in global health. https://www.semanticscholar.org/paper/89c3c6bd56f4d0b54f5da3e3c96f18e815d9f5d4</w:t>
      </w:r>
    </w:p>
    <w:p>
      <w:pPr/>
      <w:r>
        <w:t>&lt;a id="ref-millet-2018"&gt;&lt;/a&gt; Millet, A., Akle, A. A., &amp; Legardeur, J. (2018). Human centred criteria for healthcare design. https://www.semanticscholar.org/paper/267b655f123f4f167f1f9e7e6c8a1f17f73a73d0</w:t>
      </w:r>
    </w:p>
    <w:p>
      <w:pPr/>
      <w: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r>
        <w:t>&lt;a id="ref-resnik-2010"&gt;&lt;/a&gt; Resnik, L., Klinger, S. L., Krauthamer, V., &amp; Barnabe, K. (2010). U.S. Food and Drug Administration regulation of prosthetic research, development, and testing. https://www.semanticscholar.org/paper/71e1fef52dde69cbcea4f62c709f7c6689f9463d</w:t>
      </w:r>
    </w:p>
    <w:p>
      <w:pPr/>
      <w: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r>
        <w:t>&lt;a id="ref-segura-2024"&gt;&lt;/a&gt; Segura, D., Romero, E., Abarca, V. E., &amp; Elías, D. A. (2024). Upper limb prostheses by the level of amputation: A systematic review. Prosthesis, 6(2), 22. https://www.mdpi.com/2673-1592/6/2/22/pdf?version=1710818539</w:t>
      </w:r>
    </w:p>
    <w:p>
      <w:pPr/>
      <w:r>
        <w:t>&lt;a id="ref-smail-2020"&gt;&lt;/a&gt; Smail, L. C., Neal, C., Wilkins, C., &amp; Packham, T. (2020). Comfort and function remain key factors in upper limb prosthetic abandonment: Findings of a scoping review. https://www.semanticscholar.org/paper/b5eb3fd2414ebedaa5d2283451268fafa2db0a81</w:t>
      </w:r>
    </w:p>
    <w:p>
      <w:pPr/>
      <w:r>
        <w:t>&lt;a id="ref-soyer-2016"&gt;&lt;/a&gt; Soyer, K., Unver, B., Tamer, S., &amp; Ulger, O. (2016). The importance of rehabilitation concerning upper extremity amputees: A systematic review. https://pjms.com.pk/index.php/pjms/article/view/9922/4660</w:t>
      </w:r>
    </w:p>
    <w:p>
      <w:pPr/>
      <w: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r>
        <w:t>&lt;a id="ref-shah-2006"&gt;&lt;/a&gt; Shah, S., &amp; Robinson, I. (2006). User involvement in healthcare technology development and assessment: Structured literature review. https://www.semanticscholar.org/paper/299d5b2c1d65791cc4c9f2db76edf20f479adcbc</w:t>
      </w:r>
    </w:p>
    <w:p>
      <w:pPr/>
      <w:r>
        <w:t>&lt;a id="ref-silva-2024"&gt;&lt;/a&gt; Silva, R., Silva, B., Fernandes, C., Morouco, P., Alves, N., &amp; Veloso, A. (2024). A review on 3D scanners studies for producing customized orthoses. Sensors, 24(5), 1373. https://pmc.ncbi.nlm.nih.gov/articles/PMC10935386/pdf/sensors-24-01373.pdf</w:t>
      </w:r>
    </w:p>
    <w:p>
      <w:pPr/>
      <w:r>
        <w:t>&lt;a id="ref-story-2006"&gt;&lt;/a&gt; Story, M. (2006). Applying the principles of universal design to medical devices. https://www.semanticscholar.org/paper/d0d84425d517331607c9120290ed26d1bf2e1862</w:t>
      </w:r>
    </w:p>
    <w:p>
      <w:pPr/>
      <w:r>
        <w:t>&lt;a id="ref-stralen-2018"&gt;&lt;/a&gt; Stralen, M. V. (2018). Mass customization: A critical perspective on parametric design, digital fabrication and design democratization. https://www.semanticscholar.org/paper/a18f2c4d248e791d2a9b84f3cab268d5a377cc10</w:t>
      </w:r>
    </w:p>
    <w:p>
      <w:pPr/>
      <w: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r>
        <w:t>&lt;a id="ref-white-2022"&gt;&lt;/a&gt; White, J., &amp; Mosca, E. I. (2022). Developing innovative solutions for universal design in healthcare and other sectors. https://www.semanticscholar.org/paper/df2bb0d53af547bd89b2c716933c2a544bf422b1</w:t>
      </w:r>
    </w:p>
    <w:p>
      <w:pPr/>
      <w:r>
        <w:t>&lt;a id="ref-wiberg-2019"&gt;&lt;/a&gt; Wiberg, A., Persson, J., &amp; Ölvander, J. (2019). Design for additive manufacturing: A review of available design methods and software. https://www.semanticscholar.org/paper/e03bf769f344512519f1005baa1d6b83fe4fc8ed</w:t>
      </w:r>
    </w:p>
    <w:p>
      <w:pPr/>
      <w:r>
        <w:t>&lt;a id="ref-wilke-2020"&gt;&lt;/a&gt; Wilke, H., Badke-Schaub, P., &amp; Thoring, K. (2020). The healthcare design dilemma: Perils of a technology-driven design process for medical products. https://www.semanticscholar.org/paper/078781d9389d4618fc1b5db9347ab68ca7ef46d9</w:t>
      </w:r>
    </w:p>
    <w:p>
      <w:pPr/>
      <w:r>
        <w:t>&lt;a id="ref-walters-2025"&gt;&lt;/a&gt; Walters, S., Seminati, E., Metcalfe, B., Bailey, N. Y., &amp; Pegg, E. C. (2025). Demystifying upper limb hybrid prostheses: A scoping review. https://www.semanticscholar.org/paper/d659aff9bb182a3c92377571973e6e077a3b1838</w:t>
      </w:r>
    </w:p>
    <w:p>
      <w:pPr/>
      <w:r>
        <w:t>&lt;a id="ref-yao-2016"&gt;&lt;/a&gt; Yao, X., Moon, S. K., &amp; Bi, G. (2016). A cost-driven design methodology for additive manufactured variable platforms in product families. https://www.semanticscholar.org/paper/f7bc9dc2a80714c18ac068f45b99408b0f4fe65e</w:t>
      </w:r>
    </w:p>
    <w:p>
      <w:pPr/>
      <w: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r>
        <w:t>&lt;a id="ref-burnap-2019"&gt;&lt;/a&gt; Burnap, A., Hauser, J., &amp; Timoshenko, A. (2019). Design and evaluation of product aesthetics: A human-machine hybrid approach. https://www.semanticscholar.org/paper/7a7994f2de74a61cbdeb3c230d1ee343a0d5e783</w:t>
      </w:r>
    </w:p>
    <w:p>
      <w:pPr/>
      <w: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r>
        <w:t>&lt;a id="ref-figoli-2022"&gt;&lt;/a&gt; Figoli, F. A., Mattioli, F., &amp; Rampino, L. (2022). AI in design idea development: A workshop on creativity and human-AI collaboration. https://dl.designresearchsociety.org/cgi/viewcontent.cgi?article=2915&amp;context=drs-conference-papers</w:t>
      </w:r>
    </w:p>
    <w:p>
      <w:pPr/>
      <w:r>
        <w:t>&lt;a id="ref-idris-2024"&gt;&lt;/a&gt; Idris, M. Z., Hashim, M. E. A. H. B., Albakry, N., &amp; Septian, N. (2024). Exploring the integration of artificial intelligence in co-design framework for designer. https://ebpj.e-iph.co.uk/index.php/EBProceedings/article/download/6348/3640</w:t>
      </w:r>
    </w:p>
    <w:p>
      <w:pPr/>
      <w:r>
        <w:t>&lt;a id="ref-kadenhe-2025"&gt;&lt;/a&gt; Kadenhe, N., Al Musleh, M., &amp; Lompot, A. (2025). Human-AI co-design and co-creation: A review of emerging approaches, challenges, and future directions. https://www.semanticscholar.org/paper/61c04706b7af0be5be4b0d15f595d4ab41874d12</w:t>
      </w:r>
    </w:p>
    <w:p>
      <w:pPr/>
      <w:r>
        <w:t>&lt;a id="ref-khanolkar-2023"&gt;&lt;/a&gt; Khanolkar, P., Vrolijk, A., &amp; Olechowski, A. (2023). Mapping artificial intelligence-based methods to engineering design stages: A focused literature review. https://www.semanticscholar.org/paper/4d63443d45e1a7156c5972ef009ed07bb0650117</w:t>
      </w:r>
    </w:p>
    <w:p>
      <w:pPr/>
      <w:r>
        <w:t>&lt;a id="ref-krahe-2020"&gt;&lt;/a&gt; Krahe, C., Bräunche, A., Jacob, A., Stricker, N., &amp; Lanza, G. (2020). Deep learning for automated product design. https://www.semanticscholar.org/paper/a5b9b4f63805f2b1773bc8214b29e38dbac27975</w:t>
      </w:r>
    </w:p>
    <w:p>
      <w:pPr/>
      <w:r>
        <w:t>&lt;a id="ref-li-2021"&gt;&lt;/a&gt; Li, X., Demirel, H., Goldstein, M., &amp; Sha, Z. (2021). Exploring generative design thinking for engineering design and design education. https://peer.asee.org/38349.pdf</w:t>
      </w:r>
    </w:p>
    <w:p>
      <w:pPr/>
      <w: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r>
        <w:t>&lt;a id="ref-panchal-2019"&gt;&lt;/a&gt; Panchal, J. H., Fuge, M., Liu, Y., Missoum, S., &amp; Tucker, C. S. (2019). Special issue: Machine learning for engineering design. Journal of Mechanical Design. https://www.semanticscholar.org/paper/2c4f7ca9381db7debefe61d04da51f9e8e63d09d</w:t>
      </w:r>
    </w:p>
    <w:p>
      <w:pPr/>
      <w: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r>
        <w:t>&lt;a id="ref-rezwana-2022"&gt;&lt;/a&gt; Rezwana, J., &amp; Maher, M. (2022). Understanding user perceptions, collaborative experience, and user engagement in different human-AI interaction designs for co-creative systems. https://arxiv.org/pdf/2204.13217</w:t>
      </w:r>
    </w:p>
    <w:p>
      <w:pPr/>
      <w: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r>
        <w:t>&lt;a id="ref-verganti-2020"&gt;&lt;/a&gt; Verganti, R., Vendraminelli, L., &amp; Iansiti, M. (2020). Innovation and design in the age of artificial intelligence. https://onlinelibrary.wiley.com/doi/pdfdirect/10.1111/jpim.12523</w:t>
      </w:r>
    </w:p>
    <w:p>
      <w:pPr/>
      <w:r>
        <w:t>&lt;a id="ref-viros-i-martin-2021"&gt;&lt;/a&gt; Virós-i-Martin, A., &amp; Selva, D. (2021). A framework to study human-AI collaborative design space exploration. https://www.semanticscholar.org/paper/716be148371af443169531b0856ae07dfe400869</w:t>
      </w:r>
    </w:p>
    <w:p>
      <w:pPr/>
      <w:r>
        <w:t>&lt;a id="ref-wang-2024"&gt;&lt;/a&gt; Wang, X., &amp; Hu, B. (2024). Machine learning algorithms for improved product design user experience. https://www.semanticscholar.org/paper/717e7ad25dcafec12f01b6732773bdf9c5a49661</w:t>
      </w:r>
    </w:p>
    <w:p>
      <w:pPr/>
      <w:r>
        <w:t>&lt;a id="ref-yuksel-2023"&gt;&lt;/a&gt; Yüksel, N., Börklü, H. R., Sezer, H. K., &amp; Canyurt, O. (2023). Review of artificial intelligence applications in engineering design perspective. https://www.semanticscholar.org/paper/cd38b58edf6690459767097aca745a3806824236</w:t>
      </w:r>
    </w:p>
    <w:p>
      <w:pPr/>
      <w:r>
        <w:t>&lt;a id="ref-akasaka-2022"&gt;&lt;/a&gt; Akasaka, M., Veeckman, C., Georges, A., Schuurman, D., &amp; Coorevits, L. (2022). A framework for configuring participation in living labs. https://www.semanticscholar.org/paper/305d55af5fda06b4d1b33e7d29c1f16d1b7ea488</w:t>
      </w:r>
    </w:p>
    <w:p>
      <w:pPr/>
      <w:r>
        <w:t>&lt;a id="ref-akyol-2021"&gt;&lt;/a&gt; Akyol, P., Barker, T., Hall, R., Morrissey, K., McCarthy, J., &amp; Mackley, K. L. (2021). DiaFit: Designing customizable wearables for Type 1 diabetes monitoring. https://www.semanticscholar.org/paper/ea18361f7564fb19db367899adb6295a07bfa05c</w:t>
      </w:r>
    </w:p>
    <w:p>
      <w:pPr/>
      <w:r>
        <w:t>&lt;a id="ref-cole-2011"&gt;&lt;/a&gt; Cole, E. (2011). Patient-centered design: Interface personalization for individuals with brain injury.</w:t>
      </w:r>
    </w:p>
    <w:p>
      <w:pPr/>
      <w:r>
        <w:t>&lt;a id="ref-costabile-2007"&gt;&lt;/a&gt; Costabile, M. F., Fogli, D., Lanzilotti, R., Marcante, A., Mussio, P., Provenza, L. P., &amp; Piccinno, A. (2007). Meta-design to face co-evolution and communication gaps between users and designers.</w:t>
      </w:r>
    </w:p>
    <w:p>
      <w:pPr/>
      <w:r>
        <w:t>&lt;a id="ref-dechev-2023"&gt;&lt;/a&gt; Dechev, N., Penner, A., Barlow, I., Vukovic, G., &amp; Lalji, M. (2023). Accessible prosthetic arms: Victoria Hand Project and the impact of 3D printing.</w:t>
      </w:r>
    </w:p>
    <w:p>
      <w:pPr/>
      <w:r>
        <w:t>&lt;a id="ref-dexter-2013"&gt;&lt;/a&gt; Dexter, M., Crooks, E., Davies, P., &amp; Simm, W. (2013). Open design and cystic fibrosis: Enabling participation in the design process.</w:t>
      </w:r>
    </w:p>
    <w:p>
      <w:pPr/>
      <w:r>
        <w:t>&lt;a id="ref-fischer-2004"&gt;&lt;/a&gt; Fischer, G., Giaccardi, E., Ye, Y., Sutcliffe, A. G., &amp; Mehandjiev, N. (2004). Meta-design.</w:t>
      </w:r>
    </w:p>
    <w:p>
      <w:pPr/>
      <w:r>
        <w:t>&lt;a id="ref-fischer-2017"&gt;&lt;/a&gt; Fischer, G., Fogli, D., &amp; Piccinno, A. (2017). Revisiting and broadening the meta-design framework for end-user development.</w:t>
      </w:r>
    </w:p>
    <w:p>
      <w:pPr/>
      <w:r>
        <w:t>&lt;a id="ref-frangos-2016"&gt;&lt;/a&gt; Frangos, P., Mierdel, S., &amp; Koirala, S. (2016). Democratising design in scientific innovation: Application of an open value network to open source hardware design.</w:t>
      </w:r>
    </w:p>
    <w:p>
      <w:pPr/>
      <w:r>
        <w:t>&lt;a id="ref-franke-2002"&gt;&lt;/a&gt; Franke, N., &amp; von Hippel, E. (2002). Satisfying heterogeneous user needs via innovation toolkits: The case of Apache security software.</w:t>
      </w:r>
    </w:p>
    <w:p>
      <w:pPr/>
      <w:r>
        <w:t>&lt;a id="ref-govender-2020"&gt;&lt;/a&gt; Govender, R., Abrahmsén-Alami, S., Larsson, A., Borde, A., Liljeblad, A., &amp; Folestad, S. (2020). Independent tailoring of dose and drug release via a modularized product design concept for mass customization. Pharmaceutics.</w:t>
      </w:r>
    </w:p>
    <w:p>
      <w:pPr/>
      <w:r>
        <w:t>&lt;a id="ref-howard-2022"&gt;&lt;/a&gt; Howard, D., Davies, L., Dwyer, A., &amp; Williams, J. (2022). Assessing the use of co-design to produce bespoke assistive technology solutions within a current healthcare service: A service evaluation.</w:t>
      </w:r>
    </w:p>
    <w:p>
      <w:pPr/>
      <w:r>
        <w:t>&lt;a id="ref-hippel-2002"&gt;&lt;/a&gt; Hippel, E. von, &amp; Katz, R. (2002). Shifting innovation to users via toolkits. Management Science, 48(7).</w:t>
      </w:r>
    </w:p>
    <w:p>
      <w:pPr/>
      <w:r>
        <w:t>&lt;a id="ref-hussaini-2023"&gt;&lt;/a&gt; Hussaini, A., Kyberd, P., Mulindwa, B., Ssekitoleko, R., Keeble, W., Kenney, L., &amp; Howard, D. (2023). 3D printing in LMICs: Functional design for upper limb prosthetics in Uganda.</w:t>
      </w:r>
    </w:p>
    <w:p>
      <w:pPr/>
      <w:r>
        <w:t>&lt;a id="ref-kerr-2024"&gt;&lt;/a&gt; Kerr, A., Del Din, S., Clarkson, P. J., &amp; Rochester, L. (2024). A participatory model for cocreating accessible rehabilitation technology for stroke survivors: User-centered design approach.</w:t>
      </w:r>
    </w:p>
    <w:p>
      <w:pPr/>
      <w:r>
        <w:t>&lt;a id="ref-kuhl-2020"&gt;&lt;/a&gt; Kuhl, M., Lutz, J., Krause, D., &amp; Vielhaber, M. (2020). Design of personalized devices: The tradeoff between individual value and personalization workload. Applied Sciences.</w:t>
      </w:r>
    </w:p>
    <w:p>
      <w:pPr/>
      <w:r>
        <w:t>&lt;a id="ref-mikoajewski-2023"&gt;&lt;/a&gt; Mikołajewski, D., Rojek, I., Kotlarz, P., Dorożyński, J., &amp; Kopowski, J. (2023). Personalization of the 3D-printed upper limb exoskeleton design: Mechanical and IT aspects. Applied Sciences.</w:t>
      </w:r>
    </w:p>
    <w:p>
      <w:pPr/>
      <w:r>
        <w:t>&lt;a id="ref-peters-2023"&gt;&lt;/a&gt; Peters, C., &amp; Richter, P. (2023). Individualizing patient pathways through modularization: Design and evaluation of healthcare-specific modularization parameters.</w:t>
      </w:r>
    </w:p>
    <w:p>
      <w:pPr/>
      <w:r>
        <w:t>&lt;a id="ref-seregni-2021"&gt;&lt;/a&gt; Seregni, F., Arlati, S., Colombo, V., Spoladore, D., Greci, L., Pedroli, E., Serino, S., Cipresso, P., Goulene, K., Stroulia, E., Rizzo, A., &amp; Sacco, M. (2021). Virtual coaching for rehabilitation: The participatory design experience of the vCare Project.</w:t>
      </w:r>
    </w:p>
    <w:p>
      <w:pPr/>
      <w:r>
        <w:t>&lt;a id="ref-sims-2017"&gt;&lt;/a&gt; Sims, T., Cranny, A., Metcalf, C., Chappell, P., &amp; Donovan-Hall, M. (2017). Participatory design of pediatric upper limb prostheses: Qualitative methods and prototyping.</w:t>
      </w:r>
    </w:p>
    <w:p>
      <w:pPr/>
      <w:r>
        <w:t>&lt;a id="ref-thorsen-2023"&gt;&lt;/a&gt; Thorsen, R., Hansen, A. H., &amp; Nilsen, E. R. (2023). From patient to maker: A workflow including people with cerebral palsy in co-creating assistive devices using 3D printing technologies.</w:t>
      </w:r>
    </w:p>
    <w:p>
      <w:pPr/>
      <w:r>
        <w:t>&lt;a id="ref-zhu-2022"&gt;&lt;/a&gt; Zhu, Z., &amp; Zhong, R. Y. (2022). A digital twin enabled wearable device for customized healthcare.</w:t>
      </w:r>
    </w:p>
    <w:p>
      <w:pPr/>
      <w:r>
        <w:t>&lt;a id="ref-alluhydan-2023"&gt;&lt;/a&gt; Alluhydan, A., Alsaadi, S., Almutairi, A., &amp; Alharbi, A. (2023). Functionality and comfort design of lower-limb prosthetics: A review.</w:t>
      </w:r>
    </w:p>
    <w:p>
      <w:pPr/>
      <w:r>
        <w:t>&lt;a id="ref-anderson-2024"&gt;&lt;/a&gt; Anderson, C. B., Stephens, A. R., Scully, A., Pasquina, P. F., &amp; Highsmith, M. J. (2024). A narrative review of prosthesis design decision making after lower-limb amputation for developing shared decision-making resources.</w:t>
      </w:r>
    </w:p>
    <w:p>
      <w:pPr/>
      <w:r>
        <w:t>&lt;a id="ref-andrysek-2010"&gt;&lt;/a&gt; Andrysek, J. (2010). Lower-limb prosthetic technologies in the developing world: A review of literature from 1994-2010.</w:t>
      </w:r>
    </w:p>
    <w:p>
      <w:pPr/>
      <w:r>
        <w:t>&lt;a id="ref-baldock-2023"&gt;&lt;/a&gt; Baldock, C., Greaves, M., Chockalingam, N., &amp; Kark, L. (2023). Adjustable prosthetic sockets: A systematic review of industrial and research design characteristics and their justifications.</w:t>
      </w:r>
    </w:p>
    <w:p>
      <w:pPr/>
      <w:r>
        <w:t>&lt;a id="ref-baumann-2023"&gt;&lt;/a&gt; Baumann, C., &amp; Maria, P. (2023). Improving access to prosthetic limbs in Germany: An explorative review.</w:t>
      </w:r>
    </w:p>
    <w:p>
      <w:pPr/>
      <w:r>
        <w:t>&lt;a id="ref-chadwell-2020"&gt;&lt;/a&gt; Chadwell, A., Kenney, L., Thies, S., Galpin, A., &amp; Head, J. (2020). Technology for monitoring everyday prosthesis use: A systematic review.</w:t>
      </w:r>
    </w:p>
    <w:p>
      <w:pPr/>
      <w:r>
        <w:t>&lt;a id="ref-cordella-2016"&gt;&lt;/a&gt; Cordella, F., Ciancio, A. L., Sacchetti, R., Davalli, A., Cutti, A. G., Guglielmelli, E., &amp; Zollo, L. (2016). Literature review on needs of upper limb prosthesis users.</w:t>
      </w:r>
    </w:p>
    <w:p>
      <w:pPr/>
      <w:r>
        <w:t>&lt;a id="ref-dominguez-ruiz-2023"&gt;&lt;/a&gt; Domínguez-Ruiz, M., Ráez-Ballesteros, E., &amp; Castillo-Castañeda, E. (2023). Low limb prostheses and complex human prosthetic interaction: A systematic literature review.</w:t>
      </w:r>
    </w:p>
    <w:p>
      <w:pPr/>
      <w:r>
        <w:t>&lt;a id="ref-ghillebert-2019"&gt;&lt;/a&gt; Ghillebert, J., Schoukens, J., &amp; Vanderborght, B. (2019). Guidelines and recommendations to investigate the efficacy of a lower-limb prosthetic device: A systematic review.</w:t>
      </w:r>
    </w:p>
    <w:p>
      <w:pPr/>
      <w:r>
        <w:t>&lt;a id="ref-hafner-2016"&gt;&lt;/a&gt; Hafner, B. J., &amp; Sawers, A. B. (2016). Issues affecting the level of prosthetics research evidence: Secondary analysis of a systematic review.</w:t>
      </w:r>
    </w:p>
    <w:p>
      <w:pPr/>
      <w:r>
        <w:t>&lt;a id="ref-manz-2022"&gt;&lt;/a&gt; Manz, S. M., Menges, M. M., Schaffernicht, E., Mattes, K., &amp; Kannenberg, A. (2022). A review of user needs to inform the development of lower-limb prostheses.</w:t>
      </w:r>
    </w:p>
    <w:p>
      <w:pPr/>
      <w:r>
        <w:t>&lt;a id="ref-marinelli-2022"&gt;&lt;/a&gt; Marinelli, M., Putrino, D., Stella, F., &amp; Guglielmelli, E. (2022). Active upper limb prostheses: A review on current state and upcoming breakthroughs.</w:t>
      </w:r>
    </w:p>
    <w:p>
      <w:pPr/>
      <w:r>
        <w:t>&lt;a id="ref-richardson-2017"&gt;&lt;/a&gt; Richardson, C., &amp; Dillon, M. P. (2017). User experience of transtibial prosthetic liners: A systematic review.</w:t>
      </w:r>
    </w:p>
    <w:p>
      <w:pPr/>
      <w:r>
        <w:t>&lt;a id="ref-samuelsson-2012"&gt;&lt;/a&gt; Samuelsson, K. A. M., Töytäri, O., Salminen, A.-L., &amp; Brandt, Å. (2012). Effects of lower limb prosthesis on activity, participation, and quality of life: A systematic review.</w:t>
      </w:r>
    </w:p>
    <w:p>
      <w:pPr/>
      <w:r>
        <w:t>&lt;a id="ref-walker-2019"&gt;&lt;/a&gt; Walker, M., Paras, A., Boonstra, N., &amp; Murrup-Stewart, C. (2019). Towards including end-users in the design of prosthetic hands: Ethical analysis of a survey of Australians with upper-limb difference.</w:t>
      </w:r>
    </w:p>
    <w:p>
      <w:pPr/>
      <w:r>
        <w:t>&lt;a id="ref-windrich-2016"&gt;&lt;/a&gt; Windrich, M., Grimmer, M., Christ, O., Rinderknecht, S., &amp; Beckerle, P. (2016). Active lower limb prosthetics: A systematic review of design issues and solutions.</w:t>
      </w:r>
    </w:p>
    <w:p>
      <w:pPr/>
      <w: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r>
        <w:t>&lt;a id="ref-chatzioglou-2024"&gt;&lt;/a&gt; Chatzioglou, G. N., Pinar, Y., &amp; Govsa, F. (2024). Biometric analysis hand parameters in young adults for prosthetic hand and ergonomic product applications. Anatomy &amp; Cell Biology, 57, 172-182. https://doi.org/10.5115/acb.23.310</w:t>
      </w:r>
    </w:p>
    <w:p>
      <w:pPr/>
      <w: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r>
        <w:t>&lt;a id="ref-nag-2003"&gt;&lt;/a&gt; Nag, A., Nag, P. K., &amp; Desai, H. (2003). Hand anthropometry of Indian women. Indian Journal of Medical Research, 117, 260-269.</w:t>
      </w:r>
    </w:p>
    <w:p>
      <w:pPr/>
      <w:r>
        <w:t>&lt;a id="ref-rodriguez-vega-2024"&gt;&lt;/a&gt; Rodríguez-Vega, G., &amp; Rodríguez-Vega, D. A. (2024). Normative data for the anthropometric hand dimensions of the Mexican population. European Public &amp; Social Innovation Review, 9, 1-15. https://doi.org/10.31637/epsir-2024-932</w:t>
      </w:r>
    </w:p>
    <w:p>
      <w:pPr/>
      <w: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r>
        <w:t>&lt;a id="ref-hu-2007"&gt;&lt;/a&gt; Hu, H., Li, Z., Yan, J., Wang, X., Xiao, H., Duan, J., &amp; Zheng, L. (2007). Anthropometric measurement of the Chinese elderly living in the Beijing area. International Journal of Industrial Ergonomics, 37(4), 303-311. https://doi.org/10.1016/j.ergon.2006.11.006</w:t>
      </w:r>
    </w:p>
    <w:p>
      <w:pPr/>
      <w:r>
        <w:t>&lt;a id="ref-mistarihi-2020"&gt;&lt;/a&gt; Mistarihi, M. Z. (2020). A data set on anthropometric measurements and degree of discomfort of physically disabled workers for ergonomic requirements in work space design. Data in Brief, 30, 105420. https://doi.org/10.1016/j.dib.2020.105420</w:t>
      </w:r>
    </w:p>
    <w:p>
      <w:pPr/>
      <w:r>
        <w:t>&lt;a id="ref-molenbroek-1998"&gt;&lt;/a&gt; Molenbroek, J. F. M. (1998). Geron study on Dutch elderly anthropometry. DINED database. Delft University of Technology. https://dined.io.tudelft.nl</w:t>
      </w:r>
    </w:p>
    <w:p>
      <w:pPr/>
      <w:r>
        <w:t>&lt;a id="ref-molenbroek-2003"&gt;&lt;/a&gt; Molenbroek, J. F. M., Kroon-Ramaekers, Y. M. T., &amp; Snijders, C. J. (2003). Revision of the Dutch standard for furniture in schools. Ergonomics, 46(5), 491-498. https://doi.org/10.1080/0014013031000085635</w:t>
      </w:r>
    </w:p>
    <w:p>
      <w:pPr/>
      <w:r>
        <w:t>&lt;a id="ref-steenbekkers-1998"&gt;&lt;/a&gt; Steenbekkers, L. P. A., &amp; van Beijsterveldt, C. E. M. (Eds.). (1998). Design-relevant characteristics of ageing users. Delft University Press.</w:t>
      </w:r>
    </w:p>
    <w:p>
      <w:pPr/>
      <w:r>
        <w:t>&lt;a id="ref-cross-1982"&gt;&lt;/a&gt; Cross, N. (1982). Designerly ways of knowing. Design Studies, 3(4), 221-227. https://doi.org/10.1016/0142-694X(82)90040-0</w:t>
      </w:r>
    </w:p>
    <w:p>
      <w:pPr/>
      <w:r>
        <w:t>&lt;a id="ref-design-council-2020"&gt;&lt;/a&gt; Design Council. (2020). Framework for innovation. https://www.designcouncil.org.uk/our-resources/framework-for-innovation/</w:t>
      </w:r>
    </w:p>
    <w:p>
      <w:pPr/>
      <w:r>
        <w:t>&lt;a id="ref-frayling-1994"&gt;&lt;/a&gt; Frayling, C. (1994). Research in art and design (Royal College of Art Research Papers, Vol. 1, No. 1, 1993/4). Royal College of Art.</w:t>
      </w:r>
    </w:p>
    <w:p>
      <w:pPr/>
      <w: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r>
        <w:t>&lt;a id="ref-biddiss-2007"&gt;&lt;/a&gt; Biddiss, E., Beaton, D., &amp; Chau, T. (2007). Consumer design priorities for upper limb prosthetics. Disability and Rehabilitation: Assistive Technology, 2(6), 346-357. https://doi.org/10.1080/17483100701714733</w:t>
      </w:r>
    </w:p>
    <w:p>
      <w:pPr/>
      <w:r>
        <w:t>&lt;a id="ref-brack-2021"&gt;&lt;/a&gt; Brack, T., &amp; Amalu, E. H. (2021). A review of technology, materials and R&amp;D challenges of upper limb prosthesis for improved user suitability. Journal of Orthopaedics, 24, 88-96. https://doi.org/10.1016/j.jor.2021.03.011</w:t>
      </w:r>
    </w:p>
    <w:p>
      <w:pPr/>
      <w:r>
        <w:t>&lt;a id="ref-guo-2025"&gt;&lt;/a&gt; Guo, M. (2025). Human-centered design strategies for prosthetics based on user needs. Interdisciplinary Humanities and Communication Studies, 1(1), 39-48.</w:t>
      </w:r>
    </w:p>
    <w:p>
      <w:pPr/>
      <w: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r>
        <w:t>&lt;a id="ref-cabibihan-2018"&gt;&lt;/a&gt; Cabibihan, J.-J., Pattofatto, S., Jomaa, M., Benallal, A., &amp; Carrozza, M. C. (2018). A method for 3-D printing patient-specific prosthetic arms with high accuracy shape and size. IEEE Access, 6, 25029-25039. https://doi.org/10.1109/ACCESS.2018.2831907</w:t>
      </w:r>
    </w:p>
    <w:p>
      <w:pPr/>
      <w: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r>
        <w:t>&lt;a id="ref-moreo-2016"&gt;&lt;/a&gt; Moreo, A. M. (2016). Parametric design of a 3D printable hand prosthesis for children in developing countries [Master's thesis, Delft University of Technology].</w:t>
      </w:r>
    </w:p>
    <w:p>
      <w:pPr/>
      <w:r>
        <w:t>&lt;a id="ref-romero-2025"&gt;&lt;/a&gt; Romero, M., Sánchez, J., &amp; Álvarez, H. (2025). Development of parametric prostheses for different levels of human hand amputations manufactured through additive manufacturing. Applied Sciences, 15(3), 1124. https://doi.org/10.3390/app15031124</w:t>
      </w:r>
    </w:p>
    <w:p>
      <w:pPr/>
      <w:r>
        <w:t>&lt;a id="ref-machado-2019"&gt;&lt;/a&gt; Machado, F., Malpica, N., &amp; Borromeo, S. (2019). Parametric CAD modeling for open source scientific hardware: Comparing OpenSCAD and FreeCAD Python scripts. PLOS ONE, 14(12), e0225795. https://doi.org/10.1371/journal.pone.0225795</w:t>
      </w:r>
    </w:p>
    <w:p>
      <w:pPr/>
      <w: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r>
        <w:t>&lt;a id="ref-nilsiam-2017"&gt;&lt;/a&gt; Nilsiam, Y., &amp; Pearce, J. M. (2017). Free and open source 3-D model customizer for websites to democratize design with OpenSCAD. Designs, 1(1), 5. https://doi.org/10.3390/designs1010005</w:t>
      </w:r>
    </w:p>
    <w:p>
      <w:pPr/>
      <w: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r>
        <w:t>&lt;a id="ref-ten-kate-2017"&gt;&lt;/a&gt; ten Kate, J., Smit, G., &amp; Breedveld, P. (2017). 3D-printed upper limb prostheses: A review. Disability and Rehabilitation: Assistive Technology, 12(3), 300-314. https://doi.org/10.1080/17483107.2016.1253117</w:t>
      </w:r>
    </w:p>
    <w:p>
      <w:pPr/>
      <w:r>
        <w:t>&lt;a id="ref-yu-2013"&gt;&lt;/a&gt; Yu, A., Yick, K. L., Ng, S. P., &amp; Yip, J. (2013). 2D and 3D anatomical analyses of hand dimensions for custom-made gloves. Applied Ergonomics, 44, 381-392.</w:t>
      </w:r>
    </w:p>
    <w:p>
      <w:pPr/>
      <w:r>
        <w:t xml:space="preserve">&lt;a id="ref-base-local-antropometrica-2026"&gt;&lt;/a&gt; Base local consolidada de dados antropométricos da mão e do membro superior distal. (2026). [Conjunto de dados]. Material de apoio da investigação, </w:t>
      </w:r>
      <w:r>
        <w:rPr>
          <w:rFonts w:ascii="Consolas" w:hAnsi="Consolas"/>
          <w:sz w:val="20"/>
        </w:rPr>
        <w:t>material/antropometria/dados antropométricos/multi</w:t>
      </w:r>
      <w:r>
        <w:rPr>
          <w:i/>
        </w:rPr>
        <w:t>population</w:t>
      </w:r>
      <w:r>
        <w:t>hand.csv</w:t>
      </w:r>
      <w:r>
        <w:rPr>
          <w:rFonts w:ascii="Consolas" w:hAnsi="Consolas"/>
          <w:sz w:val="20"/>
        </w:rPr>
        <w:t>.</w:t>
      </w:r>
    </w:p>
    <w:p>
      <w:pPr/>
      <w:r>
        <w:t>&lt;a id="ref-1-definir-o-que-e-propriocep"&gt;&lt;/a&gt;</w:t>
      </w:r>
    </w:p>
    <w:p>
      <w:pPr/>
      <w:r>
        <w:t>&lt;a id="ref-2-meter-este-link-na-bibliog"&gt;&lt;/a&gt;</w:t>
      </w:r>
    </w:p>
    <w:p>
      <w:pPr/>
      <w:r>
        <w:t>&lt;a id="ref-3-nao-e-bem-marcacao-ne-te"&gt;&lt;/a&gt;</w:t>
      </w:r>
    </w:p>
    <w:p>
      <w:pPr/>
      <w:r>
        <w:t>&lt;a id="ref-4-cool-mas-se-calhar-so-se"&gt;&lt;/a&gt;</w:t>
      </w:r>
    </w:p>
    <w:p>
      <w:pPr/>
      <w:r>
        <w:t>&lt;a id="ref-5-vamos-adicionar-a-citacao"&gt;&lt;/a&gt;</w:t>
      </w:r>
    </w:p>
    <w:p>
      <w:pPr/>
      <w:r>
        <w:t>&lt;a id="ref-6-explicar-oque-sao-todos-es"&gt;&lt;/a&gt;</w:t>
      </w:r>
    </w:p>
    <w:p>
      <w:pPr/>
      <w:r>
        <w:t>&lt;a id="ref-7-definir-seed-design"&gt;&lt;/a&gt;</w:t>
      </w:r>
    </w:p>
    <w:p>
      <w:pPr/>
      <w:r>
        <w:t>&lt;a id="ref-8-escalonados-amplicados-e"&gt;&lt;/a&gt;</w:t>
      </w:r>
    </w:p>
    <w:p>
      <w:pPr/>
      <w:r>
        <w:t>&lt;a id="ref-9-toda-esta-frase-podia-ser"&gt;&lt;/a&gt;</w:t>
      </w:r>
    </w:p>
    <w:p>
      <w:pPr/>
      <w:r>
        <w:t>&lt;a id="ref-10-posso-igualmente-aumentar"&gt;&lt;/a&gt;</w:t>
      </w:r>
    </w:p>
    <w:p>
      <w:pPr/>
      <w:r>
        <w:t>&lt;a id="ref-11-nao-me-soa-super-bem"&gt;&lt;/a&gt;</w:t>
      </w:r>
    </w:p>
    <w:p>
      <w:pPr/>
      <w:r>
        <w:t>&lt;a id="ref-12-estou-a-bater-mal-ou-ja-e"&gt;&lt;/a&gt;</w:t>
      </w:r>
    </w:p>
    <w:p>
      <w:pPr/>
      <w:r>
        <w:t>&lt;a id="ref-13-penalizacoes-e-um-pouco-f"&gt;&lt;/a&gt;</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 w:type="paragraph" w:styleId="Heading3">
    <w:name w:val="heading 3"/>
    <w:basedOn w:val="Normal"/>
    <w:uiPriority w:val="9"/>
    <w:qFormat/>
    <w:rPr>
      <w:b/>
      <w:sz w:val="24"/>
    </w:rPr>
  </w:style>
  <w:style w:type="paragraph" w:styleId="ListBullet">
    <w:name w:val="List Bullet"/>
    <w:basedOn w:val="Normal"/>
    <w:pPr>
      <w:ind w:left="720" w:hanging="360"/>
    </w:pPr>
  </w:style>
  <w:style w:type="paragraph" w:styleId="ListNumber">
    <w:name w:val="List Number"/>
    <w:basedOn w:val="Normal"/>
    <w:pPr>
      <w:ind w:left="720" w:hanging="360"/>
    </w:pPr>
  </w:style>
  <w:style w:type="paragraph" w:styleId="Quote">
    <w:name w:val="Quote"/>
    <w:basedOn w:val="Normal"/>
    <w:pPr>
      <w:ind w:left="720" w:right="720"/>
    </w:pPr>
    <w:rPr>
      <w:i/>
      <w:color w:val="555555"/>
    </w:rPr>
  </w:style>
  <w:style w:type="paragraph" w:styleId="CodeBlock">
    <w:name w:val="Code Block"/>
    <w:basedOn w:val="Normal"/>
    <w:pPr>
      <w:spacing w:before="120" w:after="120"/>
      <w:ind w:left="360" w:right="360"/>
    </w:pPr>
    <w:rPr>
      <w:rFonts w:ascii="Consolas" w:hAnsi="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s>
</file>

<file path=docProps/app.xml><?xml version="1.0" encoding="utf-8"?>
<Properties xmlns="http://schemas.openxmlformats.org/officeDocument/2006/extended-properties" xmlns:vt="http://schemas.openxmlformats.org/officeDocument/2006/docPropsVTypes">
  <Application>Codex Markdown Exporter</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projecto-completo</dc:title>
  <dc:creator>Codex Markdown Exporter</dc:creator>
  <cp:lastModifiedBy>Codex Markdown Exporter</cp:lastModifiedBy>
  <dcterms:created xsi:type="dcterms:W3CDTF">2026-06-15T19:16:55Z</dcterms:created>
  <dcterms:modified xsi:type="dcterms:W3CDTF">2026-06-15T19:16:55Z</dcterms:modified>
</cp:coreProperties>
</file>