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Anexo D — Preparação para fabrico e verificação dos protótipos</w:t>
      </w:r>
    </w:p>
    <w:p>
      <w:pPr>
        <w:pStyle w:val="Heading2"/>
      </w:pPr>
      <w:r>
        <w:t>D.1 Finalidade</w:t>
      </w:r>
    </w:p>
    <w:p>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Heading2"/>
      </w:pPr>
      <w:r>
        <w:t>D.2 Distinção entre estimativa e medição real</w:t>
      </w:r>
    </w:p>
    <w:p>
      <w:pPr/>
      <w:r>
        <w:t xml:space="preserve">Todos os valores numéricos deste anexo — tempo, comprimento de filamento, massa, volume, custo — são </w:t>
      </w:r>
      <w:r>
        <w:rPr>
          <w:b/>
        </w:rPr>
        <w:t>estimativas produzidas por software de fatiamento</w:t>
      </w:r>
      <w:r>
        <w:t xml:space="preserve"> (Bambu Studio e PrusaSlicer). São o resultado do planeamento de trajectórias que o fatiador faz antes de existir qualquer objecto físico.</w:t>
      </w:r>
    </w:p>
    <w:p>
      <w:pPr/>
      <w:r>
        <w:t>Em consequência, e de forma explícita:</w:t>
      </w:r>
    </w:p>
    <w:p>
      <w:pPr>
        <w:pStyle w:val="ListBullet"/>
      </w:pPr>
      <w:r>
        <w:t xml:space="preserve">- </w:t>
      </w:r>
      <w:r>
        <w:rPr>
          <w:b/>
        </w:rPr>
        <w:t>Não são medições de impressões reais.</w:t>
      </w:r>
      <w:r>
        <w:t xml:space="preserve"> Uma impressão física difere por</w:t>
      </w:r>
    </w:p>
    <w:p>
      <w:pPr/>
      <w:r>
        <w:t>factores de máquina, humidade do filamento, calibração e temperatura.</w:t>
      </w:r>
    </w:p>
    <w:p>
      <w:pPr>
        <w:pStyle w:val="ListBullet"/>
      </w:pPr>
      <w:r>
        <w:t xml:space="preserve">- </w:t>
      </w:r>
      <w:r>
        <w:rPr>
          <w:b/>
        </w:rPr>
        <w:t>Não são indicadores de desempenho estrutural.</w:t>
      </w:r>
      <w:r>
        <w:t xml:space="preserve"> O tempo ou a massa estimados</w:t>
      </w:r>
    </w:p>
    <w:p>
      <w:pPr/>
      <w:r>
        <w:t>nada dizem sobre a resistência da peça.</w:t>
      </w:r>
    </w:p>
    <w:p>
      <w:pPr>
        <w:pStyle w:val="ListBullet"/>
      </w:pPr>
      <w:r>
        <w:t xml:space="preserve">- </w:t>
      </w:r>
      <w:r>
        <w:rPr>
          <w:b/>
        </w:rPr>
        <w:t>A verificação de malha é geométrica, não mecânica.</w:t>
      </w:r>
      <w:r>
        <w:t xml:space="preserve"> «Estanque/manifold» e</w:t>
      </w:r>
    </w:p>
    <w:p>
      <w:pPr/>
      <w:r>
        <w:t>«faces degeneradas» descrevem a integridade do ficheiro 3D; não são medida da robustez do objecto impresso.</w:t>
      </w:r>
    </w:p>
    <w:p>
      <w:pPr>
        <w:pStyle w:val="ListBullet"/>
      </w:pPr>
      <w:r>
        <w:t xml:space="preserve">- </w:t>
      </w:r>
      <w:r>
        <w:rPr>
          <w:b/>
        </w:rPr>
        <w:t>As estimativas dependem da versão e do perfil.</w:t>
      </w:r>
      <w:r>
        <w:t xml:space="preserve"> Trocar de versão de fatiador,</w:t>
      </w:r>
    </w:p>
    <w:p>
      <w:pPr/>
      <w:r>
        <w:t>de perfil de processo ou de firmware altera os números.</w:t>
      </w:r>
    </w:p>
    <w:p>
      <w:pPr/>
      <w:r>
        <w:t xml:space="preserve">Estes valores devem, pois, ser lidos como </w:t>
      </w:r>
      <w:r>
        <w:rPr>
          <w:b/>
        </w:rPr>
        <w:t>indicadores comparativos de exigência de preparação</w:t>
      </w:r>
      <w:r>
        <w:t>, e não como propriedades físicas do produto final.</w:t>
      </w:r>
    </w:p>
    <w:p>
      <w:pPr>
        <w:pStyle w:val="Heading2"/>
      </w:pPr>
      <w:r>
        <w:t>D.3 Variáveis, controlos e materiais</w:t>
      </w:r>
    </w:p>
    <w:p>
      <w:pPr/>
      <w:r>
        <w:t xml:space="preserve">Foram conduzidas duas séries de ensaios complementares. Os comandos exactos, versões e </w:t>
      </w:r>
      <w:r>
        <w:rPr>
          <w:i/>
        </w:rPr>
        <w:t>checksums</w:t>
      </w:r>
      <w:r>
        <w:t xml:space="preserve"> estão no repositório do projecto (</w:t>
      </w:r>
      <w:r>
        <w:rPr>
          <w:rFonts w:ascii="Consolas" w:hAnsi="Consolas"/>
          <w:sz w:val="20"/>
        </w:rPr>
        <w:t>docs/print-validation/slicer-evaluation/</w:t>
      </w:r>
      <w:r>
        <w:t>).</w:t>
      </w:r>
    </w:p>
    <w:p>
      <w:pPr/>
      <w:r>
        <w:rPr>
          <w:b/>
        </w:rPr>
        <w:t>Programas:</w:t>
      </w:r>
      <w:r>
        <w:t xml:space="preserve"> Bambu Studio </w:t>
      </w:r>
      <w:r>
        <w:rPr>
          <w:rFonts w:ascii="Consolas" w:hAnsi="Consolas"/>
          <w:sz w:val="20"/>
        </w:rPr>
        <w:t>01.10.02.76</w:t>
      </w:r>
      <w:r>
        <w:t xml:space="preserve">; PrusaSlicer </w:t>
      </w:r>
      <w:r>
        <w:rPr>
          <w:rFonts w:ascii="Consolas" w:hAnsi="Consolas"/>
          <w:sz w:val="20"/>
        </w:rPr>
        <w:t>2.8.1</w:t>
      </w:r>
      <w:r>
        <w:t>. Análise geométrica em Python 3.12 / NumPy 2.4 (sem fatiamento).</w:t>
      </w:r>
    </w:p>
    <w:p>
      <w:pPr>
        <w:pStyle w:val="Heading3"/>
      </w:pPr>
      <w:r>
        <w:t>D.3.1 Série A — projectos arquivados (fatiados como preparados)</w:t>
      </w:r>
    </w:p>
    <w:p>
      <w:pPr/>
      <w:r>
        <w:t xml:space="preserve">Quatro projectos de impressão previamente preparados e preservados foram </w:t>
      </w:r>
      <w:r>
        <w:rPr>
          <w:b/>
        </w:rPr>
        <w:t>re-fatiados com o seu próprio perfil embebido</w:t>
      </w:r>
      <w:r>
        <w:t xml:space="preserve">, mantendo layout e orientação. (Observação metodológica: os ficheiros guardavam geometria, definições e disposição na placa, mas </w:t>
      </w:r>
      <w:r>
        <w:rPr>
          <w:b/>
        </w:rPr>
        <w:t>não</w:t>
      </w:r>
      <w:r>
        <w:t xml:space="preserve"> os resultados de fatiamento; estes tiveram de ser recalculados.)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r>
              <w:t>#</w:t>
            </w:r>
          </w:p>
        </w:tc>
        <w:tc>
          <w:tcPr>
            <w:tcW w:w="1800" w:type="dxa"/>
          </w:tcPr>
          <w:p>
            <w:pPr/>
            <w:r>
              <w:t>Modelo</w:t>
            </w:r>
          </w:p>
        </w:tc>
        <w:tc>
          <w:tcPr>
            <w:tcW w:w="1800" w:type="dxa"/>
          </w:tcPr>
          <w:p>
            <w:pPr/>
            <w:r>
              <w:t>Idade</w:t>
            </w:r>
          </w:p>
        </w:tc>
        <w:tc>
          <w:tcPr>
            <w:tcW w:w="1800" w:type="dxa"/>
          </w:tcPr>
          <w:p>
            <w:pPr/>
            <w:r>
              <w:t>Material</w:t>
            </w:r>
          </w:p>
        </w:tc>
        <w:tc>
          <w:tcPr>
            <w:tcW w:w="1800" w:type="dxa"/>
          </w:tcPr>
          <w:p>
            <w:pPr/>
            <w:r>
              <w:t>Fatiador / Impressora</w:t>
            </w:r>
          </w:p>
        </w:tc>
      </w:tr>
      <w:tr>
        <w:trPr>
          <w:cantSplit/>
        </w:trPr>
        <w:tc>
          <w:tcPr>
            <w:tcW w:w="1800" w:type="dxa"/>
          </w:tcPr>
          <w:p>
            <w:pPr/>
            <w:r>
              <w:t>1</w:t>
            </w:r>
          </w:p>
        </w:tc>
        <w:tc>
          <w:tcPr>
            <w:tcW w:w="1800" w:type="dxa"/>
          </w:tcPr>
          <w:p>
            <w:pPr/>
            <w:r>
              <w:t>Flexy Beast</w:t>
            </w:r>
          </w:p>
        </w:tc>
        <w:tc>
          <w:tcPr>
            <w:tcW w:w="1800" w:type="dxa"/>
          </w:tcPr>
          <w:p>
            <w:pPr/>
            <w:r>
              <w:t>15</w:t>
            </w:r>
          </w:p>
        </w:tc>
        <w:tc>
          <w:tcPr>
            <w:tcW w:w="1800" w:type="dxa"/>
          </w:tcPr>
          <w:p>
            <w:pPr/>
            <w:r>
              <w:t>PLA</w:t>
            </w:r>
          </w:p>
        </w:tc>
        <w:tc>
          <w:tcPr>
            <w:tcW w:w="1800" w:type="dxa"/>
          </w:tcPr>
          <w:p>
            <w:pPr/>
            <w:r>
              <w:t>Bambu Studio / Bambu Lab A1</w:t>
            </w:r>
          </w:p>
        </w:tc>
      </w:tr>
      <w:tr>
        <w:trPr>
          <w:cantSplit/>
        </w:trPr>
        <w:tc>
          <w:tcPr>
            <w:tcW w:w="1800" w:type="dxa"/>
          </w:tcPr>
          <w:p>
            <w:pPr/>
            <w:r>
              <w:t>2</w:t>
            </w:r>
          </w:p>
        </w:tc>
        <w:tc>
          <w:tcPr>
            <w:tcW w:w="1800" w:type="dxa"/>
          </w:tcPr>
          <w:p>
            <w:pPr/>
            <w:r>
              <w:t>UnLimbited Phoenix</w:t>
            </w:r>
          </w:p>
        </w:tc>
        <w:tc>
          <w:tcPr>
            <w:tcW w:w="1800" w:type="dxa"/>
          </w:tcPr>
          <w:p>
            <w:pPr/>
            <w:r>
              <w:t>15</w:t>
            </w:r>
          </w:p>
        </w:tc>
        <w:tc>
          <w:tcPr>
            <w:tcW w:w="1800" w:type="dxa"/>
          </w:tcPr>
          <w:p>
            <w:pPr/>
            <w:r>
              <w:t>PLA</w:t>
            </w:r>
          </w:p>
        </w:tc>
        <w:tc>
          <w:tcPr>
            <w:tcW w:w="1800" w:type="dxa"/>
          </w:tcPr>
          <w:p>
            <w:pPr/>
            <w:r>
              <w:t>Bambu Studio / Bambu Lab A1</w:t>
            </w:r>
          </w:p>
        </w:tc>
      </w:tr>
      <w:tr>
        <w:trPr>
          <w:cantSplit/>
        </w:trPr>
        <w:tc>
          <w:tcPr>
            <w:tcW w:w="1800" w:type="dxa"/>
          </w:tcPr>
          <w:p>
            <w:pPr/>
            <w:r>
              <w:t>3</w:t>
            </w:r>
          </w:p>
        </w:tc>
        <w:tc>
          <w:tcPr>
            <w:tcW w:w="1800" w:type="dxa"/>
          </w:tcPr>
          <w:p>
            <w:pPr/>
            <w:r>
              <w:t>UnLimbited Phoenix</w:t>
            </w:r>
          </w:p>
        </w:tc>
        <w:tc>
          <w:tcPr>
            <w:tcW w:w="1800" w:type="dxa"/>
          </w:tcPr>
          <w:p>
            <w:pPr/>
            <w:r>
              <w:t>15</w:t>
            </w:r>
          </w:p>
        </w:tc>
        <w:tc>
          <w:tcPr>
            <w:tcW w:w="1800" w:type="dxa"/>
          </w:tcPr>
          <w:p>
            <w:pPr/>
            <w:r>
              <w:t>PETG</w:t>
            </w:r>
          </w:p>
        </w:tc>
        <w:tc>
          <w:tcPr>
            <w:tcW w:w="1800" w:type="dxa"/>
          </w:tcPr>
          <w:p>
            <w:pPr/>
            <w:r>
              <w:t>Bambu Studio / Bambu Lab A1</w:t>
            </w:r>
          </w:p>
        </w:tc>
      </w:tr>
      <w:tr>
        <w:trPr>
          <w:cantSplit/>
        </w:trPr>
        <w:tc>
          <w:tcPr>
            <w:tcW w:w="1800" w:type="dxa"/>
          </w:tcPr>
          <w:p>
            <w:pPr/>
            <w:r>
              <w:t>4</w:t>
            </w:r>
          </w:p>
        </w:tc>
        <w:tc>
          <w:tcPr>
            <w:tcW w:w="1800" w:type="dxa"/>
          </w:tcPr>
          <w:p>
            <w:pPr/>
            <w:r>
              <w:t>Paraglider Hand</w:t>
            </w:r>
          </w:p>
        </w:tc>
        <w:tc>
          <w:tcPr>
            <w:tcW w:w="1800" w:type="dxa"/>
          </w:tcPr>
          <w:p>
            <w:pPr/>
            <w:r>
              <w:t>15</w:t>
            </w:r>
          </w:p>
        </w:tc>
        <w:tc>
          <w:tcPr>
            <w:tcW w:w="1800" w:type="dxa"/>
          </w:tcPr>
          <w:p>
            <w:pPr/>
            <w:r>
              <w:t>PLA</w:t>
            </w:r>
          </w:p>
        </w:tc>
        <w:tc>
          <w:tcPr>
            <w:tcW w:w="1800" w:type="dxa"/>
          </w:tcPr>
          <w:p>
            <w:pPr/>
            <w:r>
              <w:t>PrusaSlicer / Prusa MINI</w:t>
            </w:r>
          </w:p>
        </w:tc>
      </w:tr>
    </w:tbl>
    <w:p>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Heading3"/>
      </w:pPr>
      <w:r>
        <w:t>D.3.2 Série B — comparação digital controlada</w:t>
      </w:r>
    </w:p>
    <w:p>
      <w:pPr/>
      <w:r>
        <w:t>Três modelos (Flexy Beast, Paraglider Hand, UnLimbited Phoenix) × quatro perfis simulados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fatiados sob </w:t>
      </w:r>
      <w:r>
        <w:rPr>
          <w:b/>
        </w:rPr>
        <w:t>uma única condição virtual comum</w:t>
      </w:r>
      <w:r>
        <w:t xml:space="preserve">, para isolar o efeito do </w:t>
      </w:r>
      <w:r>
        <w:rPr>
          <w:b/>
        </w:rPr>
        <w:t>modelo</w:t>
      </w:r>
      <w:r>
        <w:t xml:space="preserve"> e da </w:t>
      </w:r>
      <w:r>
        <w:rPr>
          <w:b/>
        </w:rPr>
        <w:t>dimensão</w:t>
      </w:r>
      <w:r>
        <w:t>:</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r>
              <w:t>Variável</w:t>
            </w:r>
          </w:p>
        </w:tc>
        <w:tc>
          <w:tcPr>
            <w:tcW w:w="3000" w:type="dxa"/>
          </w:tcPr>
          <w:p>
            <w:pPr/>
            <w:r>
              <w:t>Estatuto</w:t>
            </w:r>
          </w:p>
        </w:tc>
        <w:tc>
          <w:tcPr>
            <w:tcW w:w="3000" w:type="dxa"/>
          </w:tcPr>
          <w:p>
            <w:pPr/>
            <w:r>
              <w:t>Valor</w:t>
            </w:r>
          </w:p>
        </w:tc>
      </w:tr>
      <w:tr>
        <w:trPr>
          <w:cantSplit/>
        </w:trPr>
        <w:tc>
          <w:tcPr>
            <w:tcW w:w="3000" w:type="dxa"/>
          </w:tcPr>
          <w:p>
            <w:pPr/>
            <w:r>
              <w:t>Impressora</w:t>
            </w:r>
          </w:p>
        </w:tc>
        <w:tc>
          <w:tcPr>
            <w:tcW w:w="3000" w:type="dxa"/>
          </w:tcPr>
          <w:p>
            <w:pPr/>
            <w:r>
              <w:t>controlada</w:t>
            </w:r>
          </w:p>
        </w:tc>
        <w:tc>
          <w:tcPr>
            <w:tcW w:w="3000" w:type="dxa"/>
          </w:tcPr>
          <w:p>
            <w:pPr/>
            <w:r>
              <w:t>Bambu Lab A1, bico 0,4 mm</w:t>
            </w:r>
          </w:p>
        </w:tc>
      </w:tr>
      <w:tr>
        <w:trPr>
          <w:cantSplit/>
        </w:trPr>
        <w:tc>
          <w:tcPr>
            <w:tcW w:w="3000" w:type="dxa"/>
          </w:tcPr>
          <w:p>
            <w:pPr/>
            <w:r>
              <w:t>Filamento</w:t>
            </w:r>
          </w:p>
        </w:tc>
        <w:tc>
          <w:tcPr>
            <w:tcW w:w="3000" w:type="dxa"/>
          </w:tcPr>
          <w:p>
            <w:pPr/>
            <w:r>
              <w:t>controlada</w:t>
            </w:r>
          </w:p>
        </w:tc>
        <w:tc>
          <w:tcPr>
            <w:tcW w:w="3000" w:type="dxa"/>
          </w:tcPr>
          <w:p>
            <w:pPr/>
            <w:r>
              <w:t>Bambu PLA Basic</w:t>
            </w:r>
          </w:p>
        </w:tc>
      </w:tr>
      <w:tr>
        <w:trPr>
          <w:cantSplit/>
        </w:trPr>
        <w:tc>
          <w:tcPr>
            <w:tcW w:w="3000" w:type="dxa"/>
          </w:tcPr>
          <w:p>
            <w:pPr/>
            <w:r>
              <w:t>Altura de camada</w:t>
            </w:r>
          </w:p>
        </w:tc>
        <w:tc>
          <w:tcPr>
            <w:tcW w:w="3000" w:type="dxa"/>
          </w:tcPr>
          <w:p>
            <w:pPr/>
            <w:r>
              <w:t>controlada</w:t>
            </w:r>
          </w:p>
        </w:tc>
        <w:tc>
          <w:tcPr>
            <w:tcW w:w="3000" w:type="dxa"/>
          </w:tcPr>
          <w:p>
            <w:pPr/>
            <w:r>
              <w:t>0,20 mm</w:t>
            </w:r>
          </w:p>
        </w:tc>
      </w:tr>
      <w:tr>
        <w:trPr>
          <w:cantSplit/>
        </w:trPr>
        <w:tc>
          <w:tcPr>
            <w:tcW w:w="3000" w:type="dxa"/>
          </w:tcPr>
          <w:p>
            <w:pPr/>
            <w:r>
              <w:t>Paredes</w:t>
            </w:r>
          </w:p>
        </w:tc>
        <w:tc>
          <w:tcPr>
            <w:tcW w:w="3000" w:type="dxa"/>
          </w:tcPr>
          <w:p>
            <w:pPr/>
            <w:r>
              <w:t>controlada</w:t>
            </w:r>
          </w:p>
        </w:tc>
        <w:tc>
          <w:tcPr>
            <w:tcW w:w="3000" w:type="dxa"/>
          </w:tcPr>
          <w:p>
            <w:pPr/>
            <w:r>
              <w:t>2</w:t>
            </w:r>
          </w:p>
        </w:tc>
      </w:tr>
      <w:tr>
        <w:trPr>
          <w:cantSplit/>
        </w:trPr>
        <w:tc>
          <w:tcPr>
            <w:tcW w:w="3000" w:type="dxa"/>
          </w:tcPr>
          <w:p>
            <w:pPr/>
            <w:r>
              <w:t>Enchimento</w:t>
            </w:r>
          </w:p>
        </w:tc>
        <w:tc>
          <w:tcPr>
            <w:tcW w:w="3000" w:type="dxa"/>
          </w:tcPr>
          <w:p>
            <w:pPr/>
            <w:r>
              <w:t>controlada</w:t>
            </w:r>
          </w:p>
        </w:tc>
        <w:tc>
          <w:tcPr>
            <w:tcW w:w="3000" w:type="dxa"/>
          </w:tcPr>
          <w:p>
            <w:pPr/>
            <w:r>
              <w:t>15%, grelha</w:t>
            </w:r>
          </w:p>
        </w:tc>
      </w:tr>
      <w:tr>
        <w:trPr>
          <w:cantSplit/>
        </w:trPr>
        <w:tc>
          <w:tcPr>
            <w:tcW w:w="3000" w:type="dxa"/>
          </w:tcPr>
          <w:p>
            <w:pPr/>
            <w:r>
              <w:t>Suportes</w:t>
            </w:r>
          </w:p>
        </w:tc>
        <w:tc>
          <w:tcPr>
            <w:tcW w:w="3000" w:type="dxa"/>
          </w:tcPr>
          <w:p>
            <w:pPr/>
            <w:r>
              <w:t>controlada (política única)</w:t>
            </w:r>
          </w:p>
        </w:tc>
        <w:tc>
          <w:tcPr>
            <w:tcW w:w="3000" w:type="dxa"/>
          </w:tcPr>
          <w:p>
            <w:pPr/>
            <w:r>
              <w:rPr>
                <w:b/>
              </w:rPr>
              <w:t>desligados</w:t>
            </w:r>
          </w:p>
        </w:tc>
      </w:tr>
      <w:tr>
        <w:trPr>
          <w:cantSplit/>
        </w:trPr>
        <w:tc>
          <w:tcPr>
            <w:tcW w:w="3000" w:type="dxa"/>
          </w:tcPr>
          <w:p>
            <w:pPr/>
            <w:r>
              <w:t>Aba</w:t>
            </w:r>
          </w:p>
        </w:tc>
        <w:tc>
          <w:tcPr>
            <w:tcW w:w="3000" w:type="dxa"/>
          </w:tcPr>
          <w:p>
            <w:pPr/>
            <w:r>
              <w:t>controlada</w:t>
            </w:r>
          </w:p>
        </w:tc>
        <w:tc>
          <w:tcPr>
            <w:tcW w:w="3000" w:type="dxa"/>
          </w:tcPr>
          <w:p>
            <w:pPr/>
            <w:r>
              <w:t>automática</w:t>
            </w:r>
          </w:p>
        </w:tc>
      </w:tr>
      <w:tr>
        <w:trPr>
          <w:cantSplit/>
        </w:trPr>
        <w:tc>
          <w:tcPr>
            <w:tcW w:w="3000" w:type="dxa"/>
          </w:tcPr>
          <w:p>
            <w:pPr/>
            <w:r>
              <w:t>Modelo e conjunto dimensional do perfil</w:t>
            </w:r>
          </w:p>
        </w:tc>
        <w:tc>
          <w:tcPr>
            <w:tcW w:w="3000" w:type="dxa"/>
          </w:tcPr>
          <w:p>
            <w:pPr/>
            <w:r>
              <w:t>variáveis de comparação</w:t>
            </w:r>
          </w:p>
        </w:tc>
        <w:tc>
          <w:tcPr>
            <w:tcW w:w="3000" w:type="dxa"/>
          </w:tcPr>
          <w:p>
            <w:pPr/>
            <w:r>
              <w:t>3 × 4</w:t>
            </w:r>
          </w:p>
        </w:tc>
      </w:tr>
    </w:tbl>
    <w:p>
      <w:pPr/>
      <w:r>
        <w:t xml:space="preserve">A orientação de cada peça exportada foi mantida; o fatiador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do fatiamento.</w:t>
      </w:r>
    </w:p>
    <w:p>
      <w:pPr>
        <w:pStyle w:val="Heading2"/>
      </w:pPr>
      <w:r>
        <w:t>D.4 Resultados</w:t>
      </w:r>
    </w:p>
    <w:p>
      <w:pPr/>
      <w:r>
        <w:t xml:space="preserve">Os dados completos estão nos ficheiros CSV que acompanham este anexo: </w:t>
      </w:r>
      <w:r>
        <w:rPr>
          <w:rFonts w:ascii="Consolas" w:hAnsi="Consolas"/>
          <w:sz w:val="20"/>
        </w:rPr>
        <w:t>resultados_projectos_arquivados.csv</w:t>
      </w:r>
      <w:r>
        <w:t xml:space="preserve">, </w:t>
      </w:r>
      <w:r>
        <w:rPr>
          <w:rFonts w:ascii="Consolas" w:hAnsi="Consolas"/>
          <w:sz w:val="20"/>
        </w:rPr>
        <w:t>resultados_campanha_controlada.csv</w:t>
      </w:r>
      <w:r>
        <w:t xml:space="preserve"> e </w:t>
      </w:r>
      <w:r>
        <w:rPr>
          <w:rFonts w:ascii="Consolas" w:hAnsi="Consolas"/>
          <w:sz w:val="20"/>
        </w:rPr>
        <w:t>resultados_geometria.csv</w:t>
      </w:r>
      <w:r>
        <w:t>.</w:t>
      </w:r>
    </w:p>
    <w:p>
      <w:pPr>
        <w:pStyle w:val="Heading3"/>
      </w:pPr>
      <w:r>
        <w:t>D.4.1 Série A</w:t>
      </w:r>
    </w:p>
    <w:p>
      <w:pPr/>
      <w:r>
        <w:t>Tabela D.1 — Estimativas dos projectos de impressão arquivados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818"/>
        <w:gridCol w:w="818"/>
        <w:gridCol w:w="818"/>
        <w:gridCol w:w="818"/>
        <w:gridCol w:w="818"/>
        <w:gridCol w:w="818"/>
        <w:gridCol w:w="818"/>
        <w:gridCol w:w="818"/>
        <w:gridCol w:w="818"/>
        <w:gridCol w:w="818"/>
        <w:gridCol w:w="818"/>
      </w:tblGrid>
      <w:tr>
        <w:trPr>
          <w:tblHeader/>
          <w:cantSplit/>
        </w:trPr>
        <w:tc>
          <w:tcPr>
            <w:tcW w:w="818" w:type="dxa"/>
          </w:tcPr>
          <w:p>
            <w:pPr/>
            <w:r>
              <w:t>Modelo</w:t>
            </w:r>
          </w:p>
        </w:tc>
        <w:tc>
          <w:tcPr>
            <w:tcW w:w="818" w:type="dxa"/>
          </w:tcPr>
          <w:p>
            <w:pPr/>
            <w:r>
              <w:t>Perfil</w:t>
            </w:r>
          </w:p>
        </w:tc>
        <w:tc>
          <w:tcPr>
            <w:tcW w:w="818" w:type="dxa"/>
          </w:tcPr>
          <w:p>
            <w:pPr/>
            <w:r>
              <w:t>Material</w:t>
            </w:r>
          </w:p>
        </w:tc>
        <w:tc>
          <w:tcPr>
            <w:tcW w:w="818" w:type="dxa"/>
          </w:tcPr>
          <w:p>
            <w:pPr/>
            <w:r>
              <w:t>Impressora</w:t>
            </w:r>
          </w:p>
        </w:tc>
        <w:tc>
          <w:tcPr>
            <w:tcW w:w="818" w:type="dxa"/>
          </w:tcPr>
          <w:p>
            <w:pPr/>
            <w:r>
              <w:t>Camada</w:t>
            </w:r>
          </w:p>
        </w:tc>
        <w:tc>
          <w:tcPr>
            <w:tcW w:w="818" w:type="dxa"/>
          </w:tcPr>
          <w:p>
            <w:pPr/>
            <w:r>
              <w:t>Enchimento</w:t>
            </w:r>
          </w:p>
        </w:tc>
        <w:tc>
          <w:tcPr>
            <w:tcW w:w="818" w:type="dxa"/>
          </w:tcPr>
          <w:p>
            <w:pPr/>
            <w:r>
              <w:t>Suportes</w:t>
            </w:r>
          </w:p>
        </w:tc>
        <w:tc>
          <w:tcPr>
            <w:tcW w:w="818" w:type="dxa"/>
          </w:tcPr>
          <w:p>
            <w:pPr/>
            <w:r>
              <w:t>Tempo estimado</w:t>
            </w:r>
          </w:p>
        </w:tc>
        <w:tc>
          <w:tcPr>
            <w:tcW w:w="818" w:type="dxa"/>
          </w:tcPr>
          <w:p>
            <w:pPr/>
            <w:r>
              <w:t>Filamento estimado</w:t>
            </w:r>
          </w:p>
        </w:tc>
        <w:tc>
          <w:tcPr>
            <w:tcW w:w="818" w:type="dxa"/>
          </w:tcPr>
          <w:p>
            <w:pPr/>
            <w:r>
              <w:t>Massa estimada</w:t>
            </w:r>
          </w:p>
        </w:tc>
        <w:tc>
          <w:tcPr>
            <w:tcW w:w="818" w:type="dxa"/>
          </w:tcPr>
          <w:p>
            <w:pPr/>
            <w:r>
              <w:t>Custo (36,29 €/kg)</w:t>
            </w:r>
          </w:p>
        </w:tc>
      </w:tr>
      <w:tr>
        <w:trPr>
          <w:cantSplit/>
        </w:trPr>
        <w:tc>
          <w:tcPr>
            <w:tcW w:w="818" w:type="dxa"/>
          </w:tcPr>
          <w:p>
            <w:pPr/>
            <w:r>
              <w:t>Flexy Beast</w:t>
            </w:r>
          </w:p>
        </w:tc>
        <w:tc>
          <w:tcPr>
            <w:tcW w:w="818" w:type="dxa"/>
          </w:tcPr>
          <w:p>
            <w:pPr/>
            <w:r>
              <w:rPr>
                <w:rFonts w:ascii="Consolas" w:hAnsi="Consolas"/>
                <w:sz w:val="20"/>
              </w:rPr>
              <w:t>teen_15</w:t>
            </w:r>
          </w:p>
        </w:tc>
        <w:tc>
          <w:tcPr>
            <w:tcW w:w="818" w:type="dxa"/>
          </w:tcPr>
          <w:p>
            <w:pPr/>
            <w:r>
              <w:t>PLA</w:t>
            </w:r>
          </w:p>
        </w:tc>
        <w:tc>
          <w:tcPr>
            <w:tcW w:w="818" w:type="dxa"/>
          </w:tcPr>
          <w:p>
            <w:pPr/>
            <w:r>
              <w:t>Bambu Lab A1, bico 0,4 mm</w:t>
            </w:r>
          </w:p>
        </w:tc>
        <w:tc>
          <w:tcPr>
            <w:tcW w:w="818" w:type="dxa"/>
          </w:tcPr>
          <w:p>
            <w:pPr/>
            <w:r>
              <w:t>0,24 mm</w:t>
            </w:r>
          </w:p>
        </w:tc>
        <w:tc>
          <w:tcPr>
            <w:tcW w:w="818" w:type="dxa"/>
          </w:tcPr>
          <w:p>
            <w:pPr/>
            <w:r>
              <w:t>15%, grelha</w:t>
            </w:r>
          </w:p>
        </w:tc>
        <w:tc>
          <w:tcPr>
            <w:tcW w:w="818" w:type="dxa"/>
          </w:tcPr>
          <w:p>
            <w:pPr/>
            <w:r>
              <w:t>Árvore orgânica</w:t>
            </w:r>
          </w:p>
        </w:tc>
        <w:tc>
          <w:tcPr>
            <w:tcW w:w="818" w:type="dxa"/>
          </w:tcPr>
          <w:p>
            <w:pPr/>
            <w:r>
              <w:t>2 h 21 min 50 s</w:t>
            </w:r>
          </w:p>
        </w:tc>
        <w:tc>
          <w:tcPr>
            <w:tcW w:w="818" w:type="dxa"/>
          </w:tcPr>
          <w:p>
            <w:pPr/>
            <w:r>
              <w:t>18 645,87 mm</w:t>
            </w:r>
          </w:p>
        </w:tc>
        <w:tc>
          <w:tcPr>
            <w:tcW w:w="818" w:type="dxa"/>
          </w:tcPr>
          <w:p>
            <w:pPr/>
            <w:r>
              <w:t>56,51 g</w:t>
            </w:r>
          </w:p>
        </w:tc>
        <w:tc>
          <w:tcPr>
            <w:tcW w:w="818" w:type="dxa"/>
          </w:tcPr>
          <w:p>
            <w:pPr/>
            <w:r>
              <w:t>2,05 €</w:t>
            </w:r>
          </w:p>
        </w:tc>
      </w:tr>
      <w:tr>
        <w:trPr>
          <w:cantSplit/>
        </w:trPr>
        <w:tc>
          <w:tcPr>
            <w:tcW w:w="818" w:type="dxa"/>
          </w:tcPr>
          <w:p>
            <w:pPr/>
            <w:r>
              <w:t>UnLimbited Phoenix</w:t>
            </w:r>
          </w:p>
        </w:tc>
        <w:tc>
          <w:tcPr>
            <w:tcW w:w="818" w:type="dxa"/>
          </w:tcPr>
          <w:p>
            <w:pPr/>
            <w:r>
              <w:rPr>
                <w:rFonts w:ascii="Consolas" w:hAnsi="Consolas"/>
                <w:sz w:val="20"/>
              </w:rPr>
              <w:t>teen_15</w:t>
            </w:r>
          </w:p>
        </w:tc>
        <w:tc>
          <w:tcPr>
            <w:tcW w:w="818" w:type="dxa"/>
          </w:tcPr>
          <w:p>
            <w:pPr/>
            <w:r>
              <w:t>PLA</w:t>
            </w:r>
          </w:p>
        </w:tc>
        <w:tc>
          <w:tcPr>
            <w:tcW w:w="818" w:type="dxa"/>
          </w:tcPr>
          <w:p>
            <w:pPr/>
            <w:r>
              <w:t>Bambu Lab A1, bico 0,4 mm</w:t>
            </w:r>
          </w:p>
        </w:tc>
        <w:tc>
          <w:tcPr>
            <w:tcW w:w="818" w:type="dxa"/>
          </w:tcPr>
          <w:p>
            <w:pPr/>
            <w:r>
              <w:t>0,24 mm</w:t>
            </w:r>
          </w:p>
        </w:tc>
        <w:tc>
          <w:tcPr>
            <w:tcW w:w="818" w:type="dxa"/>
          </w:tcPr>
          <w:p>
            <w:pPr/>
            <w:r>
              <w:t>15%, grelha</w:t>
            </w:r>
          </w:p>
        </w:tc>
        <w:tc>
          <w:tcPr>
            <w:tcW w:w="818" w:type="dxa"/>
          </w:tcPr>
          <w:p>
            <w:pPr/>
            <w:r>
              <w:t>Árvore orgânica</w:t>
            </w:r>
          </w:p>
        </w:tc>
        <w:tc>
          <w:tcPr>
            <w:tcW w:w="818" w:type="dxa"/>
          </w:tcPr>
          <w:p>
            <w:pPr/>
            <w:r>
              <w:t>5 h 12 min 44 s</w:t>
            </w:r>
          </w:p>
        </w:tc>
        <w:tc>
          <w:tcPr>
            <w:tcW w:w="818" w:type="dxa"/>
          </w:tcPr>
          <w:p>
            <w:pPr/>
            <w:r>
              <w:t>40 756,68 mm</w:t>
            </w:r>
          </w:p>
        </w:tc>
        <w:tc>
          <w:tcPr>
            <w:tcW w:w="818" w:type="dxa"/>
          </w:tcPr>
          <w:p>
            <w:pPr/>
            <w:r>
              <w:t>123,52 g</w:t>
            </w:r>
          </w:p>
        </w:tc>
        <w:tc>
          <w:tcPr>
            <w:tcW w:w="818" w:type="dxa"/>
          </w:tcPr>
          <w:p>
            <w:pPr/>
            <w:r>
              <w:t>4,48 €</w:t>
            </w:r>
          </w:p>
        </w:tc>
      </w:tr>
      <w:tr>
        <w:trPr>
          <w:cantSplit/>
        </w:trPr>
        <w:tc>
          <w:tcPr>
            <w:tcW w:w="818" w:type="dxa"/>
          </w:tcPr>
          <w:p>
            <w:pPr/>
            <w:r>
              <w:t>UnLimbited Phoenix</w:t>
            </w:r>
          </w:p>
        </w:tc>
        <w:tc>
          <w:tcPr>
            <w:tcW w:w="818" w:type="dxa"/>
          </w:tcPr>
          <w:p>
            <w:pPr/>
            <w:r>
              <w:rPr>
                <w:rFonts w:ascii="Consolas" w:hAnsi="Consolas"/>
                <w:sz w:val="20"/>
              </w:rPr>
              <w:t>teen_15</w:t>
            </w:r>
          </w:p>
        </w:tc>
        <w:tc>
          <w:tcPr>
            <w:tcW w:w="818" w:type="dxa"/>
          </w:tcPr>
          <w:p>
            <w:pPr/>
            <w:r>
              <w:t>PETG</w:t>
            </w:r>
          </w:p>
        </w:tc>
        <w:tc>
          <w:tcPr>
            <w:tcW w:w="818" w:type="dxa"/>
          </w:tcPr>
          <w:p>
            <w:pPr/>
            <w:r>
              <w:t>Bambu Lab A1, bico 0,4 mm</w:t>
            </w:r>
          </w:p>
        </w:tc>
        <w:tc>
          <w:tcPr>
            <w:tcW w:w="818" w:type="dxa"/>
          </w:tcPr>
          <w:p>
            <w:pPr/>
            <w:r>
              <w:t>0,24 mm</w:t>
            </w:r>
          </w:p>
        </w:tc>
        <w:tc>
          <w:tcPr>
            <w:tcW w:w="818" w:type="dxa"/>
          </w:tcPr>
          <w:p>
            <w:pPr/>
            <w:r>
              <w:t>15%, grelha</w:t>
            </w:r>
          </w:p>
        </w:tc>
        <w:tc>
          <w:tcPr>
            <w:tcW w:w="818" w:type="dxa"/>
          </w:tcPr>
          <w:p>
            <w:pPr/>
            <w:r>
              <w:t>Árvore orgânica</w:t>
            </w:r>
          </w:p>
        </w:tc>
        <w:tc>
          <w:tcPr>
            <w:tcW w:w="818" w:type="dxa"/>
          </w:tcPr>
          <w:p>
            <w:pPr/>
            <w:r>
              <w:t>5 h 51 min 52 s</w:t>
            </w:r>
          </w:p>
        </w:tc>
        <w:tc>
          <w:tcPr>
            <w:tcW w:w="818" w:type="dxa"/>
          </w:tcPr>
          <w:p>
            <w:pPr/>
            <w:r>
              <w:t>39 094,09 mm</w:t>
            </w:r>
          </w:p>
        </w:tc>
        <w:tc>
          <w:tcPr>
            <w:tcW w:w="818" w:type="dxa"/>
          </w:tcPr>
          <w:p>
            <w:pPr/>
            <w:r>
              <w:t>117,54 g</w:t>
            </w:r>
          </w:p>
        </w:tc>
        <w:tc>
          <w:tcPr>
            <w:tcW w:w="818" w:type="dxa"/>
          </w:tcPr>
          <w:p>
            <w:pPr/>
            <w:r>
              <w:t>4,27 €</w:t>
            </w:r>
          </w:p>
        </w:tc>
      </w:tr>
      <w:tr>
        <w:trPr>
          <w:cantSplit/>
        </w:trPr>
        <w:tc>
          <w:tcPr>
            <w:tcW w:w="818" w:type="dxa"/>
          </w:tcPr>
          <w:p>
            <w:pPr/>
            <w:r>
              <w:t>Paraglider Hand</w:t>
            </w:r>
          </w:p>
        </w:tc>
        <w:tc>
          <w:tcPr>
            <w:tcW w:w="818" w:type="dxa"/>
          </w:tcPr>
          <w:p>
            <w:pPr/>
            <w:r>
              <w:rPr>
                <w:rFonts w:ascii="Consolas" w:hAnsi="Consolas"/>
                <w:sz w:val="20"/>
              </w:rPr>
              <w:t>teen_15</w:t>
            </w:r>
          </w:p>
        </w:tc>
        <w:tc>
          <w:tcPr>
            <w:tcW w:w="818" w:type="dxa"/>
          </w:tcPr>
          <w:p>
            <w:pPr/>
            <w:r>
              <w:t>PLA</w:t>
            </w:r>
          </w:p>
        </w:tc>
        <w:tc>
          <w:tcPr>
            <w:tcW w:w="818" w:type="dxa"/>
          </w:tcPr>
          <w:p>
            <w:pPr/>
            <w:r>
              <w:t>Prusa MINI, bico 0,4 mm</w:t>
            </w:r>
          </w:p>
        </w:tc>
        <w:tc>
          <w:tcPr>
            <w:tcW w:w="818" w:type="dxa"/>
          </w:tcPr>
          <w:p>
            <w:pPr/>
            <w:r>
              <w:t>0,20 mm</w:t>
            </w:r>
          </w:p>
        </w:tc>
        <w:tc>
          <w:tcPr>
            <w:tcW w:w="818" w:type="dxa"/>
          </w:tcPr>
          <w:p>
            <w:pPr/>
            <w:r>
              <w:t>15%, grelha</w:t>
            </w:r>
          </w:p>
        </w:tc>
        <w:tc>
          <w:tcPr>
            <w:tcW w:w="818" w:type="dxa"/>
          </w:tcPr>
          <w:p>
            <w:pPr/>
            <w:r>
              <w:t>Não</w:t>
            </w:r>
          </w:p>
        </w:tc>
        <w:tc>
          <w:tcPr>
            <w:tcW w:w="818" w:type="dxa"/>
          </w:tcPr>
          <w:p>
            <w:pPr/>
            <w:r>
              <w:t>2 h 32 min 11 s</w:t>
            </w:r>
          </w:p>
        </w:tc>
        <w:tc>
          <w:tcPr>
            <w:tcW w:w="818" w:type="dxa"/>
          </w:tcPr>
          <w:p>
            <w:pPr/>
            <w:r>
              <w:t>12 727,61 mm</w:t>
            </w:r>
          </w:p>
        </w:tc>
        <w:tc>
          <w:tcPr>
            <w:tcW w:w="818" w:type="dxa"/>
          </w:tcPr>
          <w:p>
            <w:pPr/>
            <w:r>
              <w:t>37,96 g</w:t>
            </w:r>
          </w:p>
        </w:tc>
        <w:tc>
          <w:tcPr>
            <w:tcW w:w="818" w:type="dxa"/>
          </w:tcPr>
          <w:p>
            <w:pPr/>
            <w:r>
              <w:t>1,38 €</w:t>
            </w:r>
          </w:p>
        </w:tc>
      </w:tr>
    </w:tbl>
    <w:p>
      <w:pPr/>
      <w:r>
        <w:t xml:space="preserve">O custo é calculado a </w:t>
      </w:r>
      <w:r>
        <w:rPr>
          <w:b/>
        </w:rPr>
        <w:t>36,29 €/kg</w:t>
      </w:r>
      <w:r>
        <w:t xml:space="preserve"> (preço do perfil Prusament PLA emitido pelo PrusaSlicer), </w:t>
      </w:r>
      <w:r>
        <w:rPr>
          <w:b/>
        </w:rPr>
        <w:t>assumido igual para ambos os fatiadores e todos os materiais</w:t>
      </w:r>
      <w:r>
        <w:t xml:space="preserve"> (</w:t>
      </w:r>
      <w:r>
        <w:rPr>
          <w:rFonts w:ascii="Consolas" w:hAnsi="Consolas"/>
          <w:sz w:val="20"/>
        </w:rPr>
        <w:t>custo = massa / 1000 × 36,29 €</w:t>
      </w:r>
      <w:r>
        <w:t>). No Paraglider, o valor calculado (1,38 €) coincide com o custo emitido pelo próprio PrusaSlicer, validando a taxa.</w:t>
      </w:r>
    </w:p>
    <w:p>
      <w:pPr/>
      <w:r>
        <w:t xml:space="preserve">Leitura descritiva: entre os projectos arquivados, o Phoenix apresentou valores estimados de tempo e material superiores aos do Flexy Beast para o perfil de 15 anos. Os dois projectos Phoenix (PLA e PETG) partilham modelo, impressora, geometria, altura de camada (0,24 mm), paredes, enchimento e política de suportes, diferindo </w:t>
      </w:r>
      <w:r>
        <w:rPr>
          <w:b/>
        </w:rPr>
        <w:t>apenas no material</w:t>
      </w:r>
      <w:r>
        <w:t xml:space="preserve"> (verificado nas configurações embebidas); a sua comparação é, por isso, um contraste de material legítimo, ainda que de um único caso: o PETG estimou mais tempo (5 h 51 min vs 5 h 12 min) e menos massa (117,5 g vs 123,5 g) que o PLA, coerente com as definições próprias de cada filamento e com a ligeira diferença de densidade. Já a comparação entre modelos diferentes (Phoenix vs Flexy) ou entre fatiadores/impressoras distintos (Paraglider vs os casos Bambu) não é válida. O aviso de baixa aderência surgiu no Paraglider preparado sem suportes nem aba, indicando a necessidade de rever a estratégia de adesão antes da impressão.</w:t>
      </w:r>
    </w:p>
    <w:p>
      <w:pPr>
        <w:pStyle w:val="Heading3"/>
      </w:pPr>
      <w:r>
        <w:t>D.4.2 Série B (condição comum)</w:t>
      </w:r>
    </w:p>
    <w:p>
      <w:pPr/>
      <w:r>
        <w:t>Tabela D.2 — Estimativas de preparação para impressão na condição digital comum</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r>
              <w:t>Modelo</w:t>
            </w:r>
          </w:p>
        </w:tc>
        <w:tc>
          <w:tcPr>
            <w:tcW w:w="750" w:type="dxa"/>
          </w:tcPr>
          <w:p>
            <w:pPr/>
            <w:r>
              <w:t>Perfil</w:t>
            </w:r>
          </w:p>
        </w:tc>
        <w:tc>
          <w:tcPr>
            <w:tcW w:w="750" w:type="dxa"/>
          </w:tcPr>
          <w:p>
            <w:pPr/>
            <w:r>
              <w:t>Material</w:t>
            </w:r>
          </w:p>
        </w:tc>
        <w:tc>
          <w:tcPr>
            <w:tcW w:w="750" w:type="dxa"/>
          </w:tcPr>
          <w:p>
            <w:pPr/>
            <w:r>
              <w:t>Impressora</w:t>
            </w:r>
          </w:p>
        </w:tc>
        <w:tc>
          <w:tcPr>
            <w:tcW w:w="750" w:type="dxa"/>
          </w:tcPr>
          <w:p>
            <w:pPr/>
            <w:r>
              <w:t>Camada</w:t>
            </w:r>
          </w:p>
        </w:tc>
        <w:tc>
          <w:tcPr>
            <w:tcW w:w="750" w:type="dxa"/>
          </w:tcPr>
          <w:p>
            <w:pPr/>
            <w:r>
              <w:t>Enchimento</w:t>
            </w:r>
          </w:p>
        </w:tc>
        <w:tc>
          <w:tcPr>
            <w:tcW w:w="750" w:type="dxa"/>
          </w:tcPr>
          <w:p>
            <w:pPr/>
            <w:r>
              <w:t>Suportes</w:t>
            </w:r>
          </w:p>
        </w:tc>
        <w:tc>
          <w:tcPr>
            <w:tcW w:w="750" w:type="dxa"/>
          </w:tcPr>
          <w:p>
            <w:pPr/>
            <w:r>
              <w:t>Tempo estimado</w:t>
            </w:r>
          </w:p>
        </w:tc>
        <w:tc>
          <w:tcPr>
            <w:tcW w:w="750" w:type="dxa"/>
          </w:tcPr>
          <w:p>
            <w:pPr/>
            <w:r>
              <w:t>Filamento estimado</w:t>
            </w:r>
          </w:p>
        </w:tc>
        <w:tc>
          <w:tcPr>
            <w:tcW w:w="750" w:type="dxa"/>
          </w:tcPr>
          <w:p>
            <w:pPr/>
            <w:r>
              <w:t>Massa estimada</w:t>
            </w:r>
          </w:p>
        </w:tc>
        <w:tc>
          <w:tcPr>
            <w:tcW w:w="750" w:type="dxa"/>
          </w:tcPr>
          <w:p>
            <w:pPr/>
            <w:r>
              <w:t>Custo (36,29 €/kg)</w:t>
            </w:r>
          </w:p>
        </w:tc>
        <w:tc>
          <w:tcPr>
            <w:tcW w:w="750" w:type="dxa"/>
          </w:tcPr>
          <w:p>
            <w:pPr/>
            <w:r>
              <w:t>Placas A1</w:t>
            </w:r>
          </w:p>
        </w:tc>
      </w:tr>
      <w:tr>
        <w:trPr>
          <w:cantSplit/>
        </w:trPr>
        <w:tc>
          <w:tcPr>
            <w:tcW w:w="750" w:type="dxa"/>
          </w:tcPr>
          <w:p>
            <w:pPr/>
            <w:r>
              <w:t>Flexy Beast</w:t>
            </w:r>
          </w:p>
        </w:tc>
        <w:tc>
          <w:tcPr>
            <w:tcW w:w="750" w:type="dxa"/>
          </w:tcPr>
          <w:p>
            <w:pPr/>
            <w:r>
              <w:rPr>
                <w:rFonts w:ascii="Consolas" w:hAnsi="Consolas"/>
                <w:sz w:val="20"/>
              </w:rPr>
              <w:t>child_8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6 h 39 min 34 s</w:t>
            </w:r>
          </w:p>
        </w:tc>
        <w:tc>
          <w:tcPr>
            <w:tcW w:w="750" w:type="dxa"/>
          </w:tcPr>
          <w:p>
            <w:pPr/>
            <w:r>
              <w:t>27 387,6 mm</w:t>
            </w:r>
          </w:p>
        </w:tc>
        <w:tc>
          <w:tcPr>
            <w:tcW w:w="750" w:type="dxa"/>
          </w:tcPr>
          <w:p>
            <w:pPr/>
            <w:r>
              <w:t>83,00 g</w:t>
            </w:r>
          </w:p>
        </w:tc>
        <w:tc>
          <w:tcPr>
            <w:tcW w:w="750" w:type="dxa"/>
          </w:tcPr>
          <w:p>
            <w:pPr/>
            <w:r>
              <w:t>3,01 €</w:t>
            </w:r>
          </w:p>
        </w:tc>
        <w:tc>
          <w:tcPr>
            <w:tcW w:w="750" w:type="dxa"/>
          </w:tcPr>
          <w:p>
            <w:pPr/>
            <w:r>
              <w:t>1</w:t>
            </w:r>
          </w:p>
        </w:tc>
      </w:tr>
      <w:tr>
        <w:trPr>
          <w:cantSplit/>
        </w:trPr>
        <w:tc>
          <w:tcPr>
            <w:tcW w:w="750" w:type="dxa"/>
          </w:tcPr>
          <w:p>
            <w:pPr/>
            <w:r>
              <w:t>Flexy Beast</w:t>
            </w:r>
          </w:p>
        </w:tc>
        <w:tc>
          <w:tcPr>
            <w:tcW w:w="750" w:type="dxa"/>
          </w:tcPr>
          <w:p>
            <w:pPr/>
            <w:r>
              <w:rPr>
                <w:rFonts w:ascii="Consolas" w:hAnsi="Consolas"/>
                <w:sz w:val="20"/>
              </w:rPr>
              <w:t>teen_15</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9 h 51 min 52 s</w:t>
            </w:r>
          </w:p>
        </w:tc>
        <w:tc>
          <w:tcPr>
            <w:tcW w:w="750" w:type="dxa"/>
          </w:tcPr>
          <w:p>
            <w:pPr/>
            <w:r>
              <w:t>43 180,9 mm</w:t>
            </w:r>
          </w:p>
        </w:tc>
        <w:tc>
          <w:tcPr>
            <w:tcW w:w="750" w:type="dxa"/>
          </w:tcPr>
          <w:p>
            <w:pPr/>
            <w:r>
              <w:t>130,87 g</w:t>
            </w:r>
          </w:p>
        </w:tc>
        <w:tc>
          <w:tcPr>
            <w:tcW w:w="750" w:type="dxa"/>
          </w:tcPr>
          <w:p>
            <w:pPr/>
            <w:r>
              <w:t>4,75 €</w:t>
            </w:r>
          </w:p>
        </w:tc>
        <w:tc>
          <w:tcPr>
            <w:tcW w:w="750" w:type="dxa"/>
          </w:tcPr>
          <w:p>
            <w:pPr/>
            <w:r>
              <w:t>1</w:t>
            </w:r>
          </w:p>
        </w:tc>
      </w:tr>
      <w:tr>
        <w:trPr>
          <w:cantSplit/>
        </w:trPr>
        <w:tc>
          <w:tcPr>
            <w:tcW w:w="750" w:type="dxa"/>
          </w:tcPr>
          <w:p>
            <w:pPr/>
            <w:r>
              <w:t>Flexy Beast</w:t>
            </w:r>
          </w:p>
        </w:tc>
        <w:tc>
          <w:tcPr>
            <w:tcW w:w="750" w:type="dxa"/>
          </w:tcPr>
          <w:p>
            <w:pPr/>
            <w:r>
              <w:rPr>
                <w:rFonts w:ascii="Consolas" w:hAnsi="Consolas"/>
                <w:sz w:val="20"/>
              </w:rPr>
              <w:t>adult_28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12 h 34 min 14 s</w:t>
            </w:r>
          </w:p>
        </w:tc>
        <w:tc>
          <w:tcPr>
            <w:tcW w:w="750" w:type="dxa"/>
          </w:tcPr>
          <w:p>
            <w:pPr/>
            <w:r>
              <w:t>55 811,9 mm</w:t>
            </w:r>
          </w:p>
        </w:tc>
        <w:tc>
          <w:tcPr>
            <w:tcW w:w="750" w:type="dxa"/>
          </w:tcPr>
          <w:p>
            <w:pPr/>
            <w:r>
              <w:t>169,15 g</w:t>
            </w:r>
          </w:p>
        </w:tc>
        <w:tc>
          <w:tcPr>
            <w:tcW w:w="750" w:type="dxa"/>
          </w:tcPr>
          <w:p>
            <w:pPr/>
            <w:r>
              <w:t>6,14 €</w:t>
            </w:r>
          </w:p>
        </w:tc>
        <w:tc>
          <w:tcPr>
            <w:tcW w:w="750" w:type="dxa"/>
          </w:tcPr>
          <w:p>
            <w:pPr/>
            <w:r>
              <w:t>2</w:t>
            </w:r>
          </w:p>
        </w:tc>
      </w:tr>
      <w:tr>
        <w:trPr>
          <w:cantSplit/>
        </w:trPr>
        <w:tc>
          <w:tcPr>
            <w:tcW w:w="750" w:type="dxa"/>
          </w:tcPr>
          <w:p>
            <w:pPr/>
            <w:r>
              <w:t>Flexy Beast</w:t>
            </w:r>
          </w:p>
        </w:tc>
        <w:tc>
          <w:tcPr>
            <w:tcW w:w="750" w:type="dxa"/>
          </w:tcPr>
          <w:p>
            <w:pPr/>
            <w:r>
              <w:rPr>
                <w:rFonts w:ascii="Consolas" w:hAnsi="Consolas"/>
                <w:sz w:val="20"/>
              </w:rPr>
              <w:t>elderly_70</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10 h 52 min 57 s</w:t>
            </w:r>
          </w:p>
        </w:tc>
        <w:tc>
          <w:tcPr>
            <w:tcW w:w="750" w:type="dxa"/>
          </w:tcPr>
          <w:p>
            <w:pPr/>
            <w:r>
              <w:t>47 602,0 mm</w:t>
            </w:r>
          </w:p>
        </w:tc>
        <w:tc>
          <w:tcPr>
            <w:tcW w:w="750" w:type="dxa"/>
          </w:tcPr>
          <w:p>
            <w:pPr/>
            <w:r>
              <w:t>144,27 g</w:t>
            </w:r>
          </w:p>
        </w:tc>
        <w:tc>
          <w:tcPr>
            <w:tcW w:w="750" w:type="dxa"/>
          </w:tcPr>
          <w:p>
            <w:pPr/>
            <w:r>
              <w:t>5,24 €</w:t>
            </w:r>
          </w:p>
        </w:tc>
        <w:tc>
          <w:tcPr>
            <w:tcW w:w="750" w:type="dxa"/>
          </w:tcPr>
          <w:p>
            <w:pPr/>
            <w:r>
              <w:t>2</w:t>
            </w:r>
          </w:p>
        </w:tc>
      </w:tr>
      <w:tr>
        <w:trPr>
          <w:cantSplit/>
        </w:trPr>
        <w:tc>
          <w:tcPr>
            <w:tcW w:w="750" w:type="dxa"/>
          </w:tcPr>
          <w:p>
            <w:pPr/>
            <w:r>
              <w:t>Paraglider Hand</w:t>
            </w:r>
          </w:p>
        </w:tc>
        <w:tc>
          <w:tcPr>
            <w:tcW w:w="750" w:type="dxa"/>
          </w:tcPr>
          <w:p>
            <w:pPr/>
            <w:r>
              <w:rPr>
                <w:rFonts w:ascii="Consolas" w:hAnsi="Consolas"/>
                <w:sz w:val="20"/>
              </w:rPr>
              <w:t>child_8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4 h 22 min 47 s</w:t>
            </w:r>
          </w:p>
        </w:tc>
        <w:tc>
          <w:tcPr>
            <w:tcW w:w="750" w:type="dxa"/>
          </w:tcPr>
          <w:p>
            <w:pPr/>
            <w:r>
              <w:t>16 522,2 mm</w:t>
            </w:r>
          </w:p>
        </w:tc>
        <w:tc>
          <w:tcPr>
            <w:tcW w:w="750" w:type="dxa"/>
          </w:tcPr>
          <w:p>
            <w:pPr/>
            <w:r>
              <w:t>50,07 g</w:t>
            </w:r>
          </w:p>
        </w:tc>
        <w:tc>
          <w:tcPr>
            <w:tcW w:w="750" w:type="dxa"/>
          </w:tcPr>
          <w:p>
            <w:pPr/>
            <w:r>
              <w:t>1,82 €</w:t>
            </w:r>
          </w:p>
        </w:tc>
        <w:tc>
          <w:tcPr>
            <w:tcW w:w="750" w:type="dxa"/>
          </w:tcPr>
          <w:p>
            <w:pPr/>
            <w:r>
              <w:t>1</w:t>
            </w:r>
          </w:p>
        </w:tc>
      </w:tr>
      <w:tr>
        <w:trPr>
          <w:cantSplit/>
        </w:trPr>
        <w:tc>
          <w:tcPr>
            <w:tcW w:w="750" w:type="dxa"/>
          </w:tcPr>
          <w:p>
            <w:pPr/>
            <w:r>
              <w:t>Paraglider Hand</w:t>
            </w:r>
          </w:p>
        </w:tc>
        <w:tc>
          <w:tcPr>
            <w:tcW w:w="750" w:type="dxa"/>
          </w:tcPr>
          <w:p>
            <w:pPr/>
            <w:r>
              <w:rPr>
                <w:rFonts w:ascii="Consolas" w:hAnsi="Consolas"/>
                <w:sz w:val="20"/>
              </w:rPr>
              <w:t>teen_15</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6 h 45 min 18 s</w:t>
            </w:r>
          </w:p>
        </w:tc>
        <w:tc>
          <w:tcPr>
            <w:tcW w:w="750" w:type="dxa"/>
          </w:tcPr>
          <w:p>
            <w:pPr/>
            <w:r>
              <w:t>27 695,5 mm</w:t>
            </w:r>
          </w:p>
        </w:tc>
        <w:tc>
          <w:tcPr>
            <w:tcW w:w="750" w:type="dxa"/>
          </w:tcPr>
          <w:p>
            <w:pPr/>
            <w:r>
              <w:t>83,94 g</w:t>
            </w:r>
          </w:p>
        </w:tc>
        <w:tc>
          <w:tcPr>
            <w:tcW w:w="750" w:type="dxa"/>
          </w:tcPr>
          <w:p>
            <w:pPr/>
            <w:r>
              <w:t>3,05 €</w:t>
            </w:r>
          </w:p>
        </w:tc>
        <w:tc>
          <w:tcPr>
            <w:tcW w:w="750" w:type="dxa"/>
          </w:tcPr>
          <w:p>
            <w:pPr/>
            <w:r>
              <w:t>1</w:t>
            </w:r>
          </w:p>
        </w:tc>
      </w:tr>
      <w:tr>
        <w:trPr>
          <w:cantSplit/>
        </w:trPr>
        <w:tc>
          <w:tcPr>
            <w:tcW w:w="750" w:type="dxa"/>
          </w:tcPr>
          <w:p>
            <w:pPr/>
            <w:r>
              <w:t>Paraglider Hand</w:t>
            </w:r>
          </w:p>
        </w:tc>
        <w:tc>
          <w:tcPr>
            <w:tcW w:w="750" w:type="dxa"/>
          </w:tcPr>
          <w:p>
            <w:pPr/>
            <w:r>
              <w:rPr>
                <w:rFonts w:ascii="Consolas" w:hAnsi="Consolas"/>
                <w:sz w:val="20"/>
              </w:rPr>
              <w:t>adult_28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8 h 55 min 41 s</w:t>
            </w:r>
          </w:p>
        </w:tc>
        <w:tc>
          <w:tcPr>
            <w:tcW w:w="750" w:type="dxa"/>
          </w:tcPr>
          <w:p>
            <w:pPr/>
            <w:r>
              <w:t>38 449,4 mm</w:t>
            </w:r>
          </w:p>
        </w:tc>
        <w:tc>
          <w:tcPr>
            <w:tcW w:w="750" w:type="dxa"/>
          </w:tcPr>
          <w:p>
            <w:pPr/>
            <w:r>
              <w:t>116,53 g</w:t>
            </w:r>
          </w:p>
        </w:tc>
        <w:tc>
          <w:tcPr>
            <w:tcW w:w="750" w:type="dxa"/>
          </w:tcPr>
          <w:p>
            <w:pPr/>
            <w:r>
              <w:t>4,23 €</w:t>
            </w:r>
          </w:p>
        </w:tc>
        <w:tc>
          <w:tcPr>
            <w:tcW w:w="750" w:type="dxa"/>
          </w:tcPr>
          <w:p>
            <w:pPr/>
            <w:r>
              <w:t>1</w:t>
            </w:r>
          </w:p>
        </w:tc>
      </w:tr>
      <w:tr>
        <w:trPr>
          <w:cantSplit/>
        </w:trPr>
        <w:tc>
          <w:tcPr>
            <w:tcW w:w="750" w:type="dxa"/>
          </w:tcPr>
          <w:p>
            <w:pPr/>
            <w:r>
              <w:t>Paraglider Hand</w:t>
            </w:r>
          </w:p>
        </w:tc>
        <w:tc>
          <w:tcPr>
            <w:tcW w:w="750" w:type="dxa"/>
          </w:tcPr>
          <w:p>
            <w:pPr/>
            <w:r>
              <w:rPr>
                <w:rFonts w:ascii="Consolas" w:hAnsi="Consolas"/>
                <w:sz w:val="20"/>
              </w:rPr>
              <w:t>elderly_70</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7 h 09 min 05 s</w:t>
            </w:r>
          </w:p>
        </w:tc>
        <w:tc>
          <w:tcPr>
            <w:tcW w:w="750" w:type="dxa"/>
          </w:tcPr>
          <w:p>
            <w:pPr/>
            <w:r>
              <w:t>29 627,5 mm</w:t>
            </w:r>
          </w:p>
        </w:tc>
        <w:tc>
          <w:tcPr>
            <w:tcW w:w="750" w:type="dxa"/>
          </w:tcPr>
          <w:p>
            <w:pPr/>
            <w:r>
              <w:t>89,79 g</w:t>
            </w:r>
          </w:p>
        </w:tc>
        <w:tc>
          <w:tcPr>
            <w:tcW w:w="750" w:type="dxa"/>
          </w:tcPr>
          <w:p>
            <w:pPr/>
            <w:r>
              <w:t>3,26 €</w:t>
            </w:r>
          </w:p>
        </w:tc>
        <w:tc>
          <w:tcPr>
            <w:tcW w:w="750" w:type="dxa"/>
          </w:tcPr>
          <w:p>
            <w:pPr/>
            <w:r>
              <w:t>1</w:t>
            </w:r>
          </w:p>
        </w:tc>
      </w:tr>
      <w:tr>
        <w:trPr>
          <w:cantSplit/>
        </w:trPr>
        <w:tc>
          <w:tcPr>
            <w:tcW w:w="750" w:type="dxa"/>
          </w:tcPr>
          <w:p>
            <w:pPr/>
            <w:r>
              <w:t>UnLimbited Phoenix</w:t>
            </w:r>
          </w:p>
        </w:tc>
        <w:tc>
          <w:tcPr>
            <w:tcW w:w="750" w:type="dxa"/>
          </w:tcPr>
          <w:p>
            <w:pPr/>
            <w:r>
              <w:rPr>
                <w:rFonts w:ascii="Consolas" w:hAnsi="Consolas"/>
                <w:sz w:val="20"/>
              </w:rPr>
              <w:t>child_8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7 h 29 min 44 s</w:t>
            </w:r>
          </w:p>
        </w:tc>
        <w:tc>
          <w:tcPr>
            <w:tcW w:w="750" w:type="dxa"/>
          </w:tcPr>
          <w:p>
            <w:pPr/>
            <w:r>
              <w:t>30 673,7 mm</w:t>
            </w:r>
          </w:p>
        </w:tc>
        <w:tc>
          <w:tcPr>
            <w:tcW w:w="750" w:type="dxa"/>
          </w:tcPr>
          <w:p>
            <w:pPr/>
            <w:r>
              <w:t>92,96 g</w:t>
            </w:r>
          </w:p>
        </w:tc>
        <w:tc>
          <w:tcPr>
            <w:tcW w:w="750" w:type="dxa"/>
          </w:tcPr>
          <w:p>
            <w:pPr/>
            <w:r>
              <w:t>3,37 €</w:t>
            </w:r>
          </w:p>
        </w:tc>
        <w:tc>
          <w:tcPr>
            <w:tcW w:w="750" w:type="dxa"/>
          </w:tcPr>
          <w:p>
            <w:pPr/>
            <w:r>
              <w:t>2</w:t>
            </w:r>
          </w:p>
        </w:tc>
      </w:tr>
      <w:tr>
        <w:trPr>
          <w:cantSplit/>
        </w:trPr>
        <w:tc>
          <w:tcPr>
            <w:tcW w:w="750" w:type="dxa"/>
          </w:tcPr>
          <w:p>
            <w:pPr/>
            <w:r>
              <w:t>UnLimbited Phoenix</w:t>
            </w:r>
          </w:p>
        </w:tc>
        <w:tc>
          <w:tcPr>
            <w:tcW w:w="750" w:type="dxa"/>
          </w:tcPr>
          <w:p>
            <w:pPr/>
            <w:r>
              <w:rPr>
                <w:rFonts w:ascii="Consolas" w:hAnsi="Consolas"/>
                <w:sz w:val="20"/>
              </w:rPr>
              <w:t>teen_15</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8 h 30 min 45 s</w:t>
            </w:r>
          </w:p>
        </w:tc>
        <w:tc>
          <w:tcPr>
            <w:tcW w:w="750" w:type="dxa"/>
          </w:tcPr>
          <w:p>
            <w:pPr/>
            <w:r>
              <w:t>36 335,2 mm</w:t>
            </w:r>
          </w:p>
        </w:tc>
        <w:tc>
          <w:tcPr>
            <w:tcW w:w="750" w:type="dxa"/>
          </w:tcPr>
          <w:p>
            <w:pPr/>
            <w:r>
              <w:t>110,12 g</w:t>
            </w:r>
          </w:p>
        </w:tc>
        <w:tc>
          <w:tcPr>
            <w:tcW w:w="750" w:type="dxa"/>
          </w:tcPr>
          <w:p>
            <w:pPr/>
            <w:r>
              <w:t>4,00 €</w:t>
            </w:r>
          </w:p>
        </w:tc>
        <w:tc>
          <w:tcPr>
            <w:tcW w:w="750" w:type="dxa"/>
          </w:tcPr>
          <w:p>
            <w:pPr/>
            <w:r>
              <w:t>2</w:t>
            </w:r>
          </w:p>
        </w:tc>
      </w:tr>
      <w:tr>
        <w:trPr>
          <w:cantSplit/>
        </w:trPr>
        <w:tc>
          <w:tcPr>
            <w:tcW w:w="750" w:type="dxa"/>
          </w:tcPr>
          <w:p>
            <w:pPr/>
            <w:r>
              <w:t>UnLimbited Phoenix</w:t>
            </w:r>
          </w:p>
        </w:tc>
        <w:tc>
          <w:tcPr>
            <w:tcW w:w="750" w:type="dxa"/>
          </w:tcPr>
          <w:p>
            <w:pPr/>
            <w:r>
              <w:rPr>
                <w:rFonts w:ascii="Consolas" w:hAnsi="Consolas"/>
                <w:sz w:val="20"/>
              </w:rPr>
              <w:t>adult_28</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8 h 56 min 20 s</w:t>
            </w:r>
          </w:p>
        </w:tc>
        <w:tc>
          <w:tcPr>
            <w:tcW w:w="750" w:type="dxa"/>
          </w:tcPr>
          <w:p>
            <w:pPr/>
            <w:r>
              <w:t>38 179,8 mm</w:t>
            </w:r>
          </w:p>
        </w:tc>
        <w:tc>
          <w:tcPr>
            <w:tcW w:w="750" w:type="dxa"/>
          </w:tcPr>
          <w:p>
            <w:pPr/>
            <w:r>
              <w:t>115,71 g</w:t>
            </w:r>
          </w:p>
        </w:tc>
        <w:tc>
          <w:tcPr>
            <w:tcW w:w="750" w:type="dxa"/>
          </w:tcPr>
          <w:p>
            <w:pPr/>
            <w:r>
              <w:t>4,20 €</w:t>
            </w:r>
          </w:p>
        </w:tc>
        <w:tc>
          <w:tcPr>
            <w:tcW w:w="750" w:type="dxa"/>
          </w:tcPr>
          <w:p>
            <w:pPr/>
            <w:r>
              <w:t>2</w:t>
            </w:r>
          </w:p>
        </w:tc>
      </w:tr>
      <w:tr>
        <w:trPr>
          <w:cantSplit/>
        </w:trPr>
        <w:tc>
          <w:tcPr>
            <w:tcW w:w="750" w:type="dxa"/>
          </w:tcPr>
          <w:p>
            <w:pPr/>
            <w:r>
              <w:t>UnLimbited Phoenix</w:t>
            </w:r>
          </w:p>
        </w:tc>
        <w:tc>
          <w:tcPr>
            <w:tcW w:w="750" w:type="dxa"/>
          </w:tcPr>
          <w:p>
            <w:pPr/>
            <w:r>
              <w:rPr>
                <w:rFonts w:ascii="Consolas" w:hAnsi="Consolas"/>
                <w:sz w:val="20"/>
              </w:rPr>
              <w:t>elderly_70</w:t>
            </w:r>
          </w:p>
        </w:tc>
        <w:tc>
          <w:tcPr>
            <w:tcW w:w="750" w:type="dxa"/>
          </w:tcPr>
          <w:p>
            <w:pPr/>
            <w:r>
              <w:t>Bambu PLA Basic</w:t>
            </w:r>
          </w:p>
        </w:tc>
        <w:tc>
          <w:tcPr>
            <w:tcW w:w="750" w:type="dxa"/>
          </w:tcPr>
          <w:p>
            <w:pPr/>
            <w:r>
              <w:t>Bambu Lab A1, bico 0,4 mm</w:t>
            </w:r>
          </w:p>
        </w:tc>
        <w:tc>
          <w:tcPr>
            <w:tcW w:w="750" w:type="dxa"/>
          </w:tcPr>
          <w:p>
            <w:pPr/>
            <w:r>
              <w:t>0,20 mm</w:t>
            </w:r>
          </w:p>
        </w:tc>
        <w:tc>
          <w:tcPr>
            <w:tcW w:w="750" w:type="dxa"/>
          </w:tcPr>
          <w:p>
            <w:pPr/>
            <w:r>
              <w:t>15%, grelha</w:t>
            </w:r>
          </w:p>
        </w:tc>
        <w:tc>
          <w:tcPr>
            <w:tcW w:w="750" w:type="dxa"/>
          </w:tcPr>
          <w:p>
            <w:pPr/>
            <w:r>
              <w:t>Não</w:t>
            </w:r>
          </w:p>
        </w:tc>
        <w:tc>
          <w:tcPr>
            <w:tcW w:w="750" w:type="dxa"/>
          </w:tcPr>
          <w:p>
            <w:pPr/>
            <w:r>
              <w:t>7 h 49 min 09 s</w:t>
            </w:r>
          </w:p>
        </w:tc>
        <w:tc>
          <w:tcPr>
            <w:tcW w:w="750" w:type="dxa"/>
          </w:tcPr>
          <w:p>
            <w:pPr/>
            <w:r>
              <w:t>32 412,0 mm</w:t>
            </w:r>
          </w:p>
        </w:tc>
        <w:tc>
          <w:tcPr>
            <w:tcW w:w="750" w:type="dxa"/>
          </w:tcPr>
          <w:p>
            <w:pPr/>
            <w:r>
              <w:t>98,23 g</w:t>
            </w:r>
          </w:p>
        </w:tc>
        <w:tc>
          <w:tcPr>
            <w:tcW w:w="750" w:type="dxa"/>
          </w:tcPr>
          <w:p>
            <w:pPr/>
            <w:r>
              <w:t>3,56 €</w:t>
            </w:r>
          </w:p>
        </w:tc>
        <w:tc>
          <w:tcPr>
            <w:tcW w:w="750" w:type="dxa"/>
          </w:tcPr>
          <w:p>
            <w:pPr/>
            <w:r>
              <w:t>2</w:t>
            </w:r>
          </w:p>
        </w:tc>
      </w:tr>
    </w:tbl>
    <w:p>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fatiador gerou trajectórias e estimativas. Contudo, assinalou regiões suspensas nos quatro casos Flexy Beast e no Paraglider </w:t>
      </w:r>
      <w:r>
        <w:rPr>
          <w:rFonts w:ascii="Consolas" w:hAnsi="Consolas"/>
          <w:sz w:val="20"/>
        </w:rPr>
        <w:t>elderly_70</w:t>
      </w:r>
      <w:r>
        <w:t xml:space="preserve">, uma consequência relevante da política comum sem suportes. Não foram emitidos avisos nos quatro casos Phoenix. A conclusão do fatiamento não demonstra, por si só, que a impressão física possa ser realizada sem rever a orientação ou activar suportes. Os dados completos — tempo, filamento, camadas, ocupação por placa e avisos — constam de </w:t>
      </w:r>
      <w:r>
        <w:rPr>
          <w:rFonts w:ascii="Consolas" w:hAnsi="Consolas"/>
          <w:sz w:val="20"/>
        </w:rPr>
        <w:t>resultados_campanha_controlada.csv</w:t>
      </w:r>
      <w:r>
        <w:t>.</w:t>
      </w:r>
    </w:p>
    <w:p>
      <w:pPr/>
      <w:r>
        <w:t>Duas leituras de projecto sobressaem:</w:t>
      </w:r>
    </w:p>
    <w:p>
      <w:pPr>
        <w:pStyle w:val="ListNumber"/>
      </w:pPr>
      <w:r>
        <w:t xml:space="preserve">1. </w:t>
      </w:r>
      <w:r>
        <w:rPr>
          <w:b/>
        </w:rPr>
        <w:t>A exigência de preparação variou com as dimensões de entrada, e não com a</w:t>
      </w:r>
    </w:p>
    <w:p>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simulado.</w:t>
      </w:r>
    </w:p>
    <w:p>
      <w:pPr>
        <w:pStyle w:val="ListNumber"/>
      </w:pPr>
      <w:r>
        <w:t xml:space="preserve">2. </w:t>
      </w:r>
      <w:r>
        <w:rPr>
          <w:b/>
        </w:rPr>
        <w:t>O número de placas depende da geometria, da orientação e da disposição</w:t>
      </w:r>
    </w:p>
    <w:p>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pPr>
      <w:r>
        <w:t>D.4.3 Geometria — tamanho do conjunto vs tamanho da peça</w:t>
      </w:r>
    </w:p>
    <w:p>
      <w:pPr/>
      <w:r>
        <w:t xml:space="preserve">A análise geométrica distingue </w:t>
      </w:r>
      <w:r>
        <w:rPr>
          <w:b/>
        </w:rPr>
        <w:t>três noções de tamanho</w:t>
      </w:r>
      <w:r>
        <w:t xml:space="preserve"> que não devem ser confundidas (detalhe em </w:t>
      </w:r>
      <w:r>
        <w:rPr>
          <w:rFonts w:ascii="Consolas" w:hAnsi="Consolas"/>
          <w:sz w:val="20"/>
        </w:rPr>
        <w:t>resultados_geometria.csv</w:t>
      </w:r>
      <w:r>
        <w:t>):</w:t>
      </w:r>
    </w:p>
    <w:p>
      <w:pPr>
        <w:pStyle w:val="ListBullet"/>
      </w:pPr>
      <w:r>
        <w:t xml:space="preserve">- </w:t>
      </w:r>
      <w:r>
        <w:rPr>
          <w:b/>
        </w:rPr>
        <w:t>Montagem sólida (mão estendida):</w:t>
      </w:r>
      <w:r>
        <w:t xml:space="preserve"> a caixa envolvente do corpo único do modelo</w:t>
      </w:r>
    </w:p>
    <w:p>
      <w:pPr/>
      <w:r>
        <w:t xml:space="preserve">montado, com dedos e punho estendidos. É o </w:t>
      </w:r>
      <w:r>
        <w:rPr>
          <w:i/>
        </w:rPr>
        <w:t>vão anatómico</w:t>
      </w:r>
      <w:r>
        <w:t>.</w:t>
      </w:r>
    </w:p>
    <w:p>
      <w:pPr>
        <w:pStyle w:val="ListBullet"/>
      </w:pPr>
      <w:r>
        <w:t xml:space="preserve">- </w:t>
      </w:r>
      <w:r>
        <w:rPr>
          <w:b/>
        </w:rPr>
        <w:t>Palma (peça):</w:t>
      </w:r>
      <w:r>
        <w:t xml:space="preserve"> a caixa envolvente da palma isolada.</w:t>
      </w:r>
    </w:p>
    <w:p>
      <w:pPr>
        <w:pStyle w:val="ListBullet"/>
      </w:pPr>
      <w:r>
        <w:t xml:space="preserve">- </w:t>
      </w:r>
      <w:r>
        <w:rPr>
          <w:b/>
        </w:rPr>
        <w:t>Placa disposta:</w:t>
      </w:r>
      <w:r>
        <w:t xml:space="preserve"> a área ocupada pelas peças efectivamente colocadas na placa.</w:t>
      </w:r>
    </w:p>
    <w:p>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r>
        <w:t xml:space="preserve">Sobre integridade de malha: os corpos do Flexy são estanques e sem faces degeneradas; o Paraglider apresenta faces degeneradas residuais; a palma do Phoenix apresenta pequenas arestas de fronteira (não totalmente estanque). Estas são propriedades </w:t>
      </w:r>
      <w:r>
        <w:rPr>
          <w:b/>
        </w:rPr>
        <w:t>geométricas</w:t>
      </w:r>
      <w:r>
        <w:t xml:space="preserve"> dos ficheiros — relevantes para robustez de fatiamento, </w:t>
      </w:r>
      <w:r>
        <w:rPr>
          <w:b/>
        </w:rPr>
        <w:t>não</w:t>
      </w:r>
      <w:r>
        <w:t xml:space="preserve"> para desempenho estrutural.</w:t>
      </w:r>
    </w:p>
    <w:p>
      <w:pPr/>
      <w:r>
        <w:rPr>
          <w:b/>
        </w:rPr>
        <w:t>Sobre a leitura estrutural dos parâmetros.</w:t>
      </w:r>
      <w:r>
        <w:t xml:space="preserve"> Importa separar três coisas distintas. (i) As </w:t>
      </w:r>
      <w:r>
        <w:rPr>
          <w:i/>
        </w:rPr>
        <w:t>estimativas do fatiador</w:t>
      </w:r>
      <w:r>
        <w:t xml:space="preserve"> (tempo, filamento, massa) não medem resistência. (ii) A </w:t>
      </w:r>
      <w:r>
        <w:rPr>
          <w:i/>
        </w:rPr>
        <w:t>integridade de malha</w:t>
      </w:r>
      <w:r>
        <w:t xml:space="preserve"> é geométrica, não mecânica. (iii) Os </w:t>
      </w:r>
      <w:r>
        <w:rPr>
          <w:i/>
        </w:rPr>
        <w:t>parâmetros de impressão</w:t>
      </w:r>
      <w:r>
        <w:t xml:space="preserve"> — número de paredes, densidade e padrão de enchimento e material — são, esses sim, determinantes reconhecidos do comportamento mecânico de peças FFF: a literatura mostra que, a igual geometria, mais paredes e maior enchimento aumentam a rigidez e a resistência. Quanto ao material, e comparado com o PLA, o PETG é mais tenaz, mais dúctil e mais resistente ao impacto e à fadiga, e suporta temperaturas mais altas (maior temperatura de transição vítrea); o PLA, em contrapartida, é mais rígido e tem maior resistência à tracção pura. Para uma prótese de mão — sujeita a flexão repetida, a impactos e ao calor do corpo — são a tenacidade, a resistência à fadiga e a resistência térmica que mais relevam, pelo que, </w:t>
      </w:r>
      <w:r>
        <w:rPr>
          <w:b/>
        </w:rPr>
        <w:t>nesse sentido funcional, o PETG é o material mais resistente e durável</w:t>
      </w:r>
      <w:r>
        <w:t xml:space="preserve"> (uma leitura qualitativa, não um valor medido). É, por isso, legítimo afirmar de forma </w:t>
      </w:r>
      <w:r>
        <w:rPr>
          <w:b/>
        </w:rPr>
        <w:t>qualitativa e relativa</w:t>
      </w:r>
      <w:r>
        <w:t xml:space="preserve"> que a configuração da Série B (2 paredes, 15% de enchimento) é de </w:t>
      </w:r>
      <w:r>
        <w:rPr>
          <w:i/>
        </w:rPr>
        <w:t>serviço ligeiro</w:t>
      </w:r>
      <w:r>
        <w:t xml:space="preserve"> e que aumentar paredes ou enchimento aumentaria a robustez esperada. O que </w:t>
      </w:r>
      <w:r>
        <w:rPr>
          <w:b/>
        </w:rPr>
        <w:t>não</w:t>
      </w:r>
      <w:r>
        <w:t xml:space="preserve"> é legítimo, sem ensaio físico, é atribuir </w:t>
      </w:r>
      <w:r>
        <w:rPr>
          <w:b/>
        </w:rPr>
        <w:t>valores absolutos</w:t>
      </w:r>
      <w:r>
        <w:t xml:space="preserve"> de resistência, rigidez ou vida em fadiga, nem certificar que uma peça concreta suporta uma carga ou um número de ciclos de preensão determinados: isso depende do material, da orientação das camadas (anisotropia), da adesão entre camadas, de eventuais defeitos e das condições reais de carga, que só um ensaio mecânico mede.</w:t>
      </w:r>
    </w:p>
    <w:p>
      <w:pPr>
        <w:pStyle w:val="Heading3"/>
      </w:pPr>
      <w:r>
        <w:t>D.4.4 Comparação entre entrada, malha e peça física</w:t>
      </w:r>
    </w:p>
    <w:p>
      <w:pPr/>
      <w:r>
        <w:t xml:space="preserve">A comparação dimensional foi preparada a partir dos mesmos quatro perfis. Em cada caso, o valor </w:t>
      </w:r>
      <w:r>
        <w:rPr>
          <w:rFonts w:ascii="Consolas" w:hAnsi="Consolas"/>
          <w:sz w:val="20"/>
        </w:rPr>
        <w:t>palm_breadth_mm</w:t>
      </w:r>
      <w:r>
        <w:t xml:space="preserve"> foi lido do ficheiro </w:t>
      </w:r>
      <w:r>
        <w:rPr>
          <w:rFonts w:ascii="Consolas" w:hAnsi="Consolas"/>
          <w:sz w:val="20"/>
        </w:rPr>
        <w:t>params.json</w:t>
      </w:r>
      <w:r>
        <w:t xml:space="preserve">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p>
    <w:p>
      <w:pPr/>
      <w:r>
        <w:t>Tabela D.3 — Preparação da comparação dimensional da palma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r>
              <w:t>Modelo</w:t>
            </w:r>
          </w:p>
        </w:tc>
        <w:tc>
          <w:tcPr>
            <w:tcW w:w="1285" w:type="dxa"/>
          </w:tcPr>
          <w:p>
            <w:pPr/>
            <w:r>
              <w:t>Perfil</w:t>
            </w:r>
          </w:p>
        </w:tc>
        <w:tc>
          <w:tcPr>
            <w:tcW w:w="1285" w:type="dxa"/>
          </w:tcPr>
          <w:p>
            <w:pPr/>
            <w:r>
              <w:t>Ponto medido</w:t>
            </w:r>
          </w:p>
        </w:tc>
        <w:tc>
          <w:tcPr>
            <w:tcW w:w="1285" w:type="dxa"/>
          </w:tcPr>
          <w:p>
            <w:pPr/>
            <w:r>
              <w:t>Entrada</w:t>
            </w:r>
          </w:p>
        </w:tc>
        <w:tc>
          <w:tcPr>
            <w:tcW w:w="1285" w:type="dxa"/>
          </w:tcPr>
          <w:p>
            <w:pPr/>
            <w:r>
              <w:t>Malha</w:t>
            </w:r>
          </w:p>
        </w:tc>
        <w:tc>
          <w:tcPr>
            <w:tcW w:w="1285" w:type="dxa"/>
          </w:tcPr>
          <w:p>
            <w:pPr/>
            <w:r>
              <w:t>Peça física</w:t>
            </w:r>
          </w:p>
        </w:tc>
        <w:tc>
          <w:tcPr>
            <w:tcW w:w="1285" w:type="dxa"/>
          </w:tcPr>
          <w:p>
            <w:pPr/>
            <w:r>
              <w:t>Desvio malha–peça</w:t>
            </w:r>
          </w:p>
        </w:tc>
      </w:tr>
      <w:tr>
        <w:trPr>
          <w:cantSplit/>
        </w:trPr>
        <w:tc>
          <w:tcPr>
            <w:tcW w:w="1285" w:type="dxa"/>
          </w:tcPr>
          <w:p>
            <w:pPr/>
            <w:r>
              <w:t>Flexy Beast</w:t>
            </w:r>
          </w:p>
        </w:tc>
        <w:tc>
          <w:tcPr>
            <w:tcW w:w="1285" w:type="dxa"/>
          </w:tcPr>
          <w:p>
            <w:pPr/>
            <w:r>
              <w:rPr>
                <w:rFonts w:ascii="Consolas" w:hAnsi="Consolas"/>
                <w:sz w:val="20"/>
              </w:rPr>
              <w:t>child_8</w:t>
            </w:r>
          </w:p>
        </w:tc>
        <w:tc>
          <w:tcPr>
            <w:tcW w:w="1285" w:type="dxa"/>
          </w:tcPr>
          <w:p>
            <w:pPr/>
            <w:r>
              <w:t>Largura metacarpal de entrada; extensão total X da palma</w:t>
            </w:r>
          </w:p>
        </w:tc>
        <w:tc>
          <w:tcPr>
            <w:tcW w:w="1285" w:type="dxa"/>
          </w:tcPr>
          <w:p>
            <w:pPr/>
            <w:r>
              <w:t>64,0 mm</w:t>
            </w:r>
          </w:p>
        </w:tc>
        <w:tc>
          <w:tcPr>
            <w:tcW w:w="1285" w:type="dxa"/>
          </w:tcPr>
          <w:p>
            <w:pPr/>
            <w:r>
              <w:t>97,385 mm</w:t>
            </w:r>
          </w:p>
        </w:tc>
        <w:tc>
          <w:tcPr>
            <w:tcW w:w="1285" w:type="dxa"/>
          </w:tcPr>
          <w:p>
            <w:pPr/>
            <w:r>
              <w:t>—</w:t>
            </w:r>
          </w:p>
        </w:tc>
        <w:tc>
          <w:tcPr>
            <w:tcW w:w="1285" w:type="dxa"/>
          </w:tcPr>
          <w:p>
            <w:pPr/>
            <w:r>
              <w:t>—</w:t>
            </w:r>
          </w:p>
        </w:tc>
      </w:tr>
      <w:tr>
        <w:trPr>
          <w:cantSplit/>
        </w:trPr>
        <w:tc>
          <w:tcPr>
            <w:tcW w:w="1285" w:type="dxa"/>
          </w:tcPr>
          <w:p>
            <w:pPr/>
            <w:r>
              <w:t>Flexy Beast</w:t>
            </w:r>
          </w:p>
        </w:tc>
        <w:tc>
          <w:tcPr>
            <w:tcW w:w="1285" w:type="dxa"/>
          </w:tcPr>
          <w:p>
            <w:pPr/>
            <w:r>
              <w:rPr>
                <w:rFonts w:ascii="Consolas" w:hAnsi="Consolas"/>
                <w:sz w:val="20"/>
              </w:rPr>
              <w:t>teen_15</w:t>
            </w:r>
          </w:p>
        </w:tc>
        <w:tc>
          <w:tcPr>
            <w:tcW w:w="1285" w:type="dxa"/>
          </w:tcPr>
          <w:p>
            <w:pPr/>
            <w:r>
              <w:t>Largura metacarpal de entrada; extensão total X da palma</w:t>
            </w:r>
          </w:p>
        </w:tc>
        <w:tc>
          <w:tcPr>
            <w:tcW w:w="1285" w:type="dxa"/>
          </w:tcPr>
          <w:p>
            <w:pPr/>
            <w:r>
              <w:t>78,0 mm</w:t>
            </w:r>
          </w:p>
        </w:tc>
        <w:tc>
          <w:tcPr>
            <w:tcW w:w="1285" w:type="dxa"/>
          </w:tcPr>
          <w:p>
            <w:pPr/>
            <w:r>
              <w:t>117,144 mm</w:t>
            </w:r>
          </w:p>
        </w:tc>
        <w:tc>
          <w:tcPr>
            <w:tcW w:w="1285" w:type="dxa"/>
          </w:tcPr>
          <w:p>
            <w:pPr/>
            <w:r>
              <w:t>—</w:t>
            </w:r>
          </w:p>
        </w:tc>
        <w:tc>
          <w:tcPr>
            <w:tcW w:w="1285" w:type="dxa"/>
          </w:tcPr>
          <w:p>
            <w:pPr/>
            <w:r>
              <w:t>—</w:t>
            </w:r>
          </w:p>
        </w:tc>
      </w:tr>
      <w:tr>
        <w:trPr>
          <w:cantSplit/>
        </w:trPr>
        <w:tc>
          <w:tcPr>
            <w:tcW w:w="1285" w:type="dxa"/>
          </w:tcPr>
          <w:p>
            <w:pPr/>
            <w:r>
              <w:t>Flexy Beast</w:t>
            </w:r>
          </w:p>
        </w:tc>
        <w:tc>
          <w:tcPr>
            <w:tcW w:w="1285" w:type="dxa"/>
          </w:tcPr>
          <w:p>
            <w:pPr/>
            <w:r>
              <w:rPr>
                <w:rFonts w:ascii="Consolas" w:hAnsi="Consolas"/>
                <w:sz w:val="20"/>
              </w:rPr>
              <w:t>adult_28</w:t>
            </w:r>
          </w:p>
        </w:tc>
        <w:tc>
          <w:tcPr>
            <w:tcW w:w="1285" w:type="dxa"/>
          </w:tcPr>
          <w:p>
            <w:pPr/>
            <w:r>
              <w:t>Largura metacarpal de entrada; extensão total X da palma</w:t>
            </w:r>
          </w:p>
        </w:tc>
        <w:tc>
          <w:tcPr>
            <w:tcW w:w="1285" w:type="dxa"/>
          </w:tcPr>
          <w:p>
            <w:pPr/>
            <w:r>
              <w:t>90,0 mm</w:t>
            </w:r>
          </w:p>
        </w:tc>
        <w:tc>
          <w:tcPr>
            <w:tcW w:w="1285" w:type="dxa"/>
          </w:tcPr>
          <w:p>
            <w:pPr/>
            <w:r>
              <w:t>134,081 mm</w:t>
            </w:r>
          </w:p>
        </w:tc>
        <w:tc>
          <w:tcPr>
            <w:tcW w:w="1285" w:type="dxa"/>
          </w:tcPr>
          <w:p>
            <w:pPr/>
            <w:r>
              <w:t>—</w:t>
            </w:r>
          </w:p>
        </w:tc>
        <w:tc>
          <w:tcPr>
            <w:tcW w:w="1285" w:type="dxa"/>
          </w:tcPr>
          <w:p>
            <w:pPr/>
            <w:r>
              <w:t>—</w:t>
            </w:r>
          </w:p>
        </w:tc>
      </w:tr>
      <w:tr>
        <w:trPr>
          <w:cantSplit/>
        </w:trPr>
        <w:tc>
          <w:tcPr>
            <w:tcW w:w="1285" w:type="dxa"/>
          </w:tcPr>
          <w:p>
            <w:pPr/>
            <w:r>
              <w:t>Flexy Beast</w:t>
            </w:r>
          </w:p>
        </w:tc>
        <w:tc>
          <w:tcPr>
            <w:tcW w:w="1285" w:type="dxa"/>
          </w:tcPr>
          <w:p>
            <w:pPr/>
            <w:r>
              <w:rPr>
                <w:rFonts w:ascii="Consolas" w:hAnsi="Consolas"/>
                <w:sz w:val="20"/>
              </w:rPr>
              <w:t>elderly_70</w:t>
            </w:r>
          </w:p>
        </w:tc>
        <w:tc>
          <w:tcPr>
            <w:tcW w:w="1285" w:type="dxa"/>
          </w:tcPr>
          <w:p>
            <w:pPr/>
            <w:r>
              <w:t>Largura metacarpal de entrada; extensão total X da palma</w:t>
            </w:r>
          </w:p>
        </w:tc>
        <w:tc>
          <w:tcPr>
            <w:tcW w:w="1285" w:type="dxa"/>
          </w:tcPr>
          <w:p>
            <w:pPr/>
            <w:r>
              <w:t>84,0 mm</w:t>
            </w:r>
          </w:p>
        </w:tc>
        <w:tc>
          <w:tcPr>
            <w:tcW w:w="1285" w:type="dxa"/>
          </w:tcPr>
          <w:p>
            <w:pPr/>
            <w:r>
              <w:t>125,612 mm</w:t>
            </w:r>
          </w:p>
        </w:tc>
        <w:tc>
          <w:tcPr>
            <w:tcW w:w="1285" w:type="dxa"/>
          </w:tcPr>
          <w:p>
            <w:pPr/>
            <w:r>
              <w:t>—</w:t>
            </w:r>
          </w:p>
        </w:tc>
        <w:tc>
          <w:tcPr>
            <w:tcW w:w="1285" w:type="dxa"/>
          </w:tcPr>
          <w:p>
            <w:pPr/>
            <w:r>
              <w:t>—</w:t>
            </w:r>
          </w:p>
        </w:tc>
      </w:tr>
      <w:tr>
        <w:trPr>
          <w:cantSplit/>
        </w:trPr>
        <w:tc>
          <w:tcPr>
            <w:tcW w:w="1285" w:type="dxa"/>
          </w:tcPr>
          <w:p>
            <w:pPr/>
            <w:r>
              <w:t>Paraglider Hand</w:t>
            </w:r>
          </w:p>
        </w:tc>
        <w:tc>
          <w:tcPr>
            <w:tcW w:w="1285" w:type="dxa"/>
          </w:tcPr>
          <w:p>
            <w:pPr/>
            <w:r>
              <w:rPr>
                <w:rFonts w:ascii="Consolas" w:hAnsi="Consolas"/>
                <w:sz w:val="20"/>
              </w:rPr>
              <w:t>child_8</w:t>
            </w:r>
          </w:p>
        </w:tc>
        <w:tc>
          <w:tcPr>
            <w:tcW w:w="1285" w:type="dxa"/>
          </w:tcPr>
          <w:p>
            <w:pPr/>
            <w:r>
              <w:t>Largura metacarpal de entrada; extensão total X da palma</w:t>
            </w:r>
          </w:p>
        </w:tc>
        <w:tc>
          <w:tcPr>
            <w:tcW w:w="1285" w:type="dxa"/>
          </w:tcPr>
          <w:p>
            <w:pPr/>
            <w:r>
              <w:t>63,0 mm</w:t>
            </w:r>
          </w:p>
        </w:tc>
        <w:tc>
          <w:tcPr>
            <w:tcW w:w="1285" w:type="dxa"/>
          </w:tcPr>
          <w:p>
            <w:pPr/>
            <w:r>
              <w:t>76,513 mm</w:t>
            </w:r>
          </w:p>
        </w:tc>
        <w:tc>
          <w:tcPr>
            <w:tcW w:w="1285" w:type="dxa"/>
          </w:tcPr>
          <w:p>
            <w:pPr/>
            <w:r>
              <w:t>—</w:t>
            </w:r>
          </w:p>
        </w:tc>
        <w:tc>
          <w:tcPr>
            <w:tcW w:w="1285" w:type="dxa"/>
          </w:tcPr>
          <w:p>
            <w:pPr/>
            <w:r>
              <w:t>—</w:t>
            </w:r>
          </w:p>
        </w:tc>
      </w:tr>
      <w:tr>
        <w:trPr>
          <w:cantSplit/>
        </w:trPr>
        <w:tc>
          <w:tcPr>
            <w:tcW w:w="1285" w:type="dxa"/>
          </w:tcPr>
          <w:p>
            <w:pPr/>
            <w:r>
              <w:t>Paraglider Hand</w:t>
            </w:r>
          </w:p>
        </w:tc>
        <w:tc>
          <w:tcPr>
            <w:tcW w:w="1285" w:type="dxa"/>
          </w:tcPr>
          <w:p>
            <w:pPr/>
            <w:r>
              <w:rPr>
                <w:rFonts w:ascii="Consolas" w:hAnsi="Consolas"/>
                <w:sz w:val="20"/>
              </w:rPr>
              <w:t>teen_15</w:t>
            </w:r>
          </w:p>
        </w:tc>
        <w:tc>
          <w:tcPr>
            <w:tcW w:w="1285" w:type="dxa"/>
          </w:tcPr>
          <w:p>
            <w:pPr/>
            <w:r>
              <w:t>Largura metacarpal de entrada; extensão total X da palma</w:t>
            </w:r>
          </w:p>
        </w:tc>
        <w:tc>
          <w:tcPr>
            <w:tcW w:w="1285" w:type="dxa"/>
          </w:tcPr>
          <w:p>
            <w:pPr/>
            <w:r>
              <w:t>78,0 mm</w:t>
            </w:r>
          </w:p>
        </w:tc>
        <w:tc>
          <w:tcPr>
            <w:tcW w:w="1285" w:type="dxa"/>
          </w:tcPr>
          <w:p>
            <w:pPr/>
            <w:r>
              <w:t>94,730 mm</w:t>
            </w:r>
          </w:p>
        </w:tc>
        <w:tc>
          <w:tcPr>
            <w:tcW w:w="1285" w:type="dxa"/>
          </w:tcPr>
          <w:p>
            <w:pPr/>
            <w:r>
              <w:t>—</w:t>
            </w:r>
          </w:p>
        </w:tc>
        <w:tc>
          <w:tcPr>
            <w:tcW w:w="1285" w:type="dxa"/>
          </w:tcPr>
          <w:p>
            <w:pPr/>
            <w:r>
              <w:t>—</w:t>
            </w:r>
          </w:p>
        </w:tc>
      </w:tr>
      <w:tr>
        <w:trPr>
          <w:cantSplit/>
        </w:trPr>
        <w:tc>
          <w:tcPr>
            <w:tcW w:w="1285" w:type="dxa"/>
          </w:tcPr>
          <w:p>
            <w:pPr/>
            <w:r>
              <w:t>Paraglider Hand</w:t>
            </w:r>
          </w:p>
        </w:tc>
        <w:tc>
          <w:tcPr>
            <w:tcW w:w="1285" w:type="dxa"/>
          </w:tcPr>
          <w:p>
            <w:pPr/>
            <w:r>
              <w:rPr>
                <w:rFonts w:ascii="Consolas" w:hAnsi="Consolas"/>
                <w:sz w:val="20"/>
              </w:rPr>
              <w:t>adult_28</w:t>
            </w:r>
          </w:p>
        </w:tc>
        <w:tc>
          <w:tcPr>
            <w:tcW w:w="1285" w:type="dxa"/>
          </w:tcPr>
          <w:p>
            <w:pPr/>
            <w:r>
              <w:t>Largura metacarpal de entrada; extensão total X da palma</w:t>
            </w:r>
          </w:p>
        </w:tc>
        <w:tc>
          <w:tcPr>
            <w:tcW w:w="1285" w:type="dxa"/>
          </w:tcPr>
          <w:p>
            <w:pPr/>
            <w:r>
              <w:t>90,0 mm</w:t>
            </w:r>
          </w:p>
        </w:tc>
        <w:tc>
          <w:tcPr>
            <w:tcW w:w="1285" w:type="dxa"/>
          </w:tcPr>
          <w:p>
            <w:pPr/>
            <w:r>
              <w:t>109,304 mm</w:t>
            </w:r>
          </w:p>
        </w:tc>
        <w:tc>
          <w:tcPr>
            <w:tcW w:w="1285" w:type="dxa"/>
          </w:tcPr>
          <w:p>
            <w:pPr/>
            <w:r>
              <w:t>—</w:t>
            </w:r>
          </w:p>
        </w:tc>
        <w:tc>
          <w:tcPr>
            <w:tcW w:w="1285" w:type="dxa"/>
          </w:tcPr>
          <w:p>
            <w:pPr/>
            <w:r>
              <w:t>—</w:t>
            </w:r>
          </w:p>
        </w:tc>
      </w:tr>
      <w:tr>
        <w:trPr>
          <w:cantSplit/>
        </w:trPr>
        <w:tc>
          <w:tcPr>
            <w:tcW w:w="1285" w:type="dxa"/>
          </w:tcPr>
          <w:p>
            <w:pPr/>
            <w:r>
              <w:t>Paraglider Hand</w:t>
            </w:r>
          </w:p>
        </w:tc>
        <w:tc>
          <w:tcPr>
            <w:tcW w:w="1285" w:type="dxa"/>
          </w:tcPr>
          <w:p>
            <w:pPr/>
            <w:r>
              <w:rPr>
                <w:rFonts w:ascii="Consolas" w:hAnsi="Consolas"/>
                <w:sz w:val="20"/>
              </w:rPr>
              <w:t>elderly_70</w:t>
            </w:r>
          </w:p>
        </w:tc>
        <w:tc>
          <w:tcPr>
            <w:tcW w:w="1285" w:type="dxa"/>
          </w:tcPr>
          <w:p>
            <w:pPr/>
            <w:r>
              <w:t>Largura metacarpal de entrada; extensão total X da palma</w:t>
            </w:r>
          </w:p>
        </w:tc>
        <w:tc>
          <w:tcPr>
            <w:tcW w:w="1285" w:type="dxa"/>
          </w:tcPr>
          <w:p>
            <w:pPr/>
            <w:r>
              <w:t>84,0 mm</w:t>
            </w:r>
          </w:p>
        </w:tc>
        <w:tc>
          <w:tcPr>
            <w:tcW w:w="1285" w:type="dxa"/>
          </w:tcPr>
          <w:p>
            <w:pPr/>
            <w:r>
              <w:t>102,017 mm</w:t>
            </w:r>
          </w:p>
        </w:tc>
        <w:tc>
          <w:tcPr>
            <w:tcW w:w="1285" w:type="dxa"/>
          </w:tcPr>
          <w:p>
            <w:pPr/>
            <w:r>
              <w:t>—</w:t>
            </w:r>
          </w:p>
        </w:tc>
        <w:tc>
          <w:tcPr>
            <w:tcW w:w="1285" w:type="dxa"/>
          </w:tcPr>
          <w:p>
            <w:pPr/>
            <w:r>
              <w:t>—</w:t>
            </w:r>
          </w:p>
        </w:tc>
      </w:tr>
      <w:tr>
        <w:trPr>
          <w:cantSplit/>
        </w:trPr>
        <w:tc>
          <w:tcPr>
            <w:tcW w:w="1285" w:type="dxa"/>
          </w:tcPr>
          <w:p>
            <w:pPr/>
            <w:r>
              <w:t>UnLimbited Phoenix</w:t>
            </w:r>
          </w:p>
        </w:tc>
        <w:tc>
          <w:tcPr>
            <w:tcW w:w="1285" w:type="dxa"/>
          </w:tcPr>
          <w:p>
            <w:pPr/>
            <w:r>
              <w:rPr>
                <w:rFonts w:ascii="Consolas" w:hAnsi="Consolas"/>
                <w:sz w:val="20"/>
              </w:rPr>
              <w:t>child_8</w:t>
            </w:r>
          </w:p>
        </w:tc>
        <w:tc>
          <w:tcPr>
            <w:tcW w:w="1285" w:type="dxa"/>
          </w:tcPr>
          <w:p>
            <w:pPr/>
            <w:r>
              <w:t>Largura metacarpal de entrada; extensão total X da palma</w:t>
            </w:r>
          </w:p>
        </w:tc>
        <w:tc>
          <w:tcPr>
            <w:tcW w:w="1285" w:type="dxa"/>
          </w:tcPr>
          <w:p>
            <w:pPr/>
            <w:r>
              <w:t>82,0 mm</w:t>
            </w:r>
          </w:p>
        </w:tc>
        <w:tc>
          <w:tcPr>
            <w:tcW w:w="1285" w:type="dxa"/>
          </w:tcPr>
          <w:p>
            <w:pPr/>
            <w:r>
              <w:t>82,165 mm</w:t>
            </w:r>
          </w:p>
        </w:tc>
        <w:tc>
          <w:tcPr>
            <w:tcW w:w="1285" w:type="dxa"/>
          </w:tcPr>
          <w:p>
            <w:pPr/>
            <w:r>
              <w:t>—</w:t>
            </w:r>
          </w:p>
        </w:tc>
        <w:tc>
          <w:tcPr>
            <w:tcW w:w="1285" w:type="dxa"/>
          </w:tcPr>
          <w:p>
            <w:pPr/>
            <w:r>
              <w:t>—</w:t>
            </w:r>
          </w:p>
        </w:tc>
      </w:tr>
      <w:tr>
        <w:trPr>
          <w:cantSplit/>
        </w:trPr>
        <w:tc>
          <w:tcPr>
            <w:tcW w:w="1285" w:type="dxa"/>
          </w:tcPr>
          <w:p>
            <w:pPr/>
            <w:r>
              <w:t>UnLimbited Phoenix</w:t>
            </w:r>
          </w:p>
        </w:tc>
        <w:tc>
          <w:tcPr>
            <w:tcW w:w="1285" w:type="dxa"/>
          </w:tcPr>
          <w:p>
            <w:pPr/>
            <w:r>
              <w:rPr>
                <w:rFonts w:ascii="Consolas" w:hAnsi="Consolas"/>
                <w:sz w:val="20"/>
              </w:rPr>
              <w:t>teen_15</w:t>
            </w:r>
          </w:p>
        </w:tc>
        <w:tc>
          <w:tcPr>
            <w:tcW w:w="1285" w:type="dxa"/>
          </w:tcPr>
          <w:p>
            <w:pPr/>
            <w:r>
              <w:t>Largura metacarpal de entrada; extensão total X da palma</w:t>
            </w:r>
          </w:p>
        </w:tc>
        <w:tc>
          <w:tcPr>
            <w:tcW w:w="1285" w:type="dxa"/>
          </w:tcPr>
          <w:p>
            <w:pPr/>
            <w:r>
              <w:t>88,0 mm</w:t>
            </w:r>
          </w:p>
        </w:tc>
        <w:tc>
          <w:tcPr>
            <w:tcW w:w="1285" w:type="dxa"/>
          </w:tcPr>
          <w:p>
            <w:pPr/>
            <w:r>
              <w:t>88,177 mm</w:t>
            </w:r>
          </w:p>
        </w:tc>
        <w:tc>
          <w:tcPr>
            <w:tcW w:w="1285" w:type="dxa"/>
          </w:tcPr>
          <w:p>
            <w:pPr/>
            <w:r>
              <w:t>—</w:t>
            </w:r>
          </w:p>
        </w:tc>
        <w:tc>
          <w:tcPr>
            <w:tcW w:w="1285" w:type="dxa"/>
          </w:tcPr>
          <w:p>
            <w:pPr/>
            <w:r>
              <w:t>—</w:t>
            </w:r>
          </w:p>
        </w:tc>
      </w:tr>
      <w:tr>
        <w:trPr>
          <w:cantSplit/>
        </w:trPr>
        <w:tc>
          <w:tcPr>
            <w:tcW w:w="1285" w:type="dxa"/>
          </w:tcPr>
          <w:p>
            <w:pPr/>
            <w:r>
              <w:t>UnLimbited Phoenix</w:t>
            </w:r>
          </w:p>
        </w:tc>
        <w:tc>
          <w:tcPr>
            <w:tcW w:w="1285" w:type="dxa"/>
          </w:tcPr>
          <w:p>
            <w:pPr/>
            <w:r>
              <w:rPr>
                <w:rFonts w:ascii="Consolas" w:hAnsi="Consolas"/>
                <w:sz w:val="20"/>
              </w:rPr>
              <w:t>adult_28</w:t>
            </w:r>
          </w:p>
        </w:tc>
        <w:tc>
          <w:tcPr>
            <w:tcW w:w="1285" w:type="dxa"/>
          </w:tcPr>
          <w:p>
            <w:pPr/>
            <w:r>
              <w:t>Largura metacarpal de entrada; extensão total X da palma</w:t>
            </w:r>
          </w:p>
        </w:tc>
        <w:tc>
          <w:tcPr>
            <w:tcW w:w="1285" w:type="dxa"/>
          </w:tcPr>
          <w:p>
            <w:pPr/>
            <w:r>
              <w:t>90,0 mm</w:t>
            </w:r>
          </w:p>
        </w:tc>
        <w:tc>
          <w:tcPr>
            <w:tcW w:w="1285" w:type="dxa"/>
          </w:tcPr>
          <w:p>
            <w:pPr/>
            <w:r>
              <w:t>90,181 mm</w:t>
            </w:r>
          </w:p>
        </w:tc>
        <w:tc>
          <w:tcPr>
            <w:tcW w:w="1285" w:type="dxa"/>
          </w:tcPr>
          <w:p>
            <w:pPr/>
            <w:r>
              <w:t>—</w:t>
            </w:r>
          </w:p>
        </w:tc>
        <w:tc>
          <w:tcPr>
            <w:tcW w:w="1285" w:type="dxa"/>
          </w:tcPr>
          <w:p>
            <w:pPr/>
            <w:r>
              <w:t>—</w:t>
            </w:r>
          </w:p>
        </w:tc>
      </w:tr>
      <w:tr>
        <w:trPr>
          <w:cantSplit/>
        </w:trPr>
        <w:tc>
          <w:tcPr>
            <w:tcW w:w="1285" w:type="dxa"/>
          </w:tcPr>
          <w:p>
            <w:pPr/>
            <w:r>
              <w:t>UnLimbited Phoenix</w:t>
            </w:r>
          </w:p>
        </w:tc>
        <w:tc>
          <w:tcPr>
            <w:tcW w:w="1285" w:type="dxa"/>
          </w:tcPr>
          <w:p>
            <w:pPr/>
            <w:r>
              <w:rPr>
                <w:rFonts w:ascii="Consolas" w:hAnsi="Consolas"/>
                <w:sz w:val="20"/>
              </w:rPr>
              <w:t>elderly_70</w:t>
            </w:r>
          </w:p>
        </w:tc>
        <w:tc>
          <w:tcPr>
            <w:tcW w:w="1285" w:type="dxa"/>
          </w:tcPr>
          <w:p>
            <w:pPr/>
            <w:r>
              <w:t>Largura metacarpal de entrada; extensão total X da palma</w:t>
            </w:r>
          </w:p>
        </w:tc>
        <w:tc>
          <w:tcPr>
            <w:tcW w:w="1285" w:type="dxa"/>
          </w:tcPr>
          <w:p>
            <w:pPr/>
            <w:r>
              <w:t>84,0 mm</w:t>
            </w:r>
          </w:p>
        </w:tc>
        <w:tc>
          <w:tcPr>
            <w:tcW w:w="1285" w:type="dxa"/>
          </w:tcPr>
          <w:p>
            <w:pPr/>
            <w:r>
              <w:t>84,169 mm</w:t>
            </w:r>
          </w:p>
        </w:tc>
        <w:tc>
          <w:tcPr>
            <w:tcW w:w="1285" w:type="dxa"/>
          </w:tcPr>
          <w:p>
            <w:pPr/>
            <w:r>
              <w:t>—</w:t>
            </w:r>
          </w:p>
        </w:tc>
        <w:tc>
          <w:tcPr>
            <w:tcW w:w="1285" w:type="dxa"/>
          </w:tcPr>
          <w:p>
            <w:pPr/>
            <w:r>
              <w:t>—</w:t>
            </w:r>
          </w:p>
        </w:tc>
      </w:tr>
    </w:tbl>
    <w:p>
      <w:pPr/>
      <w:r>
        <w:t xml:space="preserve">A Tabela D.3 resume o eixo X, por ser o único eixo associado a um parâmetro activo nos três modelos. A folha completa </w:t>
      </w:r>
      <w:r>
        <w:rPr>
          <w:rFonts w:ascii="Consolas" w:hAnsi="Consolas"/>
          <w:sz w:val="20"/>
        </w:rPr>
        <w:t>tabela_comparacao_dimensional.csv</w:t>
      </w:r>
      <w:r>
        <w:t xml:space="preserve"> contém 36 linhas de medição: extensões X, Y e Z para as doze combinações modelo–perfil. 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w:t>
      </w:r>
    </w:p>
    <w:p>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CodeBlock"/>
      </w:pPr>
      <w:r>
        <w:t>desvio malha–peça = medida da peça física − medida da malha</w:t>
        <w:br/>
        <w:t>desvio percentual = 100 × (medida da peça física − medida da malha) / medida da malha</w:t>
      </w:r>
    </w:p>
    <w:p>
      <w:pPr>
        <w:pStyle w:val="Heading3"/>
      </w:pPr>
      <w:r>
        <w:t>D.4.5 Registo fotográfico dos protótipos</w:t>
      </w:r>
    </w:p>
    <w:p>
      <w:pPr/>
      <w:r>
        <w:t xml:space="preserve">As Figuras 8.1 a 8.3 do manuscrito reúnem o registo fotográfico das peças produzidas: componentes separados e em montagem parcial, séries dimensionais de segmentos Paraglider Hand e Flexy Beast, e sete vistas de uma UnLimbited Phoenix montada para o perfil simulado de 15 anos. As fotografias originais são conservadas na pasta </w:t>
      </w:r>
      <w:r>
        <w:rPr>
          <w:rFonts w:ascii="Consolas" w:hAnsi="Consolas"/>
          <w:sz w:val="20"/>
        </w:rPr>
        <w:t>figuras/</w:t>
      </w:r>
      <w:r>
        <w:t xml:space="preserve"> com o prefixo </w:t>
      </w:r>
      <w:r>
        <w:rPr>
          <w:rFonts w:ascii="Consolas" w:hAnsi="Consolas"/>
          <w:sz w:val="20"/>
        </w:rPr>
        <w:t>teste-impressao-</w:t>
      </w:r>
      <w:r>
        <w:t>; os painéis integrados no documento foram compostos a partir desses ficheiros, sem alteração do conteúdo visual. Três fotografias das séries dimensionais foram apenas rodadas 90° para permitir a leitura correcta da orientação e das identificações manuscritas.</w:t>
      </w:r>
    </w:p>
    <w:p>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Heading2"/>
      </w:pPr>
      <w:r>
        <w:t>D.5 Compatibilidade com orientações de dimensionamento</w:t>
      </w:r>
    </w:p>
    <w:p>
      <w:pPr/>
      <w:r>
        <w:t xml:space="preserve">Os ficheiros locais de dimensionamento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r>
        <w:t xml:space="preserve">No Phoenix, a regra </w:t>
      </w:r>
      <w:r>
        <w:rPr>
          <w:rFonts w:ascii="Consolas" w:hAnsi="Consolas"/>
          <w:sz w:val="20"/>
        </w:rPr>
        <w:t>palm_breadth_mm / 82 × 100</w:t>
      </w:r>
      <w:r>
        <w:t>, limitada a 100%–160%, produziu as seguintes escalas: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r>
              <w:t>Perfil</w:t>
            </w:r>
          </w:p>
        </w:tc>
        <w:tc>
          <w:tcPr>
            <w:tcW w:w="2250" w:type="dxa"/>
          </w:tcPr>
          <w:p>
            <w:pPr/>
            <w:r>
              <w:t>Largura introduzida</w:t>
            </w:r>
          </w:p>
        </w:tc>
        <w:tc>
          <w:tcPr>
            <w:tcW w:w="2250" w:type="dxa"/>
          </w:tcPr>
          <w:p>
            <w:pPr/>
            <w:r>
              <w:t>Escala calculada</w:t>
            </w:r>
          </w:p>
        </w:tc>
        <w:tc>
          <w:tcPr>
            <w:tcW w:w="2250" w:type="dxa"/>
          </w:tcPr>
          <w:p>
            <w:pPr/>
            <w:r>
              <w:t>Gama da folha Phoenix</w:t>
            </w:r>
          </w:p>
        </w:tc>
      </w:tr>
      <w:tr>
        <w:trPr>
          <w:cantSplit/>
        </w:trPr>
        <w:tc>
          <w:tcPr>
            <w:tcW w:w="2250" w:type="dxa"/>
          </w:tcPr>
          <w:p>
            <w:pPr/>
            <w:r>
              <w:rPr>
                <w:rFonts w:ascii="Consolas" w:hAnsi="Consolas"/>
                <w:sz w:val="20"/>
              </w:rPr>
              <w:t>child_8</w:t>
            </w:r>
          </w:p>
        </w:tc>
        <w:tc>
          <w:tcPr>
            <w:tcW w:w="2250" w:type="dxa"/>
          </w:tcPr>
          <w:p>
            <w:pPr/>
            <w:r>
              <w:t>82 mm</w:t>
            </w:r>
          </w:p>
        </w:tc>
        <w:tc>
          <w:tcPr>
            <w:tcW w:w="2250" w:type="dxa"/>
          </w:tcPr>
          <w:p>
            <w:pPr/>
            <w:r>
              <w:t>100,0%</w:t>
            </w:r>
          </w:p>
        </w:tc>
        <w:tc>
          <w:tcPr>
            <w:tcW w:w="2250" w:type="dxa"/>
          </w:tcPr>
          <w:p>
            <w:pPr/>
            <w:r>
              <w:t>100%–165%</w:t>
            </w:r>
          </w:p>
        </w:tc>
      </w:tr>
      <w:tr>
        <w:trPr>
          <w:cantSplit/>
        </w:trPr>
        <w:tc>
          <w:tcPr>
            <w:tcW w:w="2250" w:type="dxa"/>
          </w:tcPr>
          <w:p>
            <w:pPr/>
            <w:r>
              <w:rPr>
                <w:rFonts w:ascii="Consolas" w:hAnsi="Consolas"/>
                <w:sz w:val="20"/>
              </w:rPr>
              <w:t>teen_15</w:t>
            </w:r>
          </w:p>
        </w:tc>
        <w:tc>
          <w:tcPr>
            <w:tcW w:w="2250" w:type="dxa"/>
          </w:tcPr>
          <w:p>
            <w:pPr/>
            <w:r>
              <w:t>88 mm</w:t>
            </w:r>
          </w:p>
        </w:tc>
        <w:tc>
          <w:tcPr>
            <w:tcW w:w="2250" w:type="dxa"/>
          </w:tcPr>
          <w:p>
            <w:pPr/>
            <w:r>
              <w:t>107,3%</w:t>
            </w:r>
          </w:p>
        </w:tc>
        <w:tc>
          <w:tcPr>
            <w:tcW w:w="2250" w:type="dxa"/>
          </w:tcPr>
          <w:p>
            <w:pPr/>
            <w:r>
              <w:t>100%–165%</w:t>
            </w:r>
          </w:p>
        </w:tc>
      </w:tr>
      <w:tr>
        <w:trPr>
          <w:cantSplit/>
        </w:trPr>
        <w:tc>
          <w:tcPr>
            <w:tcW w:w="2250" w:type="dxa"/>
          </w:tcPr>
          <w:p>
            <w:pPr/>
            <w:r>
              <w:rPr>
                <w:rFonts w:ascii="Consolas" w:hAnsi="Consolas"/>
                <w:sz w:val="20"/>
              </w:rPr>
              <w:t>adult_28</w:t>
            </w:r>
          </w:p>
        </w:tc>
        <w:tc>
          <w:tcPr>
            <w:tcW w:w="2250" w:type="dxa"/>
          </w:tcPr>
          <w:p>
            <w:pPr/>
            <w:r>
              <w:t>90 mm</w:t>
            </w:r>
          </w:p>
        </w:tc>
        <w:tc>
          <w:tcPr>
            <w:tcW w:w="2250" w:type="dxa"/>
          </w:tcPr>
          <w:p>
            <w:pPr/>
            <w:r>
              <w:t>109,8%</w:t>
            </w:r>
          </w:p>
        </w:tc>
        <w:tc>
          <w:tcPr>
            <w:tcW w:w="2250" w:type="dxa"/>
          </w:tcPr>
          <w:p>
            <w:pPr/>
            <w:r>
              <w:t>100%–165%</w:t>
            </w:r>
          </w:p>
        </w:tc>
      </w:tr>
      <w:tr>
        <w:trPr>
          <w:cantSplit/>
        </w:trPr>
        <w:tc>
          <w:tcPr>
            <w:tcW w:w="2250" w:type="dxa"/>
          </w:tcPr>
          <w:p>
            <w:pPr/>
            <w:r>
              <w:rPr>
                <w:rFonts w:ascii="Consolas" w:hAnsi="Consolas"/>
                <w:sz w:val="20"/>
              </w:rPr>
              <w:t>elderly_70</w:t>
            </w:r>
          </w:p>
        </w:tc>
        <w:tc>
          <w:tcPr>
            <w:tcW w:w="2250" w:type="dxa"/>
          </w:tcPr>
          <w:p>
            <w:pPr/>
            <w:r>
              <w:t>84 mm</w:t>
            </w:r>
          </w:p>
        </w:tc>
        <w:tc>
          <w:tcPr>
            <w:tcW w:w="2250" w:type="dxa"/>
          </w:tcPr>
          <w:p>
            <w:pPr/>
            <w:r>
              <w:t>102,4%</w:t>
            </w:r>
          </w:p>
        </w:tc>
        <w:tc>
          <w:tcPr>
            <w:tcW w:w="2250" w:type="dxa"/>
          </w:tcPr>
          <w:p>
            <w:pPr/>
            <w:r>
              <w:t>100%–165%</w:t>
            </w:r>
          </w:p>
        </w:tc>
      </w:tr>
    </w:tbl>
    <w:p>
      <w:pPr/>
      <w:r>
        <w:t xml:space="preserve">Os quatro valores situam-se na gama de factores da folha Phoenix. A largura-base de 65 mm indicada nessa folha não foi comparada directamente com os 82 mm da plataforma, porque os documentos não demonstram que os pontos de medição sejam equivalentes. Não existe uma tabela local específica para o Paraglider. O detalhe e os limites destas comparações constam de </w:t>
      </w:r>
      <w:r>
        <w:rPr>
          <w:rFonts w:ascii="Consolas" w:hAnsi="Consolas"/>
          <w:sz w:val="20"/>
        </w:rPr>
        <w:t>avaliacao_compatibilidade_dimensionamento.md</w:t>
      </w:r>
      <w:r>
        <w:t>. Os resultados mostram compatibilidade com orientações de escala; não demonstram adequação anatómica individual nem funcionamento.</w:t>
      </w:r>
    </w:p>
    <w:p>
      <w:pPr>
        <w:pStyle w:val="Heading2"/>
      </w:pPr>
      <w:r>
        <w:t>D.6 Limites de comparabilidade</w:t>
      </w:r>
    </w:p>
    <w:p>
      <w:pPr>
        <w:pStyle w:val="ListBullet"/>
      </w:pPr>
      <w:r>
        <w:t xml:space="preserve">- </w:t>
      </w:r>
      <w:r>
        <w:rPr>
          <w:b/>
        </w:rPr>
        <w:t>Estimativa, não medição</w:t>
      </w:r>
      <w:r>
        <w:t xml:space="preserve"> (ver D.2): não citar como valores físicos.</w:t>
      </w:r>
    </w:p>
    <w:p>
      <w:pPr>
        <w:pStyle w:val="ListBullet"/>
      </w:pPr>
      <w:r>
        <w:t xml:space="preserve">- </w:t>
      </w:r>
      <w:r>
        <w:rPr>
          <w:b/>
        </w:rPr>
        <w:t>A Série A não permite comparação directa entre modelos/máquinas:</w:t>
      </w:r>
      <w:r>
        <w:t xml:space="preserve"> mistura</w:t>
      </w:r>
    </w:p>
    <w:p>
      <w:pPr/>
      <w:r>
        <w:t xml:space="preserve">fatiadores (Bambu/Prusa), impressoras (A1/MINI), alturas de camada (0,24/0,20 mm) e política de suportes. O Paraglider, em particular, não é comparável com os casos Bambu. </w:t>
      </w:r>
      <w:r>
        <w:rPr>
          <w:b/>
        </w:rPr>
        <w:t>Excepção:</w:t>
      </w:r>
      <w:r>
        <w:t xml:space="preserve"> os dois projectos Phoenix (PLA e PETG) partilham tudo excepto o material, pelo que constituem um contraste de material válido.</w:t>
      </w:r>
    </w:p>
    <w:p>
      <w:pPr>
        <w:pStyle w:val="ListBullet"/>
      </w:pPr>
      <w:r>
        <w:t xml:space="preserve">- </w:t>
      </w:r>
      <w:r>
        <w:rPr>
          <w:b/>
        </w:rPr>
        <w:t>Série A ≠ Série B:</w:t>
      </w:r>
      <w:r>
        <w:t xml:space="preserve"> condições de ensaio distintas (a Série A com suportes</w:t>
      </w:r>
    </w:p>
    <w:p>
      <w:pPr/>
      <w:r>
        <w:t>e 0,24 mm; a B sem suportes e 0,20 mm).</w:t>
      </w:r>
    </w:p>
    <w:p>
      <w:pPr>
        <w:pStyle w:val="ListBullet"/>
      </w:pPr>
      <w:r>
        <w:t xml:space="preserve">- </w:t>
      </w:r>
      <w:r>
        <w:rPr>
          <w:b/>
        </w:rPr>
        <w:t>Só a Série B permite comparação entre modelos</w:t>
      </w:r>
      <w:r>
        <w:t>, por partilharem condição.</w:t>
      </w:r>
    </w:p>
    <w:p>
      <w:pPr>
        <w:pStyle w:val="ListBullet"/>
      </w:pPr>
      <w:r>
        <w:t xml:space="preserve">- </w:t>
      </w:r>
      <w:r>
        <w:rPr>
          <w:b/>
        </w:rPr>
        <w:t>Assimetria de exportação:</w:t>
      </w:r>
      <w:r>
        <w:t xml:space="preserve"> a plataforma exporta Flexy e Paraglider também como</w:t>
      </w:r>
    </w:p>
    <w:p>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Heading2"/>
      </w:pPr>
      <w:r>
        <w:t>D.7 Campos que não puderam ser obtidos</w:t>
      </w:r>
    </w:p>
    <w:p>
      <w:pPr>
        <w:pStyle w:val="ListBullet"/>
      </w:pPr>
      <w:r>
        <w:t xml:space="preserve">- </w:t>
      </w:r>
      <w:r>
        <w:rPr>
          <w:b/>
        </w:rPr>
        <w:t>Custo monetário directo do Bambu Studio:</w:t>
      </w:r>
      <w:r>
        <w:t xml:space="preserve"> não emitido pelo programa nas</w:t>
      </w:r>
    </w:p>
    <w:p>
      <w:pPr/>
      <w:r>
        <w:t xml:space="preserve">condições usadas. O custo apresentado nas Tabelas D.1 e D.2 foi por isso </w:t>
      </w:r>
      <w:r>
        <w:rPr>
          <w:b/>
        </w:rPr>
        <w:t>calculado</w:t>
      </w:r>
      <w:r>
        <w:t xml:space="preserve"> a partir da massa estimada e de uma taxa única de </w:t>
      </w:r>
      <w:r>
        <w:rPr>
          <w:b/>
        </w:rPr>
        <w:t>36,29 €/kg</w:t>
      </w:r>
      <w:r>
        <w:t xml:space="preserve"> (preço do perfil Prusament PLA do PrusaSlicer), assumida igual para ambos os fatiadores e todos os materiais; para o Paraglider coincide com o valor emitido pelo próprio PrusaSlicer (1,38 €). Não é, pois, um custo emitido pelo Bambu, mas uma estimativa derivada com pressuposto declarado.</w:t>
      </w:r>
    </w:p>
    <w:p>
      <w:pPr>
        <w:pStyle w:val="ListBullet"/>
      </w:pPr>
      <w:r>
        <w:t xml:space="preserve">- </w:t>
      </w:r>
      <w:r>
        <w:rPr>
          <w:b/>
        </w:rPr>
        <w:t>Contagem de camadas do caso PrusaSlicer:</w:t>
      </w:r>
      <w:r>
        <w:t xml:space="preserve"> não reportada no cabeçalho de</w:t>
      </w:r>
    </w:p>
    <w:p>
      <w:pPr/>
      <w:r>
        <w:t>G-code no mesmo formato do Bambu; deixada em branco.</w:t>
      </w:r>
    </w:p>
    <w:p>
      <w:pPr>
        <w:pStyle w:val="ListBullet"/>
      </w:pPr>
      <w:r>
        <w:t xml:space="preserve">- </w:t>
      </w:r>
      <w:r>
        <w:rPr>
          <w:b/>
        </w:rPr>
        <w:t>Montagem sólida do Phoenix por perfil:</w:t>
      </w:r>
      <w:r>
        <w:t xml:space="preserve"> inexistente na exportação da</w:t>
      </w:r>
    </w:p>
    <w:p>
      <w:pPr/>
      <w:r>
        <w:t>plataforma (só peças soltas), pelo que só está disponível para teen</w:t>
      </w:r>
      <w:r>
        <w:rPr>
          <w:i/>
        </w:rPr>
        <w:t>15.</w:t>
      </w:r>
    </w:p>
    <w:p>
      <w:pPr>
        <w:pStyle w:val="ListBullet"/>
      </w:pPr>
      <w:r>
        <w:t xml:space="preserve">- </w:t>
      </w:r>
      <w:r>
        <w:rPr>
          <w:b/>
        </w:rPr>
        <w:t>Medições dimensionais físicas:</w:t>
      </w:r>
      <w:r>
        <w:t xml:space="preserve"> ainda não incorporadas nos resultados. O</w:t>
      </w:r>
    </w:p>
    <w:p>
      <w:pPr/>
      <w:r>
        <w:t>protocolo e a folha de três leituras por ponto foram preparados, mas as colunas permanecem vazias até as peças serem medidas com paquímetro.</w:t>
      </w:r>
    </w:p>
    <w:p>
      <w:pPr>
        <w:pStyle w:val="ListBullet"/>
      </w:pPr>
      <w:r>
        <w:t xml:space="preserve">- </w:t>
      </w:r>
      <w:r>
        <w:rPr>
          <w:b/>
        </w:rPr>
        <w:t>Verificação de montagem e articulação:</w:t>
      </w:r>
      <w:r>
        <w:t xml:space="preserve"> o protocolo e a folha de registo</w:t>
      </w:r>
    </w:p>
    <w:p>
      <w:pPr/>
      <w:r>
        <w:t>foram preparados, mas não existem ainda observações preenchidas que permitam apresentar resultados de movimento, fecho ou retorno.</w:t>
      </w:r>
    </w:p>
    <w:p>
      <w:pPr>
        <w:pStyle w:val="ListBullet"/>
      </w:pPr>
      <w:r>
        <w:t xml:space="preserve">- </w:t>
      </w:r>
      <w:r>
        <w:rPr>
          <w:b/>
        </w:rPr>
        <w:t>Medições mecânicas ou de ajuste ao utilizador:</w:t>
      </w:r>
      <w:r>
        <w:t xml:space="preserve"> não realizadas; exigiriam</w:t>
      </w:r>
    </w:p>
    <w:p>
      <w:pPr/>
      <w:r>
        <w:t>procedimentos e condições diferentes dos ensaios aqui descritos.</w:t>
      </w:r>
    </w:p>
    <w:p>
      <w:pPr>
        <w:pStyle w:val="Heading2"/>
      </w:pPr>
      <w:r>
        <w:t>D.8 O que pode e não pode ser afirmado na dissertação</w:t>
      </w:r>
    </w:p>
    <w:p>
      <w:pPr/>
      <w:r>
        <w:rPr>
          <w:b/>
        </w:rPr>
        <w:t>Pode afirmar-se:</w:t>
      </w:r>
    </w:p>
    <w:p>
      <w:pPr>
        <w:pStyle w:val="ListBullet"/>
      </w:pPr>
      <w:r>
        <w:t>- Que os ficheiros foram aceites pelos fatiadores e permitiram gerar trajectórias</w:t>
      </w:r>
    </w:p>
    <w:p>
      <w:pPr/>
      <w:r>
        <w:t>e estimativas em 4/4 projectos arquivados e 12/12 casos controlados.</w:t>
      </w:r>
    </w:p>
    <w:p>
      <w:pPr>
        <w:pStyle w:val="ListBullet"/>
      </w:pPr>
      <w:r>
        <w:t xml:space="preserve">- Que a </w:t>
      </w:r>
      <w:r>
        <w:rPr>
          <w:b/>
        </w:rPr>
        <w:t>exigência de preparação</w:t>
      </w:r>
      <w:r>
        <w:t xml:space="preserve"> (material, tempo, número de placas) foi</w:t>
      </w:r>
    </w:p>
    <w:p>
      <w:pPr/>
      <w:r>
        <w:rPr>
          <w:b/>
        </w:rPr>
        <w:t>estimada</w:t>
      </w:r>
      <w:r>
        <w:t xml:space="preserve"> sob condições declaradas e variou com o modelo e com as dimensões dos perfis simulados.</w:t>
      </w:r>
    </w:p>
    <w:p>
      <w:pPr>
        <w:pStyle w:val="ListBullet"/>
      </w:pPr>
      <w:r>
        <w:t>- Que, na orientação analisada, uma dimensão da caixa envolvente de vários modelos</w:t>
      </w:r>
    </w:p>
    <w:p>
      <w:pPr/>
      <w:r>
        <w:t>montados excedeu a dimensão nominal da placa, apoiando a decisão de disponibilizar os componentes segmentados.</w:t>
      </w:r>
    </w:p>
    <w:p>
      <w:pPr>
        <w:pStyle w:val="ListBullet"/>
      </w:pPr>
      <w:r>
        <w:t>- Que a Série B permite comparar os valores estimados dos modelos sob uma</w:t>
      </w:r>
    </w:p>
    <w:p>
      <w:pPr/>
      <w:r>
        <w:t>condição digital comum.</w:t>
      </w:r>
    </w:p>
    <w:p>
      <w:pPr>
        <w:pStyle w:val="ListBullet"/>
      </w:pPr>
      <w:r>
        <w:t>- Que o par Phoenix PLA vs PETG (Série A) constitui um contraste de material</w:t>
      </w:r>
    </w:p>
    <w:p>
      <w:pPr/>
      <w:r>
        <w:t>controlado, por partilhar modelo, impressora, geometria, camada e processo.</w:t>
      </w:r>
    </w:p>
    <w:p>
      <w:pPr>
        <w:pStyle w:val="ListBullet"/>
      </w:pPr>
      <w:r>
        <w:t xml:space="preserve">- Que, de forma </w:t>
      </w:r>
      <w:r>
        <w:rPr>
          <w:b/>
        </w:rPr>
        <w:t>qualitativa e relativa</w:t>
      </w:r>
      <w:r>
        <w:t>, os parâmetros de impressão informam o</w:t>
      </w:r>
    </w:p>
    <w:p>
      <w:pPr/>
      <w:r>
        <w:t>comportamento mecânico esperado: mais paredes ou mais enchimento aumentam a robustez; o PETG é funcionalmente mais resistente e durável do que o PLA (mais tenaz e mais resistente a impacto, fadiga e calor), sendo o PLA mais rígido; e a configuração da Série B (2 paredes, 15%) é de serviço ligeiro — tudo sem quantificar valores absolutos.</w:t>
      </w:r>
    </w:p>
    <w:p>
      <w:pPr/>
      <w:r>
        <w:rPr>
          <w:b/>
        </w:rPr>
        <w:t>Não pode afirmar-se:</w:t>
      </w:r>
    </w:p>
    <w:p>
      <w:pPr>
        <w:pStyle w:val="ListBullet"/>
      </w:pPr>
      <w:r>
        <w:t xml:space="preserve">- Que estes valores estimados são </w:t>
      </w:r>
      <w:r>
        <w:rPr>
          <w:b/>
        </w:rPr>
        <w:t>medições reais</w:t>
      </w:r>
      <w:r>
        <w:t xml:space="preserve"> de impressões, ou que medem</w:t>
      </w:r>
    </w:p>
    <w:p>
      <w:pPr/>
      <w:r>
        <w:rPr>
          <w:b/>
        </w:rPr>
        <w:t>valores absolutos</w:t>
      </w:r>
      <w: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ListBullet"/>
      </w:pPr>
      <w:r>
        <w:t xml:space="preserve">- Que os casos da </w:t>
      </w:r>
      <w:r>
        <w:rPr>
          <w:b/>
        </w:rPr>
        <w:t>Série A</w:t>
      </w:r>
      <w:r>
        <w:t xml:space="preserve"> são comparáveis entre modelos, fatiadores ou</w:t>
      </w:r>
    </w:p>
    <w:p>
      <w:pPr/>
      <w:r>
        <w:t>impressoras diferentes (a única comparação válida na Série A é o par Phoenix PLA vs PETG, que só difere no material).</w:t>
      </w:r>
    </w:p>
    <w:p>
      <w:pPr>
        <w:pStyle w:val="ListBullet"/>
      </w:pPr>
      <w:r>
        <w:t xml:space="preserve">- Que a </w:t>
      </w:r>
      <w:r>
        <w:rPr>
          <w:b/>
        </w:rPr>
        <w:t>integridade de malha</w:t>
      </w:r>
      <w:r>
        <w:t xml:space="preserve"> implica qualidade mecânica da peça.</w:t>
      </w:r>
    </w:p>
    <w:p>
      <w:pPr>
        <w:pStyle w:val="ListBullet"/>
      </w:pPr>
      <w:r>
        <w:t>- Que o fatiamento concluído demonstra sucesso de impressão, montagem, adequação</w:t>
      </w:r>
    </w:p>
    <w:p>
      <w:pPr/>
      <w:r>
        <w:t>funcional ou utilização segura.</w:t>
      </w:r>
    </w:p>
    <w:p>
      <w:pPr>
        <w:pStyle w:val="ListBullet"/>
      </w:pPr>
      <w:r>
        <w:t>- Que os custos são preços de mercado reais: assentam numa taxa única assumida de</w:t>
      </w:r>
    </w:p>
    <w:p>
      <w:pPr/>
      <w:r>
        <w:t>36,29 €/kg (o PETG usa a mesma taxa do PLA); um preço real distinto por fornecedor ou no tempo altera-os proporcionalmente.</w:t>
      </w:r>
    </w:p>
    <w:p>
      <w:pPr>
        <w:pStyle w:val="Heading2"/>
      </w:pPr>
      <w:r>
        <w:t>D.9 Registo fotográfico dos protótipos impressos</w:t>
      </w:r>
    </w:p>
    <w:p>
      <w:pPr/>
      <w:r>
        <w:t xml:space="preserve">As imagens seguintes documentam </w:t>
      </w:r>
      <w:r>
        <w:rPr>
          <w:b/>
        </w:rPr>
        <w:t>impressões físicas reais</w:t>
      </w:r>
      <w:r>
        <w:t xml:space="preserve"> dos modelos, obtidas na impressora Bambu Lab A1. Complementam as estimativas digitais das secções anteriores como </w:t>
      </w:r>
      <w:r>
        <w:rPr>
          <w:b/>
        </w:rPr>
        <w:t>evidência visual e qualitativa</w:t>
      </w:r>
      <w:r>
        <w:t xml:space="preserve"> da preparação e do fabrico: mostram que os ficheiros gerados pela plataforma foram impressos, montados e articulados. Não acrescentam medições quantitativas — as medições dimensionais e a verificação de montagem seguem os protocolos próprios (D.4.4 e anexos associados) e permanecem por preencher até serem executadas sobre estes exemplares.</w:t>
      </w:r>
    </w:p>
    <w:p>
      <w:pPr>
        <w:pStyle w:val="Heading3"/>
      </w:pPr>
      <w:r>
        <w:t>D.9.1 Peças no processo de impressão (placa Bambu Lab A1)</w:t>
      </w:r>
    </w:p>
    <w:p>
      <w:r>
        <w:drawing>
          <wp:inline xmlns:wp="http://schemas.openxmlformats.org/drawingml/2006/wordprocessingDrawing" distT="0" distB="0" distL="0" distR="0">
            <wp:extent cx="5715000" cy="10163175"/>
            <wp:docPr id="1" name="Segmentos de dedos do Flexy Beast na placa da Bambu Lab A1" descr="Segmentos de dedos do Flexy Beast na placa da Bambu Lab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gmentos de dedos do Flexy Beast na placa da Bambu Lab A1" descr="Segmentos de dedos do Flexy Beast na placa da Bambu Lab A1"/>
                    <pic:cNvPicPr/>
                  </pic:nvPicPr>
                  <pic:blipFill>
                    <a:blip xmlns:r="http://schemas.openxmlformats.org/officeDocument/2006/relationships" r:embed="rId2"/>
                    <a:stretch>
                      <a:fillRect/>
                    </a:stretch>
                  </pic:blipFill>
                  <pic:spPr>
                    <a:xfrm>
                      <a:off x="0" y="0"/>
                      <a:ext cx="5715000" cy="10163175"/>
                    </a:xfrm>
                    <a:prstGeom prst="rect">
                      <a:avLst/>
                    </a:prstGeom>
                  </pic:spPr>
                </pic:pic>
              </a:graphicData>
            </a:graphic>
          </wp:inline>
        </w:drawing>
      </w:r>
    </w:p>
    <w:p>
      <w:pPr/>
      <w:r>
        <w:rPr>
          <w:i/>
        </w:rPr>
        <w:t>Figura D.1 — Segmentos de dedos (falanges) do Flexy Beast dispostos na placa da Bambu Lab A1, no fim da impressão.</w:t>
      </w:r>
    </w:p>
    <w:p>
      <w:r>
        <w:drawing>
          <wp:inline xmlns:wp="http://schemas.openxmlformats.org/drawingml/2006/wordprocessingDrawing" distT="0" distB="0" distL="0" distR="0">
            <wp:extent cx="5715000" cy="10153650"/>
            <wp:docPr id="2" name="Falanges sobre a placa texturada da A1" descr="Falanges sobre a placa texturada da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langes sobre a placa texturada da A1" descr="Falanges sobre a placa texturada da A1"/>
                    <pic:cNvPicPr/>
                  </pic:nvPicPr>
                  <pic:blipFill>
                    <a:blip xmlns:r="http://schemas.openxmlformats.org/officeDocument/2006/relationships" r:embed="rId3"/>
                    <a:stretch>
                      <a:fillRect/>
                    </a:stretch>
                  </pic:blipFill>
                  <pic:spPr>
                    <a:xfrm>
                      <a:off x="0" y="0"/>
                      <a:ext cx="5715000" cy="10153650"/>
                    </a:xfrm>
                    <a:prstGeom prst="rect">
                      <a:avLst/>
                    </a:prstGeom>
                  </pic:spPr>
                </pic:pic>
              </a:graphicData>
            </a:graphic>
          </wp:inline>
        </w:drawing>
      </w:r>
    </w:p>
    <w:p>
      <w:pPr/>
      <w:r>
        <w:rPr>
          <w:i/>
        </w:rPr>
        <w:t>Figura D.2 — Falanges (base e ponta) sobre a placa texturada da A1, antes da remoção.</w:t>
      </w:r>
    </w:p>
    <w:p>
      <w:r>
        <w:drawing>
          <wp:inline xmlns:wp="http://schemas.openxmlformats.org/drawingml/2006/wordprocessingDrawing" distT="0" distB="0" distL="0" distR="0">
            <wp:extent cx="5715000" cy="10153650"/>
            <wp:docPr id="3" name="Conjunto de dedos na placa da A1" descr="Conjunto de dedos na placa da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junto de dedos na placa da A1" descr="Conjunto de dedos na placa da A1"/>
                    <pic:cNvPicPr/>
                  </pic:nvPicPr>
                  <pic:blipFill>
                    <a:blip xmlns:r="http://schemas.openxmlformats.org/officeDocument/2006/relationships" r:embed="rId4"/>
                    <a:stretch>
                      <a:fillRect/>
                    </a:stretch>
                  </pic:blipFill>
                  <pic:spPr>
                    <a:xfrm>
                      <a:off x="0" y="0"/>
                      <a:ext cx="5715000" cy="10153650"/>
                    </a:xfrm>
                    <a:prstGeom prst="rect">
                      <a:avLst/>
                    </a:prstGeom>
                  </pic:spPr>
                </pic:pic>
              </a:graphicData>
            </a:graphic>
          </wp:inline>
        </w:drawing>
      </w:r>
    </w:p>
    <w:p>
      <w:pPr/>
      <w:r>
        <w:rPr>
          <w:i/>
        </w:rPr>
        <w:t>Figura D.3 — Conjunto de dedos ainda na placa da A1.</w:t>
      </w:r>
    </w:p>
    <w:p>
      <w:r>
        <w:drawing>
          <wp:inline xmlns:wp="http://schemas.openxmlformats.org/drawingml/2006/wordprocessingDrawing" distT="0" distB="0" distL="0" distR="0">
            <wp:extent cx="5715000" cy="10153650"/>
            <wp:docPr id="4" name="Conjunto de dedos na placa da A1, tomada alternativa" descr="Conjunto de dedos na placa da A1, tomada altern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junto de dedos na placa da A1, tomada alternativa" descr="Conjunto de dedos na placa da A1, tomada alternativa"/>
                    <pic:cNvPicPr/>
                  </pic:nvPicPr>
                  <pic:blipFill>
                    <a:blip xmlns:r="http://schemas.openxmlformats.org/officeDocument/2006/relationships" r:embed="rId5"/>
                    <a:stretch>
                      <a:fillRect/>
                    </a:stretch>
                  </pic:blipFill>
                  <pic:spPr>
                    <a:xfrm>
                      <a:off x="0" y="0"/>
                      <a:ext cx="5715000" cy="10153650"/>
                    </a:xfrm>
                    <a:prstGeom prst="rect">
                      <a:avLst/>
                    </a:prstGeom>
                  </pic:spPr>
                </pic:pic>
              </a:graphicData>
            </a:graphic>
          </wp:inline>
        </w:drawing>
      </w:r>
    </w:p>
    <w:p>
      <w:pPr/>
      <w:r>
        <w:rPr>
          <w:i/>
        </w:rPr>
        <w:t>Figura D.4 — O mesmo conjunto, tomada alternativa.</w:t>
      </w:r>
    </w:p>
    <w:p>
      <w:pPr>
        <w:pStyle w:val="Heading3"/>
      </w:pPr>
      <w:r>
        <w:t>D.9.2 Série dimensional física — o mesmo componente aos quatro perfis</w:t>
      </w:r>
    </w:p>
    <w:p>
      <w:pPr/>
      <w:r>
        <w:t>Estas imagens são a contraparte física do escalonamento antropométrico discutido em D.4.2: o mesmo dedo, impresso aos quatro perfis (8, 15, 28 e 70 anos), cresce proporcionalmente com a dimensão de entrada.</w:t>
      </w:r>
    </w:p>
    <w:p>
      <w:r>
        <w:drawing>
          <wp:inline xmlns:wp="http://schemas.openxmlformats.org/drawingml/2006/wordprocessingDrawing" distT="0" distB="0" distL="0" distR="0">
            <wp:extent cx="5715000" cy="3209925"/>
            <wp:docPr id="5" name="Dedos articulados do Flexy Beast aos quatro perfis" descr="Dedos articulados do Flexy Beast aos quatro perf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dos articulados do Flexy Beast aos quatro perfis" descr="Dedos articulados do Flexy Beast aos quatro perfis"/>
                    <pic:cNvPicPr/>
                  </pic:nvPicPr>
                  <pic:blipFill>
                    <a:blip xmlns:r="http://schemas.openxmlformats.org/officeDocument/2006/relationships" r:embed="rId6"/>
                    <a:stretch>
                      <a:fillRect/>
                    </a:stretch>
                  </pic:blipFill>
                  <pic:spPr>
                    <a:xfrm>
                      <a:off x="0" y="0"/>
                      <a:ext cx="5715000" cy="3209925"/>
                    </a:xfrm>
                    <a:prstGeom prst="rect">
                      <a:avLst/>
                    </a:prstGeom>
                  </pic:spPr>
                </pic:pic>
              </a:graphicData>
            </a:graphic>
          </wp:inline>
        </w:drawing>
      </w:r>
    </w:p>
    <w:p>
      <w:pPr/>
      <w:r>
        <w:rPr>
          <w:i/>
        </w:rPr>
        <w:t>Figura D.5 — Dedos articulados do Flexy Beast impressos aos quatro perfis (8, 15, 28 e 70 anos).</w:t>
      </w:r>
    </w:p>
    <w:p>
      <w:r>
        <w:drawing>
          <wp:inline xmlns:wp="http://schemas.openxmlformats.org/drawingml/2006/wordprocessingDrawing" distT="0" distB="0" distL="0" distR="0">
            <wp:extent cx="5715000" cy="3209925"/>
            <wp:docPr id="6" name="Dedos do Flexy Beast aos quatro perfis, tomada alternativa" descr="Dedos do Flexy Beast aos quatro perfis, tomada altern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dos do Flexy Beast aos quatro perfis, tomada alternativa" descr="Dedos do Flexy Beast aos quatro perfis, tomada alternativa"/>
                    <pic:cNvPicPr/>
                  </pic:nvPicPr>
                  <pic:blipFill>
                    <a:blip xmlns:r="http://schemas.openxmlformats.org/officeDocument/2006/relationships" r:embed="rId7"/>
                    <a:stretch>
                      <a:fillRect/>
                    </a:stretch>
                  </pic:blipFill>
                  <pic:spPr>
                    <a:xfrm>
                      <a:off x="0" y="0"/>
                      <a:ext cx="5715000" cy="3209925"/>
                    </a:xfrm>
                    <a:prstGeom prst="rect">
                      <a:avLst/>
                    </a:prstGeom>
                  </pic:spPr>
                </pic:pic>
              </a:graphicData>
            </a:graphic>
          </wp:inline>
        </w:drawing>
      </w:r>
    </w:p>
    <w:p>
      <w:pPr/>
      <w:r>
        <w:rPr>
          <w:i/>
        </w:rPr>
        <w:t>Figura D.6 — O mesmo conjunto, tomada alternativa.</w:t>
      </w:r>
    </w:p>
    <w:p>
      <w:r>
        <w:drawing>
          <wp:inline xmlns:wp="http://schemas.openxmlformats.org/drawingml/2006/wordprocessingDrawing" distT="0" distB="0" distL="0" distR="0">
            <wp:extent cx="5715000" cy="3209925"/>
            <wp:docPr id="7" name="Dedos do Paraglider Hand aos quatro perfis" descr="Dedos do Paraglider Hand aos quatro perf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dos do Paraglider Hand aos quatro perfis" descr="Dedos do Paraglider Hand aos quatro perfis"/>
                    <pic:cNvPicPr/>
                  </pic:nvPicPr>
                  <pic:blipFill>
                    <a:blip xmlns:r="http://schemas.openxmlformats.org/officeDocument/2006/relationships" r:embed="rId8"/>
                    <a:stretch>
                      <a:fillRect/>
                    </a:stretch>
                  </pic:blipFill>
                  <pic:spPr>
                    <a:xfrm>
                      <a:off x="0" y="0"/>
                      <a:ext cx="5715000" cy="3209925"/>
                    </a:xfrm>
                    <a:prstGeom prst="rect">
                      <a:avLst/>
                    </a:prstGeom>
                  </pic:spPr>
                </pic:pic>
              </a:graphicData>
            </a:graphic>
          </wp:inline>
        </w:drawing>
      </w:r>
    </w:p>
    <w:p>
      <w:pPr/>
      <w:r>
        <w:rPr>
          <w:i/>
        </w:rPr>
        <w:t>Figura D.7 — Dedos do Paraglider Hand impressos aos quatro perfis.</w:t>
      </w:r>
    </w:p>
    <w:p>
      <w:r>
        <w:drawing>
          <wp:inline xmlns:wp="http://schemas.openxmlformats.org/drawingml/2006/wordprocessingDrawing" distT="0" distB="0" distL="0" distR="0">
            <wp:extent cx="5715000" cy="10153650"/>
            <wp:docPr id="8" name="Falanges distais aos quatro perfis, rotuladas por idade" descr="Falanges distais aos quatro perfis, rotuladas por 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alanges distais aos quatro perfis, rotuladas por idade" descr="Falanges distais aos quatro perfis, rotuladas por idade"/>
                    <pic:cNvPicPr/>
                  </pic:nvPicPr>
                  <pic:blipFill>
                    <a:blip xmlns:r="http://schemas.openxmlformats.org/officeDocument/2006/relationships" r:embed="rId9"/>
                    <a:stretch>
                      <a:fillRect/>
                    </a:stretch>
                  </pic:blipFill>
                  <pic:spPr>
                    <a:xfrm>
                      <a:off x="0" y="0"/>
                      <a:ext cx="5715000" cy="10153650"/>
                    </a:xfrm>
                    <a:prstGeom prst="rect">
                      <a:avLst/>
                    </a:prstGeom>
                  </pic:spPr>
                </pic:pic>
              </a:graphicData>
            </a:graphic>
          </wp:inline>
        </w:drawing>
      </w:r>
    </w:p>
    <w:p>
      <w:pPr/>
      <w:r>
        <w:rPr>
          <w:i/>
        </w:rPr>
        <w:t>Figura D.8 — Falanges distais aos quatro perfis, rotuladas por idade.</w:t>
      </w:r>
    </w:p>
    <w:p>
      <w:r>
        <w:drawing>
          <wp:inline xmlns:wp="http://schemas.openxmlformats.org/drawingml/2006/wordprocessingDrawing" distT="0" distB="0" distL="0" distR="0">
            <wp:extent cx="5715000" cy="10153650"/>
            <wp:docPr id="9" name="Dedos articulados base+ponta aos quatro perfis" descr="Dedos articulados base+ponta aos quatro perf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dos articulados base+ponta aos quatro perfis" descr="Dedos articulados base+ponta aos quatro perfis"/>
                    <pic:cNvPicPr/>
                  </pic:nvPicPr>
                  <pic:blipFill>
                    <a:blip xmlns:r="http://schemas.openxmlformats.org/officeDocument/2006/relationships" r:embed="rId10"/>
                    <a:stretch>
                      <a:fillRect/>
                    </a:stretch>
                  </pic:blipFill>
                  <pic:spPr>
                    <a:xfrm>
                      <a:off x="0" y="0"/>
                      <a:ext cx="5715000" cy="10153650"/>
                    </a:xfrm>
                    <a:prstGeom prst="rect">
                      <a:avLst/>
                    </a:prstGeom>
                  </pic:spPr>
                </pic:pic>
              </a:graphicData>
            </a:graphic>
          </wp:inline>
        </w:drawing>
      </w:r>
    </w:p>
    <w:p>
      <w:pPr/>
      <w:r>
        <w:rPr>
          <w:i/>
        </w:rPr>
        <w:t>Figura D.9 — Dedos articulados (base + ponta) aos quatro perfis, mostrando o crescimento proporcional.</w:t>
      </w:r>
    </w:p>
    <w:p>
      <w:r>
        <w:drawing>
          <wp:inline xmlns:wp="http://schemas.openxmlformats.org/drawingml/2006/wordprocessingDrawing" distT="0" distB="0" distL="0" distR="0">
            <wp:extent cx="5715000" cy="10153650"/>
            <wp:docPr id="10" name="Dedos articulados aos quatro perfis, tomada alternativa" descr="Dedos articulados aos quatro perfis, tomada altern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dos articulados aos quatro perfis, tomada alternativa" descr="Dedos articulados aos quatro perfis, tomada alternativa"/>
                    <pic:cNvPicPr/>
                  </pic:nvPicPr>
                  <pic:blipFill>
                    <a:blip xmlns:r="http://schemas.openxmlformats.org/officeDocument/2006/relationships" r:embed="rId11"/>
                    <a:stretch>
                      <a:fillRect/>
                    </a:stretch>
                  </pic:blipFill>
                  <pic:spPr>
                    <a:xfrm>
                      <a:off x="0" y="0"/>
                      <a:ext cx="5715000" cy="10153650"/>
                    </a:xfrm>
                    <a:prstGeom prst="rect">
                      <a:avLst/>
                    </a:prstGeom>
                  </pic:spPr>
                </pic:pic>
              </a:graphicData>
            </a:graphic>
          </wp:inline>
        </w:drawing>
      </w:r>
    </w:p>
    <w:p>
      <w:pPr/>
      <w:r>
        <w:rPr>
          <w:i/>
        </w:rPr>
        <w:t>Figura D.10 — O mesmo conjunto, tomada alternativa.</w:t>
      </w:r>
    </w:p>
    <w:p>
      <w:pPr>
        <w:pStyle w:val="Heading3"/>
      </w:pPr>
      <w:r>
        <w:t>D.9.3 Componentes soltos</w:t>
      </w:r>
    </w:p>
    <w:p>
      <w:r>
        <w:drawing>
          <wp:inline xmlns:wp="http://schemas.openxmlformats.org/drawingml/2006/wordprocessingDrawing" distT="0" distB="0" distL="0" distR="0">
            <wp:extent cx="5715000" cy="10153650"/>
            <wp:docPr id="11" name="Palma impressa, vista dorsal, com padrão de enchimento visível" descr="Palma impressa, vista dorsal, com padrão de enchimento visí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lma impressa, vista dorsal, com padrão de enchimento visível" descr="Palma impressa, vista dorsal, com padrão de enchimento visível"/>
                    <pic:cNvPicPr/>
                  </pic:nvPicPr>
                  <pic:blipFill>
                    <a:blip xmlns:r="http://schemas.openxmlformats.org/officeDocument/2006/relationships" r:embed="rId12"/>
                    <a:stretch>
                      <a:fillRect/>
                    </a:stretch>
                  </pic:blipFill>
                  <pic:spPr>
                    <a:xfrm>
                      <a:off x="0" y="0"/>
                      <a:ext cx="5715000" cy="10153650"/>
                    </a:xfrm>
                    <a:prstGeom prst="rect">
                      <a:avLst/>
                    </a:prstGeom>
                  </pic:spPr>
                </pic:pic>
              </a:graphicData>
            </a:graphic>
          </wp:inline>
        </w:drawing>
      </w:r>
    </w:p>
    <w:p>
      <w:pPr/>
      <w:r>
        <w:rPr>
          <w:i/>
        </w:rPr>
        <w:t>Figura D.11 — Palma impressa (vista dorsal): visíveis os canais dos dedos e o padrão de enchimento — o mesmo tipo de parâmetro (paredes/enchimento) cuja leitura estrutural qualitativa se discute em D.4.3.</w:t>
      </w:r>
    </w:p>
    <w:p>
      <w:r>
        <w:drawing>
          <wp:inline xmlns:wp="http://schemas.openxmlformats.org/drawingml/2006/wordprocessingDrawing" distT="0" distB="0" distL="0" distR="0">
            <wp:extent cx="5715000" cy="10153650"/>
            <wp:docPr id="12" name="Componentes do antebraço/punho impressos" descr="Componentes do antebraço/punho impr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ponentes do antebraço/punho impressos" descr="Componentes do antebraço/punho impressos"/>
                    <pic:cNvPicPr/>
                  </pic:nvPicPr>
                  <pic:blipFill>
                    <a:blip xmlns:r="http://schemas.openxmlformats.org/officeDocument/2006/relationships" r:embed="rId13"/>
                    <a:stretch>
                      <a:fillRect/>
                    </a:stretch>
                  </pic:blipFill>
                  <pic:spPr>
                    <a:xfrm>
                      <a:off x="0" y="0"/>
                      <a:ext cx="5715000" cy="10153650"/>
                    </a:xfrm>
                    <a:prstGeom prst="rect">
                      <a:avLst/>
                    </a:prstGeom>
                  </pic:spPr>
                </pic:pic>
              </a:graphicData>
            </a:graphic>
          </wp:inline>
        </w:drawing>
      </w:r>
    </w:p>
    <w:p>
      <w:pPr/>
      <w:r>
        <w:rPr>
          <w:i/>
        </w:rPr>
        <w:t>Figura D.12 — Componentes do antebraço/punho (gauntlet), em três exemplares.</w:t>
      </w:r>
    </w:p>
    <w:p>
      <w:pPr>
        <w:pStyle w:val="Heading3"/>
      </w:pPr>
      <w:r>
        <w:t>D.9.4 Mão UnLimbited Phoenix montada (perfil de 15 anos)</w:t>
      </w:r>
    </w:p>
    <w:p>
      <w:r>
        <w:drawing>
          <wp:inline xmlns:wp="http://schemas.openxmlformats.org/drawingml/2006/wordprocessingDrawing" distT="0" distB="0" distL="0" distR="0">
            <wp:extent cx="5715000" cy="3209925"/>
            <wp:docPr id="13" name="Mão Phoenix montada" descr="Mão Phoenix mo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ão Phoenix montada" descr="Mão Phoenix montada"/>
                    <pic:cNvPicPr/>
                  </pic:nvPicPr>
                  <pic:blipFill>
                    <a:blip xmlns:r="http://schemas.openxmlformats.org/officeDocument/2006/relationships" r:embed="rId14"/>
                    <a:stretch>
                      <a:fillRect/>
                    </a:stretch>
                  </pic:blipFill>
                  <pic:spPr>
                    <a:xfrm>
                      <a:off x="0" y="0"/>
                      <a:ext cx="5715000" cy="3209925"/>
                    </a:xfrm>
                    <a:prstGeom prst="rect">
                      <a:avLst/>
                    </a:prstGeom>
                  </pic:spPr>
                </pic:pic>
              </a:graphicData>
            </a:graphic>
          </wp:inline>
        </w:drawing>
      </w:r>
    </w:p>
    <w:p>
      <w:pPr/>
      <w:r>
        <w:rPr>
          <w:i/>
        </w:rPr>
        <w:t>Figura D.13 — Mão UnLimbited Phoenix montada (perfil de 15 anos): palma, dedos, polegar e punho articulados.</w:t>
      </w:r>
    </w:p>
    <w:p>
      <w:r>
        <w:drawing>
          <wp:inline xmlns:wp="http://schemas.openxmlformats.org/drawingml/2006/wordprocessingDrawing" distT="0" distB="0" distL="0" distR="0">
            <wp:extent cx="5715000" cy="3209925"/>
            <wp:docPr id="14" name="Mão Phoenix montada, segunda vista" descr="Mão Phoenix montada, segunda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ão Phoenix montada, segunda vista" descr="Mão Phoenix montada, segunda vista"/>
                    <pic:cNvPicPr/>
                  </pic:nvPicPr>
                  <pic:blipFill>
                    <a:blip xmlns:r="http://schemas.openxmlformats.org/officeDocument/2006/relationships" r:embed="rId15"/>
                    <a:stretch>
                      <a:fillRect/>
                    </a:stretch>
                  </pic:blipFill>
                  <pic:spPr>
                    <a:xfrm>
                      <a:off x="0" y="0"/>
                      <a:ext cx="5715000" cy="3209925"/>
                    </a:xfrm>
                    <a:prstGeom prst="rect">
                      <a:avLst/>
                    </a:prstGeom>
                  </pic:spPr>
                </pic:pic>
              </a:graphicData>
            </a:graphic>
          </wp:inline>
        </w:drawing>
      </w:r>
    </w:p>
    <w:p>
      <w:pPr/>
      <w:r>
        <w:rPr>
          <w:i/>
        </w:rPr>
        <w:t>Figura D.14 — A mesma mão, segunda vista.</w:t>
      </w:r>
    </w:p>
    <w:p>
      <w:r>
        <w:drawing>
          <wp:inline xmlns:wp="http://schemas.openxmlformats.org/drawingml/2006/wordprocessingDrawing" distT="0" distB="0" distL="0" distR="0">
            <wp:extent cx="5715000" cy="3209925"/>
            <wp:docPr id="15" name="Mão Phoenix montada com polegar em oposição" descr="Mão Phoenix montada com polegar em oposi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ão Phoenix montada com polegar em oposição" descr="Mão Phoenix montada com polegar em oposição"/>
                    <pic:cNvPicPr/>
                  </pic:nvPicPr>
                  <pic:blipFill>
                    <a:blip xmlns:r="http://schemas.openxmlformats.org/officeDocument/2006/relationships" r:embed="rId16"/>
                    <a:stretch>
                      <a:fillRect/>
                    </a:stretch>
                  </pic:blipFill>
                  <pic:spPr>
                    <a:xfrm>
                      <a:off x="0" y="0"/>
                      <a:ext cx="5715000" cy="3209925"/>
                    </a:xfrm>
                    <a:prstGeom prst="rect">
                      <a:avLst/>
                    </a:prstGeom>
                  </pic:spPr>
                </pic:pic>
              </a:graphicData>
            </a:graphic>
          </wp:inline>
        </w:drawing>
      </w:r>
    </w:p>
    <w:p>
      <w:pPr/>
      <w:r>
        <w:rPr>
          <w:i/>
        </w:rPr>
        <w:t>Figura D.15 — A mesma mão, com o polegar em oposição.</w:t>
      </w:r>
    </w:p>
    <w:p>
      <w:r>
        <w:drawing>
          <wp:inline xmlns:wp="http://schemas.openxmlformats.org/drawingml/2006/wordprocessingDrawing" distT="0" distB="0" distL="0" distR="0">
            <wp:extent cx="5715000" cy="3209925"/>
            <wp:docPr id="16" name="Mão Phoenix, vista do punho/antebraço" descr="Mão Phoenix, vista do punho/antebraç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ão Phoenix, vista do punho/antebraço" descr="Mão Phoenix, vista do punho/antebraço"/>
                    <pic:cNvPicPr/>
                  </pic:nvPicPr>
                  <pic:blipFill>
                    <a:blip xmlns:r="http://schemas.openxmlformats.org/officeDocument/2006/relationships" r:embed="rId17"/>
                    <a:stretch>
                      <a:fillRect/>
                    </a:stretch>
                  </pic:blipFill>
                  <pic:spPr>
                    <a:xfrm>
                      <a:off x="0" y="0"/>
                      <a:ext cx="5715000" cy="3209925"/>
                    </a:xfrm>
                    <a:prstGeom prst="rect">
                      <a:avLst/>
                    </a:prstGeom>
                  </pic:spPr>
                </pic:pic>
              </a:graphicData>
            </a:graphic>
          </wp:inline>
        </w:drawing>
      </w:r>
    </w:p>
    <w:p>
      <w:pPr/>
      <w:r>
        <w:rPr>
          <w:i/>
        </w:rPr>
        <w:t>Figura D.16 — A mesma mão, vista do lado do punho/antebraço.</w:t>
      </w:r>
    </w:p>
    <w:p>
      <w:r>
        <w:drawing>
          <wp:inline xmlns:wp="http://schemas.openxmlformats.org/drawingml/2006/wordprocessingDrawing" distT="0" distB="0" distL="0" distR="0">
            <wp:extent cx="5715000" cy="10153650"/>
            <wp:docPr id="17" name="Mão Phoenix montada, vista dorsal segura na mão" descr="Mão Phoenix montada, vista dorsal segura na m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ão Phoenix montada, vista dorsal segura na mão" descr="Mão Phoenix montada, vista dorsal segura na mão"/>
                    <pic:cNvPicPr/>
                  </pic:nvPicPr>
                  <pic:blipFill>
                    <a:blip xmlns:r="http://schemas.openxmlformats.org/officeDocument/2006/relationships" r:embed="rId18"/>
                    <a:stretch>
                      <a:fillRect/>
                    </a:stretch>
                  </pic:blipFill>
                  <pic:spPr>
                    <a:xfrm>
                      <a:off x="0" y="0"/>
                      <a:ext cx="5715000" cy="10153650"/>
                    </a:xfrm>
                    <a:prstGeom prst="rect">
                      <a:avLst/>
                    </a:prstGeom>
                  </pic:spPr>
                </pic:pic>
              </a:graphicData>
            </a:graphic>
          </wp:inline>
        </w:drawing>
      </w:r>
    </w:p>
    <w:p>
      <w:pPr/>
      <w:r>
        <w:rPr>
          <w:i/>
        </w:rPr>
        <w:t>Figura D.17 — Mão Phoenix montada, vista dorsal.</w:t>
      </w:r>
    </w:p>
    <w:p>
      <w:r>
        <w:drawing>
          <wp:inline xmlns:wp="http://schemas.openxmlformats.org/drawingml/2006/wordprocessingDrawing" distT="0" distB="0" distL="0" distR="0">
            <wp:extent cx="5715000" cy="10153650"/>
            <wp:docPr id="18" name="Pormenor da articulação do polegar e charneira dos dedos" descr="Pormenor da articulação do polegar e charneira dos de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rmenor da articulação do polegar e charneira dos dedos" descr="Pormenor da articulação do polegar e charneira dos dedos"/>
                    <pic:cNvPicPr/>
                  </pic:nvPicPr>
                  <pic:blipFill>
                    <a:blip xmlns:r="http://schemas.openxmlformats.org/officeDocument/2006/relationships" r:embed="rId19"/>
                    <a:stretch>
                      <a:fillRect/>
                    </a:stretch>
                  </pic:blipFill>
                  <pic:spPr>
                    <a:xfrm>
                      <a:off x="0" y="0"/>
                      <a:ext cx="5715000" cy="10153650"/>
                    </a:xfrm>
                    <a:prstGeom prst="rect">
                      <a:avLst/>
                    </a:prstGeom>
                  </pic:spPr>
                </pic:pic>
              </a:graphicData>
            </a:graphic>
          </wp:inline>
        </w:drawing>
      </w:r>
    </w:p>
    <w:p>
      <w:pPr/>
      <w:r>
        <w:rPr>
          <w:i/>
        </w:rPr>
        <w:t>Figura D.18 — Pormenor da articulação do polegar e da charneira dos dedos.</w:t>
      </w:r>
    </w:p>
    <w:p>
      <w:r>
        <w:drawing>
          <wp:inline xmlns:wp="http://schemas.openxmlformats.org/drawingml/2006/wordprocessingDrawing" distT="0" distB="0" distL="0" distR="0">
            <wp:extent cx="5715000" cy="10153650"/>
            <wp:docPr id="19" name="Vista palmar da mão Phoenix com enchimento visível através da palma" descr="Vista palmar da mão Phoenix com enchimento visível através da p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ista palmar da mão Phoenix com enchimento visível através da palma" descr="Vista palmar da mão Phoenix com enchimento visível através da palma"/>
                    <pic:cNvPicPr/>
                  </pic:nvPicPr>
                  <pic:blipFill>
                    <a:blip xmlns:r="http://schemas.openxmlformats.org/officeDocument/2006/relationships" r:embed="rId20"/>
                    <a:stretch>
                      <a:fillRect/>
                    </a:stretch>
                  </pic:blipFill>
                  <pic:spPr>
                    <a:xfrm>
                      <a:off x="0" y="0"/>
                      <a:ext cx="5715000" cy="10153650"/>
                    </a:xfrm>
                    <a:prstGeom prst="rect">
                      <a:avLst/>
                    </a:prstGeom>
                  </pic:spPr>
                </pic:pic>
              </a:graphicData>
            </a:graphic>
          </wp:inline>
        </w:drawing>
      </w:r>
    </w:p>
    <w:p>
      <w:pPr/>
      <w:r>
        <w:rPr>
          <w:i/>
        </w:rPr>
        <w:t>Figura D.19 — Vista palmar: o padrão de enchimento é visível através da palma, ilustrando o parâmetro de enchimento usado.</w:t>
      </w:r>
    </w:p>
    <w:p>
      <w:pPr>
        <w:pStyle w:val="Quote"/>
      </w:pPr>
      <w:r>
        <w:rPr>
          <w:b/>
        </w:rPr>
        <w:t>Nota sobre orientação das figuras.</w:t>
      </w:r>
      <w:r>
        <w:t xml:space="preserve"> As imagens foram integradas na orientação em que os seus pixéis se apresentam (todas verticais/corretas na revisão feita). Se alguma precisar de ser rodada na versão final, indique-se o ficheiro e o sentido; a rotação é aplicada ao ficheiro em </w:t>
      </w:r>
      <w:r>
        <w:rPr>
          <w:rFonts w:ascii="Consolas" w:hAnsi="Consolas"/>
          <w:sz w:val="20"/>
        </w:rPr>
        <w:t>figuras/</w:t>
      </w:r>
      <w:r>
        <w:t xml:space="preserve"> sem alterar a referência.</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image" Target="media/image3.jpg"/><Relationship Id="rId5" Type="http://schemas.openxmlformats.org/officeDocument/2006/relationships/image" Target="media/image4.jpg"/><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7.jpg"/><Relationship Id="rId9" Type="http://schemas.openxmlformats.org/officeDocument/2006/relationships/image" Target="media/image8.jpg"/><Relationship Id="rId10" Type="http://schemas.openxmlformats.org/officeDocument/2006/relationships/image" Target="media/image9.jpg"/><Relationship Id="rId11" Type="http://schemas.openxmlformats.org/officeDocument/2006/relationships/image" Target="media/image10.jpg"/><Relationship Id="rId12" Type="http://schemas.openxmlformats.org/officeDocument/2006/relationships/image" Target="media/image11.jpg"/><Relationship Id="rId13" Type="http://schemas.openxmlformats.org/officeDocument/2006/relationships/image" Target="media/image12.jpg"/><Relationship Id="rId14" Type="http://schemas.openxmlformats.org/officeDocument/2006/relationships/image" Target="media/image13.jpg"/><Relationship Id="rId15" Type="http://schemas.openxmlformats.org/officeDocument/2006/relationships/image" Target="media/image14.jpg"/><Relationship Id="rId16" Type="http://schemas.openxmlformats.org/officeDocument/2006/relationships/image" Target="media/image15.jpg"/><Relationship Id="rId17" Type="http://schemas.openxmlformats.org/officeDocument/2006/relationships/image" Target="media/image16.jpg"/><Relationship Id="rId18" Type="http://schemas.openxmlformats.org/officeDocument/2006/relationships/image" Target="media/image17.jpg"/><Relationship Id="rId19" Type="http://schemas.openxmlformats.org/officeDocument/2006/relationships/image" Target="media/image18.jpg"/><Relationship Id="rId20" Type="http://schemas.openxmlformats.org/officeDocument/2006/relationships/image" Target="media/image19.jp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 — Preparação para fabrico e verificação dos protótipos</dc:title>
  <dc:creator>Codex Markdown Exporter</dc:creator>
  <cp:lastModifiedBy>Codex Markdown Exporter</cp:lastModifiedBy>
  <dcterms:created xsi:type="dcterms:W3CDTF">2026-07-14T16:45:42Z</dcterms:created>
  <dcterms:modified xsi:type="dcterms:W3CDTF">2026-07-14T16:45:42Z</dcterms:modified>
</cp:coreProperties>
</file>