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t>Projecto completo</w:t>
      </w:r>
    </w:p>
    <w:p>
      <w:pPr/>
      <w:r>
        <w:t>Versão do documento:0.4.5</w:t>
      </w:r>
    </w:p>
    <w:p>
      <w:pPr>
        <w:pStyle w:val="Heading2"/>
      </w:pPr>
      <w:r>
        <w:t>Capítulo 1 — Introdução</w:t>
      </w:r>
    </w:p>
    <w:p>
      <w:pPr>
        <w:pStyle w:val="Heading3"/>
      </w:pPr>
      <w:r>
        <w:t>1.1 Enquadramento geral, contexto e motivação</w:t>
      </w:r>
    </w:p>
    <w:p>
      <w:pPr/>
      <w: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r>
        <w:t xml:space="preserve">Nos últimos anos, a impressão 3D e as plataformas </w:t>
      </w:r>
      <w:r>
        <w:rPr>
          <w:i/>
        </w:rPr>
        <w:t>open source</w:t>
      </w:r>
      <w:r>
        <w:t xml:space="preserve"> ampliaram o acesso a dispositivos protésicos, especialmente em contextos economicamente desfavorecidos. No entanto, muitos desses modelos dependem de geometrias fixas, isto é, formas pré-definidas sem adaptação automática, ou de ajustes manuais pouco padronizados, o que resulta em alterações sem um protocolo uniforme e dificulta a escalabilidade, a reprodutibilidade e a integração robusta de dados antropométricos, ou seja, medidas corporais específicas do utilizador.</w:t>
      </w:r>
    </w:p>
    <w:p>
      <w:pPr/>
      <w: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r>
        <w:drawing>
          <wp:inline xmlns:wp="http://schemas.openxmlformats.org/drawingml/2006/wordprocessingDrawing" distT="0" distB="0" distL="0" distR="0">
            <wp:extent cx="5715000" cy="3924300"/>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pic:nvPicPr>
                  <pic:blipFill>
                    <a:blip xmlns:r="http://schemas.openxmlformats.org/officeDocument/2006/relationships" r:embed="rId2"/>
                    <a:stretch>
                      <a:fillRect/>
                    </a:stretch>
                  </pic:blipFill>
                  <pic:spPr>
                    <a:xfrm>
                      <a:off x="0" y="0"/>
                      <a:ext cx="5715000" cy="3924300"/>
                    </a:xfrm>
                    <a:prstGeom prst="rect">
                      <a:avLst/>
                    </a:prstGeom>
                  </pic:spPr>
                </pic:pic>
              </a:graphicData>
            </a:graphic>
          </wp:inline>
        </w:drawing>
      </w:r>
    </w:p>
    <w:p>
      <w:pPr/>
      <w:r>
        <w:t>Figura 1.1 — Exemplos de próteses e dispositivos associados à fabricação aditiva em contexto protésico.</w:t>
      </w:r>
    </w:p>
    <w:p>
      <w:pPr/>
      <w:r>
        <w:t>Fonte original (APA 7):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pPr>
      <w:r>
        <w:t>1.2 Problema de investigação</w:t>
      </w:r>
    </w:p>
    <w:p>
      <w:pPr/>
      <w: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pPr>
      <w:r>
        <w:t>1.3 Objetivos da investigação</w:t>
      </w:r>
    </w:p>
    <w:p>
      <w:pPr>
        <w:pStyle w:val="Heading3"/>
      </w:pPr>
      <w:r>
        <w:t>1.3.1 Objetivo geral</w:t>
      </w:r>
    </w:p>
    <w:p>
      <w:pPr/>
      <w: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pPr>
      <w:r>
        <w:t>1.3.2 Objetivos específicos</w:t>
      </w:r>
    </w:p>
    <w:p>
      <w:pPr/>
      <w: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Validar-se-á a abordagem por meio de prototipagem e de experimentação por impressão 3D, avaliando aspectos funcionais, ergonómicos e formais, bem como a viabilidade de fabricação.</w:t>
      </w:r>
    </w:p>
    <w:p>
      <w:pPr/>
      <w:r>
        <w:t>A investigação busca responder: como o design de produto, métodos paramétricos e inteligência artificial podem melhorar a personalização, o conforto e a adequação funcional de próteses, mantendo a acessibilidade e o controle projetual? Quais metodologias e ferramentas validam a eficácia, a usabilidade, a durabilidade e a reprodutibilidade de próteses impressas em 3D? Como o Design Industrial concilia requisitos anatómicos, funcionais, ergonómicos, estéticos e simbólicos, promovendo a aceitação, a dignidade e a autonomia?</w:t>
      </w:r>
    </w:p>
    <w:p>
      <w:pPr>
        <w:pStyle w:val="Heading3"/>
      </w:pPr>
      <w:r>
        <w:t>1.4 Abordagem metodológica geral</w:t>
      </w:r>
    </w:p>
    <w:p>
      <w:pPr/>
      <w: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sem utilizar dados pessoais de utilizadores.</w:t>
      </w:r>
    </w:p>
    <w:p>
      <w:pPr>
        <w:pStyle w:val="Heading3"/>
      </w:pPr>
      <w:r>
        <w:t>1.5 Estrutura da dissertação</w:t>
      </w:r>
    </w:p>
    <w:p>
      <w:pPr/>
      <w: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pPr>
      <w:r>
        <w:t>Capítulo 2 — Enquadramento Teórico e Estado da Arte</w:t>
      </w:r>
    </w:p>
    <w:p>
      <w:pPr>
        <w:pStyle w:val="Heading3"/>
      </w:pPr>
      <w:r>
        <w:t>2.1 Prótese de membro superior e dispositivos médicos</w:t>
      </w:r>
    </w:p>
    <w:p>
      <w:pPr/>
      <w: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Quote"/>
      </w:pPr>
      <w:r>
        <w:t>[!Qual sector?] 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pPr>
      <w:r>
        <w:t>Tipologias de próteses de membro superior</w:t>
      </w:r>
    </w:p>
    <w:p>
      <w:pPr>
        <w:pStyle w:val="Quote"/>
      </w:pPr>
      <w:commentRangeStart w:id="0"/>
      <w:r>
        <w:t>[!Quem diz que são 4?] 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w:t>
      </w:r>
      <w:commentRangeEnd w:id="0"/>
      <w:r>
        <w:commentReference w:id="0"/>
      </w:r>
    </w:p>
    <w:p>
      <w:pPr/>
      <w: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pPr>
      <w:r>
        <w:t>Próteses mecânicas acionadas pelo corpo (</w:t>
      </w:r>
      <w:r>
        <w:rPr>
          <w:i/>
        </w:rPr>
        <w:t>body-powered</w:t>
      </w:r>
      <w:r>
        <w:t>)</w:t>
      </w:r>
    </w:p>
    <w:p>
      <w:pPr/>
      <w:r>
        <w:t>As próteses mecânicas utilizam sistemas de arnês e cabos para converter movimentos do ombro, do tronco ou da cintura escapular em ação no dispositivo terminal, tipicamente um gancho ou uma mão mecânica. São soluções tradicionalmente valorizadas pela robustez, fiabilidade, menor custo e relativa facilidade de manutenção. Um atributo particularmente relevante é o feedback [^1]proprioceptivo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pPr>
      <w:r>
        <w:t>Próteses mioelétricas</w:t>
      </w:r>
    </w:p>
    <w:p>
      <w:pPr/>
      <w: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pPr>
      <w:r>
        <w:t>Sistemas híbridos</w:t>
      </w:r>
    </w:p>
    <w:p>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r>
        <w:drawing>
          <wp:inline xmlns:wp="http://schemas.openxmlformats.org/drawingml/2006/wordprocessingDrawing" distT="0" distB="0" distL="0" distR="0">
            <wp:extent cx="5715000" cy="5467350"/>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xmlns:r="http://schemas.openxmlformats.org/officeDocument/2006/relationships" r:embed="rId3"/>
                    <a:stretch>
                      <a:fillRect/>
                    </a:stretch>
                  </pic:blipFill>
                  <pic:spPr>
                    <a:xfrm>
                      <a:off x="0" y="0"/>
                      <a:ext cx="5715000" cy="5467350"/>
                    </a:xfrm>
                    <a:prstGeom prst="rect">
                      <a:avLst/>
                    </a:prstGeom>
                  </pic:spPr>
                </pic:pic>
              </a:graphicData>
            </a:graphic>
          </wp:inline>
        </w:drawing>
      </w:r>
    </w:p>
    <w:p>
      <w:pPr/>
      <w:r>
        <w:t>Figura 2.1 — Exemplos de próteses de membro superior impressas em 3D, ilustrando diversidade tipológica e construtiva.</w:t>
      </w:r>
    </w:p>
    <w:p>
      <w:pPr/>
      <w:r>
        <w:t>Fonte original: ten Kate, J., Smit, G., &amp; Breedveld, P. (2017). 3D-printed upper limb prostheses: A review. Disability and Rehabilitation: Assistive Technology, 12(3), 300-314. https://doi.org/10.1080/17483107.2016.1253117</w:t>
      </w:r>
    </w:p>
    <w:p>
      <w:pPr>
        <w:pStyle w:val="Heading3"/>
      </w:pPr>
      <w:r>
        <w:t>Considerações clínicas e funcionais</w:t>
      </w:r>
    </w:p>
    <w:p>
      <w:pPr/>
      <w: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r>
        <w:t>Entre os fatores físicos incluem-se o nível de amputação, o comprimento e a condição do coto residual, a integridade cutânea, a amplitude articular e a força muscular. Amputações de nível mais proximal implicam desafios acrescidos em termos de controlo e do peso do sistema protésico.</w:t>
      </w:r>
    </w:p>
    <w:p>
      <w:pPr/>
      <w: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pPr>
      <w:r>
        <w:t>Medição de resultados e abandono protésico</w:t>
      </w:r>
    </w:p>
    <w:p>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r>
        <w:t>Esta persistência do abandono é sintetizada de forma clara na Figura 2.2, que relaciona uso, rejeição primária e rejeição secundária, reforçando que o problema não é marginal, mas estrutural no campo das próteses de membro superior.</w:t>
      </w:r>
    </w:p>
    <w:p>
      <w:r>
        <w:drawing>
          <wp:inline xmlns:wp="http://schemas.openxmlformats.org/drawingml/2006/wordprocessingDrawing" distT="0" distB="0" distL="0" distR="0">
            <wp:extent cx="5715000" cy="4086225"/>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pic:nvPicPr>
                  <pic:blipFill>
                    <a:blip xmlns:r="http://schemas.openxmlformats.org/officeDocument/2006/relationships" r:embed="rId4"/>
                    <a:stretch>
                      <a:fillRect/>
                    </a:stretch>
                  </pic:blipFill>
                  <pic:spPr>
                    <a:xfrm>
                      <a:off x="0" y="0"/>
                      <a:ext cx="5715000" cy="4086225"/>
                    </a:xfrm>
                    <a:prstGeom prst="rect">
                      <a:avLst/>
                    </a:prstGeom>
                  </pic:spPr>
                </pic:pic>
              </a:graphicData>
            </a:graphic>
          </wp:inline>
        </w:drawing>
      </w:r>
    </w:p>
    <w:p>
      <w:pPr/>
      <w:r>
        <w:t>Figura 2.2 — Utilização, rejeição primária e rejeição secundária de próteses do membro superior adquiridas.</w:t>
      </w:r>
    </w:p>
    <w:p>
      <w:pPr/>
      <w:r>
        <w:t>Fonte original (APA 7): Biddiss, E., Beaton, D., &amp; Chau, T. (2007). Consumer design priorities for upper limb prosthetics. Disability and Rehabilitation: Assistive Technology, 2(6), 346-357. https://doi.org/10.1080/17483100701714733</w:t>
      </w:r>
    </w:p>
    <w:p>
      <w:pPr>
        <w:pStyle w:val="Heading3"/>
      </w:pPr>
      <w:r>
        <w:t>Enquadramento regulatório enquanto dispositivo médico</w:t>
      </w:r>
    </w:p>
    <w:p>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Heading3"/>
      </w:pPr>
      <w:r>
        <w:t>2.2 Design Industrial, Design Inclusivo e Design Centrado no Utilizador</w:t>
      </w:r>
    </w:p>
    <w:p>
      <w:pPr/>
      <w:r>
        <w:t>O design industrial, no contexto da saúde e das tecnologias de apoio, é reconhecido progressivamente como uma disciplina mediadora entre as necessidades humanas, os contextos de utilização e os sistemas técnicos regulados. A literatura evidencia que o design não se limita à configuração formal de produtos, mas também desempenha um papel estruturante na promoção da inclusão, da autonomia e da participação social, ao modelar a relação entre indivíduos e ambientes por meio de artefactos e sistemas. 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r>
        <w:t>Paralelamente, o design inclusivo é apresentado como um imperativo contemporâneo que visa minimizar a exclusão evitável decorrente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 (#ref-clarkson-2010)).</w:t>
      </w:r>
    </w:p>
    <w:p>
      <w:pPr>
        <w:pStyle w:val="Heading3"/>
      </w:pPr>
      <w:r>
        <w:t>Design industrial em dispositivos médicos</w:t>
      </w:r>
    </w:p>
    <w:p>
      <w:pPr/>
      <w: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r>
        <w:t>Tabela 2.1 — Papéis dos profissionais de saúde no desenvolvimento de dispositivos médicos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Intervenientes do setor</w:t>
            </w:r>
          </w:p>
        </w:tc>
        <w:tc>
          <w:tcPr>
            <w:tcW w:w="0" w:type="auto"/>
          </w:tcPr>
          <w:p>
            <w:pPr/>
            <w:r>
              <w:t>Identificam oportunidades, especificações e condicionantes regulatórias</w:t>
            </w:r>
          </w:p>
        </w:tc>
        <w:tc>
          <w:tcPr>
            <w:tcW w:w="0" w:type="auto"/>
          </w:tcPr>
          <w:p>
            <w:pPr/>
            <w:r>
              <w:t>Mercado, estratégia e processos de certificação</w:t>
            </w:r>
          </w:p>
        </w:tc>
      </w:tr>
      <w:tr>
        <w:tc>
          <w:tcPr>
            <w:tcW w:w="0" w:type="auto"/>
          </w:tcPr>
          <w:p>
            <w:pPr/>
            <w:r>
              <w:t>Utilizadores peritos</w:t>
            </w:r>
          </w:p>
        </w:tc>
        <w:tc>
          <w:tcPr>
            <w:tcW w:w="0" w:type="auto"/>
          </w:tcPr>
          <w:p>
            <w:pPr/>
            <w:r>
              <w:t>Fornecem experiência clínica situada e problemas de uso</w:t>
            </w:r>
          </w:p>
        </w:tc>
        <w:tc>
          <w:tcPr>
            <w:tcW w:w="0" w:type="auto"/>
          </w:tcPr>
          <w:p>
            <w:pPr/>
            <w:r>
              <w:t>Experiência do utilizador e adequação funcional</w:t>
            </w:r>
          </w:p>
        </w:tc>
      </w:tr>
      <w:tr>
        <w:tc>
          <w:tcPr>
            <w:tcW w:w="0" w:type="auto"/>
          </w:tcPr>
          <w:p>
            <w:pPr/>
            <w:r>
              <w:t>Mediadores</w:t>
            </w:r>
          </w:p>
        </w:tc>
        <w:tc>
          <w:tcPr>
            <w:tcW w:w="0" w:type="auto"/>
          </w:tcPr>
          <w:p>
            <w:pPr/>
            <w:r>
              <w:t>Traduzem linguagem, necessidades e constrangimentos entre equipas</w:t>
            </w:r>
          </w:p>
        </w:tc>
        <w:tc>
          <w:tcPr>
            <w:tcW w:w="0" w:type="auto"/>
          </w:tcPr>
          <w:p>
            <w:pPr/>
            <w:r>
              <w:t>Problemas técnicos, terminologia e entendimento partilhado</w:t>
            </w:r>
          </w:p>
        </w:tc>
      </w:tr>
      <w:tr>
        <w:tc>
          <w:tcPr>
            <w:tcW w:w="0" w:type="auto"/>
          </w:tcPr>
          <w:p>
            <w:pPr/>
            <w:r>
              <w:t>Profissionais clínicos e investigadores</w:t>
            </w:r>
          </w:p>
        </w:tc>
        <w:tc>
          <w:tcPr>
            <w:tcW w:w="0" w:type="auto"/>
          </w:tcPr>
          <w:p>
            <w:pPr/>
            <w:r>
              <w:t>Enquadram cuidados, testes e validação empírica</w:t>
            </w:r>
          </w:p>
        </w:tc>
        <w:tc>
          <w:tcPr>
            <w:tcW w:w="0" w:type="auto"/>
          </w:tcPr>
          <w:p>
            <w:pPr/>
            <w:r>
              <w:t>Resultados clínicos, ensaios e usabilidade</w:t>
            </w:r>
          </w:p>
        </w:tc>
      </w:tr>
    </w:tbl>
    <w:p>
      <w:pPr/>
      <w:r>
        <w:t>Fonte adaptada. Referência original (APA 7): Kaygan, H., &amp; Kaygan, P. (2025). Clients and carers: Healthcare professionals’ roles in medical device development processes in SMEs. The Design Journal, 28(2), 213-231. https://doi.org/10.1080/14606925.2024.2420152</w:t>
      </w:r>
    </w:p>
    <w:p>
      <w:pPr>
        <w:pStyle w:val="Heading3"/>
      </w:pPr>
      <w:r>
        <w:t>Design Inclusivo e Design Universal</w:t>
      </w:r>
    </w:p>
    <w:p>
      <w:pPr/>
      <w: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r>
        <w:t>Esta perspetiva aproxima-se dos modelos sociais e relacionais da deficiência, enfatizando que a exclusão pode ser produzida por decisões de projeto que não contemplam a diversidade de utilizadores (Clarkson &amp; Coleman, 2010 (#ref-clarkson-2010)).</w:t>
      </w:r>
    </w:p>
    <w:p>
      <w:pPr/>
      <w: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pPr>
      <w:r>
        <w:t>Design Centrado no Utilizador e Design Centrado no Humano</w:t>
      </w:r>
    </w:p>
    <w:p>
      <w:pPr/>
      <w: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commentRangeStart w:id="1"/>
      <w: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estabelece requisitos específicos para a aplicação de engenharia de usabilidade em dispositivos médicos, reforçando a integração formal de testes formativos e sumativos no processo regulado (Fisher &amp; Johansen, 2020 (#ref-fisher-2020); Millet et al., 2018 (#ref-millet-2018)).</w:t>
      </w:r>
      <w:commentRangeEnd w:id="1"/>
      <w:r>
        <w:commentReference w:id="1"/>
      </w:r>
    </w:p>
    <w:p>
      <w:pPr/>
      <w: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pPr>
      <w:r>
        <w:t>Design Participativo e Co-design</w:t>
      </w:r>
    </w:p>
    <w:p>
      <w:pPr/>
      <w: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Heading3"/>
      </w:pPr>
      <w:r>
        <w:t>Metodologias, instrumentos e avaliação</w:t>
      </w:r>
    </w:p>
    <w:p>
      <w:pPr/>
      <w: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r>
        <w:t>Em contextos de tecnologias de apoio, modelos como o Matching Person and Technology (MPT)[^6]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commentRangeStart w:id="2"/>
      <w:r>
        <w:t>A avaliação da evidência tem sido igualmente reforçada por meio do uso de protocolos sistemáticos, como o PRISMA, e de instrumentos de avaliação crítica, o que reflete uma crescente preocupação em fundamentar decisões de design com base empírica robusta (Chapman et al., 2025 (#ref-chapman-2025)).</w:t>
      </w:r>
      <w:commentRangeEnd w:id="2"/>
      <w:r>
        <w:commentReference w:id="2"/>
      </w:r>
    </w:p>
    <w:p>
      <w:pPr>
        <w:pStyle w:val="Heading3"/>
      </w:pPr>
      <w:r>
        <w:t>Desafios e lacunas</w:t>
      </w:r>
    </w:p>
    <w:p>
      <w:pPr/>
      <w:commentRangeStart w:id="3"/>
      <w:r>
        <w:t>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escalabilidade; – e a necessidade de integrar dimensões interseccionais (como género e fatores socioculturais) na investigação e no desenvolvimento.</w:t>
      </w:r>
      <w:commentRangeEnd w:id="3"/>
      <w:r>
        <w:commentReference w:id="3"/>
      </w:r>
    </w:p>
    <w:p>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Heading3"/>
      </w:pPr>
      <w:r>
        <w:t>2.3 Fabricação Aditiva e parametrização no design de produto</w:t>
      </w:r>
    </w:p>
    <w:p>
      <w:pPr/>
      <w: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r>
        <w:drawing>
          <wp:inline xmlns:wp="http://schemas.openxmlformats.org/drawingml/2006/wordprocessingDrawing" distT="0" distB="0" distL="0" distR="0">
            <wp:extent cx="5715000" cy="3924300"/>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pic:nvPicPr>
                  <pic:blipFill>
                    <a:blip xmlns:r="http://schemas.openxmlformats.org/officeDocument/2006/relationships" r:embed="rId5"/>
                    <a:stretch>
                      <a:fillRect/>
                    </a:stretch>
                  </pic:blipFill>
                  <pic:spPr>
                    <a:xfrm>
                      <a:off x="0" y="0"/>
                      <a:ext cx="5715000" cy="3924300"/>
                    </a:xfrm>
                    <a:prstGeom prst="rect">
                      <a:avLst/>
                    </a:prstGeom>
                  </pic:spPr>
                </pic:pic>
              </a:graphicData>
            </a:graphic>
          </wp:inline>
        </w:drawing>
      </w:r>
    </w:p>
    <w:p>
      <w:pPr/>
      <w:r>
        <w:t>Figura 2.3 — Fluxo digital entre aquisição, CAD/CAM e fabricação aditiva em próteses e ortóteses.</w:t>
      </w:r>
    </w:p>
    <w:p>
      <w:pPr/>
      <w: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r>
        <w:t>Neste enquadramento, a personalização deixa de ser entendida como exceção e passa a constituir uma estratégia estruturada, operacionalizada por meio de “seed designs”[^7]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Heading3"/>
      </w:pPr>
      <w:r>
        <w:t>Modelação Paramétrica e Espaços de Variação</w:t>
      </w:r>
    </w:p>
    <w:p>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commentRangeStart w:id="4"/>
      <w:r>
        <w:t>No contexto da adaptação ao utilizador, a literatura destaca que a parametrização torna-se particularmente eficaz quando associada a dados mensuráveis, como a antropometria ou as digitalizações tridimensionais. Em vez de um escalonamento uniforme, que pode introduzir desvios significativos, a definição de parâmetros independentes (por exemplo, comprimento e largura) permite ajustes mais precisos e controlo dimensional dentro de margens reduzidas. Em aplicações protésicas, esta abordagem revelou maior proximidade às cinemáticas naturais e melhor adequação morfológica face a modelos simplesmente [^8]escalados (Lim et al., 2018 (#ref-lim-2018)).</w:t>
      </w:r>
      <w:commentRangeEnd w:id="4"/>
      <w:r>
        <w:commentReference w:id="4"/>
      </w:r>
    </w:p>
    <w:p>
      <w:pPr>
        <w:pStyle w:val="Heading3"/>
      </w:pPr>
      <w:r>
        <w:t>Integração com Fabricação Aditiva e Design for Additive Manufacturing</w:t>
      </w:r>
    </w:p>
    <w:p>
      <w:pPr/>
      <w: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r>
        <w:t>Esta evidência reforça a necessidade de uma ligação sistemática entre as fases de design e manufatura, contrariando abordagens que tratam a fabricação como etapa posterior e corretiva (Chtioui et al., 2023 (#ref-chtioui-2023); Wiberg et al., 2019 (#ref-wiberg-2019)).</w:t>
      </w:r>
    </w:p>
    <w:p>
      <w:pPr/>
      <w:commentRangeStart w:id="5"/>
      <w:commentRangeStart w:id="6"/>
      <w:r>
        <w:t>As tecnologias de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commentRangeEnd w:id="6"/>
      <w:r>
        <w:commentReference w:id="6"/>
      </w:r>
      <w:commentRangeEnd w:id="5"/>
      <w:r>
        <w:commentReference w:id="5"/>
      </w:r>
    </w:p>
    <w:p>
      <w:pPr>
        <w:pStyle w:val="Heading3"/>
      </w:pPr>
      <w:r>
        <w:t>Configuradores e Cocriação Digital</w:t>
      </w:r>
    </w:p>
    <w:p>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r>
        <w:drawing>
          <wp:inline xmlns:wp="http://schemas.openxmlformats.org/drawingml/2006/wordprocessingDrawing" distT="0" distB="0" distL="0" distR="0">
            <wp:extent cx="5715000" cy="301942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xmlns:r="http://schemas.openxmlformats.org/officeDocument/2006/relationships" r:embed="rId6"/>
                    <a:stretch>
                      <a:fillRect/>
                    </a:stretch>
                  </pic:blipFill>
                  <pic:spPr>
                    <a:xfrm>
                      <a:off x="0" y="0"/>
                      <a:ext cx="5715000" cy="3019425"/>
                    </a:xfrm>
                    <a:prstGeom prst="rect">
                      <a:avLst/>
                    </a:prstGeom>
                  </pic:spPr>
                </pic:pic>
              </a:graphicData>
            </a:graphic>
          </wp:inline>
        </w:drawing>
      </w:r>
    </w:p>
    <w:p>
      <w:pPr/>
      <w:r>
        <w:t>Figura 2.4 — Exemplo de configurador digital para personalização de uma prótese impressa em 3D.</w:t>
      </w:r>
    </w:p>
    <w:p>
      <w:pPr/>
      <w:r>
        <w:t>Fonte original (APA 7):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commentRangeStart w:id="7"/>
      <w:r>
        <w:t xml:space="preserve">Este modelo “file-to-factory” viabiliza fluxos digitais em que o ficheiro parametrizado é convertido diretamente em instruções de fabrico, seja localmente (impressão 3D descentralizada) ou através de uma encomenda online[^11]. A literatura associa esta lógica à democratização do design e à expansão de estratégias de </w:t>
      </w:r>
      <w:r>
        <w:rPr>
          <w:i/>
        </w:rPr>
        <w:t>mass customization</w:t>
      </w:r>
      <w:r>
        <w:t xml:space="preserve"> e </w:t>
      </w:r>
      <w:r>
        <w:rPr>
          <w:i/>
        </w:rPr>
        <w:t>mass personalization</w:t>
      </w:r>
      <w:r>
        <w:t>, reduzindo custos marginais ao eliminar a utilização de moldes e dispositivos específicos de [^12]fabrico (Lei et al., 2016 (#ref-lei-2016); Stralen, 2018 (#ref-stralen-2018)).</w:t>
      </w:r>
      <w:commentRangeEnd w:id="7"/>
      <w:r>
        <w:commentReference w:id="7"/>
      </w:r>
    </w:p>
    <w:p>
      <w:pPr/>
      <w: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pPr>
      <w:r>
        <w:t>Otimização, Geração e Avaliação de Desempenho</w:t>
      </w:r>
    </w:p>
    <w:p>
      <w:pPr/>
      <w:commentRangeStart w:id="8"/>
      <w: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 para selecionar soluções alinhadas com objetivos específicos (Lei et al., 2016 (#ref-lei-2016); Yao et al., 2016 (#ref-yao-2016)).</w:t>
      </w:r>
      <w:commentRangeEnd w:id="8"/>
      <w:r>
        <w:commentReference w:id="8"/>
      </w:r>
    </w:p>
    <w:p>
      <w:pPr/>
      <w:r>
        <w:t>Em contextos médicos e assistivos, estudos demonstram a integração de modelos paramétricos com análises de elementos finitos (FEM) para validar o desempenho estrutural, bem como de algoritmos generativos que adaptam padrões e estruturas superficiais a geometrias individualizadas (Lei et al., 2016 (#ref-lei-2016); Lim et al., 2018 (#ref-lim-2018)).</w:t>
      </w:r>
    </w:p>
    <w:p>
      <w:pPr/>
      <w:r>
        <w:t>Este cruzamento entre parametrização, simulação e FA evidencia um ecossistema digital integrado que sustenta personalização técnica com base quantitativa (Lei et al., 2016 (#ref-lei-2016); Yao et al., 2016 (#ref-yao-2016)).</w:t>
      </w:r>
    </w:p>
    <w:p>
      <w:pPr>
        <w:pStyle w:val="Heading3"/>
      </w:pPr>
      <w:r>
        <w:t>Implicações para o Design Industrial</w:t>
      </w:r>
    </w:p>
    <w:p>
      <w:pPr/>
      <w: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r>
        <w:t>Assim, a qualidade da definição paramétrica desempenha um papel estratégico para a viabilidade de sistemas adaptáveis (Ozdemir et al., 2022 (#ref-ozdemir-2022)).</w:t>
      </w:r>
    </w:p>
    <w:p>
      <w:pPr/>
      <w: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pPr>
      <w:r>
        <w:t>2.4 Antropometria aplicada ao design protésico</w:t>
      </w:r>
    </w:p>
    <w:p>
      <w:pPr/>
      <w:commentRangeStart w:id="9"/>
      <w:commentRangeStart w:id="10"/>
      <w: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commentRangeEnd w:id="10"/>
      <w:r>
        <w:commentReference w:id="10"/>
      </w:r>
      <w:commentRangeEnd w:id="9"/>
      <w:r>
        <w:commentReference w:id="9"/>
      </w:r>
    </w:p>
    <w:p>
      <w:pPr>
        <w:pStyle w:val="Heading3"/>
      </w:pPr>
      <w:r>
        <w:t>Da dimensão linear à “forma” como dado de projeto</w:t>
      </w:r>
    </w:p>
    <w:p>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r>
        <w:t>Assim, observa-se uma valorização crescente de métodos capazes de capturar geometria tridimensional de alta resolução e de traduzir essa informação em modelos CAD passíveis de retificação, parametrização e fabrico (Squibb et al., 2024 (#ref-squibb-2024)).</w:t>
      </w:r>
    </w:p>
    <w:p>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r>
        <w:drawing>
          <wp:inline xmlns:wp="http://schemas.openxmlformats.org/drawingml/2006/wordprocessingDrawing" distT="0" distB="0" distL="0" distR="0">
            <wp:extent cx="5715000" cy="4219575"/>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xmlns:r="http://schemas.openxmlformats.org/officeDocument/2006/relationships" r:embed="rId7"/>
                    <a:stretch>
                      <a:fillRect/>
                    </a:stretch>
                  </pic:blipFill>
                  <pic:spPr>
                    <a:xfrm>
                      <a:off x="0" y="0"/>
                      <a:ext cx="5715000" cy="4219575"/>
                    </a:xfrm>
                    <a:prstGeom prst="rect">
                      <a:avLst/>
                    </a:prstGeom>
                  </pic:spPr>
                </pic:pic>
              </a:graphicData>
            </a:graphic>
          </wp:inline>
        </w:drawing>
      </w:r>
    </w:p>
    <w:p>
      <w:pPr/>
      <w:r>
        <w:t>Figura 2.5 — Marcos anatómicos e medidas de referência da mão para fins de personalização.</w:t>
      </w:r>
    </w:p>
    <w:p>
      <w:pPr/>
      <w:r>
        <w:t>Fonte original (APA 7): Yu, A., Yick, K. L., Ng, S. P., &amp; Yip, J. (2013). 2D and 3D anatomical analyses of hand dimensions for custom-made gloves. Applied Ergonomics, 44, 381-392.</w:t>
      </w:r>
    </w:p>
    <w:p>
      <w:pPr>
        <w:pStyle w:val="Heading3"/>
      </w:pPr>
      <w:r>
        <w:t>Métodos de recolha antropométrica em próteses e tecnologias de apoio</w:t>
      </w:r>
    </w:p>
    <w:p>
      <w:pPr/>
      <w:r>
        <w:t>A literatura organiza os métodos de recolha em famílias, cada uma com potencialidades e limitações específicas para o design protésico:</w:t>
      </w:r>
    </w:p>
    <w:p>
      <w:pPr>
        <w:pStyle w:val="ListNumber"/>
      </w:pPr>
      <w:commentRangeStart w:id="11"/>
      <w:r>
        <w:t>1. A antropometria manual inclui medições em posturas normalizadas, com instrumentos clínicos e de ergonomia. Mantém relevância em contextos de acessibilidade clínica e de monitorização simples (por exemplo, circunferências para inferir variações do coto). Contudo, assinala-se que as medidas de circunferência podem ser um proxy frágil para alterações reais de volume, dependendo da geometria e da distribuição dos tecidos, o que limita a sua fiabilidade para decisões de ajuste fino (Ibrahim et al., 2024 (#ref-ibrahim-2024)).</w:t>
      </w:r>
      <w:commentRangeEnd w:id="11"/>
      <w:r>
        <w:commentReference w:id="11"/>
      </w:r>
    </w:p>
    <w:p>
      <w:pPr>
        <w:pStyle w:val="ListNumber"/>
      </w:pPr>
      <w:commentRangeStart w:id="12"/>
      <w:r>
        <w:t>2. Digitalização 3D (scanning óptico)capta a superfície corporal em nuvens de pontos ou malhas, que são posteriormente limpas e convertidas em modelos utilizáveis (frequentemente em STL) para CAD e fabrico. É descrita como facilitadora de fluxos de personalização e pode ser combinada com a automatização (por exemplo, correspondência de características anatómicas) para reduzir o trabalho manual. A consistência pode variar conforme a complexidade da forma, e desafios de repetibilidade são relatados quando a geometria é irregular, como em cotos complexos (Squibb et al., 2024 (#ref-squibb-2024)).</w:t>
      </w:r>
      <w:commentRangeEnd w:id="12"/>
      <w:r>
        <w:commentReference w:id="12"/>
      </w:r>
    </w:p>
    <w:p>
      <w:pPr>
        <w:pStyle w:val="ListNumber"/>
      </w:pPr>
      <w:commentRangeStart w:id="13"/>
      <w: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Em síntese, as ortóteses constituem uma das abordagens mais adequadas para a aquisição da geometria 3D do corpo em fluxos personalizados (Silva et al., 2024 (#ref-silva-2024)).</w:t>
      </w:r>
      <w:commentRangeEnd w:id="13"/>
      <w:r>
        <w:commentReference w:id="13"/>
      </w:r>
    </w:p>
    <w:p>
      <w:pPr>
        <w:pStyle w:val="ListNumber"/>
      </w:pPr>
      <w:commentRangeStart w:id="14"/>
      <w:commentRangeStart w:id="15"/>
      <w:r>
        <w:t>4. Imagens médicas (CT/MRI) permitem obter geometria externa e, em alguns casos, informação interna (por exemplo, estruturas ósseas), o que sustenta modelos mais ricos e abordagens como a modelação estatística de forma. Contudo, envolve maior custo e menor acessibilidade e, no caso do CT, implica considerações associadas à exposição à radiação e à dependência do contexto hospitalar.</w:t>
      </w:r>
      <w:commentRangeEnd w:id="15"/>
      <w:r>
        <w:commentReference w:id="15"/>
      </w:r>
      <w:commentRangeEnd w:id="14"/>
      <w:r>
        <w:commentReference w:id="14"/>
      </w:r>
    </w:p>
    <w:p>
      <w:pPr>
        <w:pStyle w:val="ListNumber"/>
      </w:pPr>
      <w:commentRangeStart w:id="16"/>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“hot spots” térmicos e flutuações de volume do coto. Estes métodos ajudam a ligar decisões de forma/retificação a desfechos de conforto e segurança, embora, em muitos casos, sejam descritos como ainda experimentais e com barreiras à adoção clínica (Ibrahim et al., 2024 (#ref-ibrahim-2024); Young et al., 2023 (#ref-young-2023)).</w:t>
      </w:r>
      <w:commentRangeEnd w:id="16"/>
      <w:r>
        <w:commentReference w:id="16"/>
      </w:r>
    </w:p>
    <w:p>
      <w:pPr>
        <w:pStyle w:val="Heading3"/>
      </w:pPr>
      <w:r>
        <w:t>Interpretação e aplicação de dados antropométricos no projeto</w:t>
      </w:r>
    </w:p>
    <w:p>
      <w:pPr/>
      <w:r>
        <w:t>A passagem de dados antropométricos para critérios de projeto ocorre por diferentes vias analíticas:</w:t>
      </w:r>
    </w:p>
    <w:p>
      <w:pPr/>
      <w:commentRangeStart w:id="17"/>
      <w:commentRangeStart w:id="18"/>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 – Métodos multivariados e aprendizagem estatística: usados quando se trabalha com dados de alta dimensionalidade (malhas, secções, nuvens de pontos), permitindo extrair padrões de retificação ou modos de variação. – Modelos preditivos e modelação estatística de forma (SSM): aplicados para reconstruir a geometria a partir de medições reduzidas e inferir relações entre a superfície e a anatomia interna, com PCA e regressões como ferramentas frequentes, embora limitados por tamanhos amostrais reduzidos em vários estudos (Sunderland et al., 2024 (#ref-sunderland-2024)).</w:t>
      </w:r>
      <w:commentRangeEnd w:id="18"/>
      <w:r>
        <w:commentReference w:id="18"/>
      </w:r>
      <w:commentRangeEnd w:id="17"/>
      <w:r>
        <w:commentReference w:id="17"/>
      </w:r>
    </w:p>
    <w:p>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coto como etapa decisiva para a qualidade do encaixe (Kannenberg et al., 2024 (#ref-kannenberg-2024); Young et al., 2023 (#ref-young-2023)).</w:t>
      </w:r>
    </w:p>
    <w:p>
      <w:pPr>
        <w:pStyle w:val="Heading3"/>
      </w:pPr>
      <w:r>
        <w:t>Evidência por tipo de dispositivo</w:t>
      </w:r>
    </w:p>
    <w:p>
      <w:pPr/>
      <w:r>
        <w:t>Embora os princípios sejam transversais, a literatura evidencia diferenças por tipo de dispositivo:</w:t>
      </w:r>
    </w:p>
    <w:p>
      <w:pPr/>
      <w:r>
        <w:t>– Encaixes protésicos e ortóteses: forte ênfase na digitalização 3D, na análise quantitativa de malhas e na validação por meio de métricas de interface e/ou de simulação (FEA). Em workflows digitais de fabrico, verificam-se diferenças geométricas relevantes entre soluções manuais e digitais, reforçando que “digitalizar” não se limita a mudar de formato, mas também a alterar o resultado do ajuste final (Kannenberg et al., 2024 (#ref-kannenberg-2024); Silva et al., 2024 (#ref-silva-2024)). – Próteses de membro superior: coexistência de CT, scanners comerciais e fotogrametria como métodos de captura; estudos comparativos indicam que medições obtidas por 3D scanning podem ser fiáveis e repetíveis face a métodos tradicionais quando bem implementadas. Há também destaque para pipelines automatizados que adaptam modelos CAD inteligentes a dados de digitalização, encurtando o intervalo entre a captura e a obtenção de um modelo pronto para fabricação (Chainando et al., 2025 (#ref-chainando-2025); Çıklaçandır et al., 2022 (#ref-cklacandr-2022)). –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pPr>
      <w:r>
        <w:t>Limitações, lacunas e recomendações</w:t>
      </w:r>
    </w:p>
    <w:p>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r>
        <w:t>Como orientação prática, emergem recomendações claras: selecionar o método de medição em função da questão de design (captura de forma, monitorização de volume, validação de interface), garantir a repetibilidade através de posturas e de uma marcação consistente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pPr>
      <w:r>
        <w:t>Estruturação de dados</w:t>
      </w:r>
    </w:p>
    <w:p>
      <w:pPr/>
      <w: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pPr>
      <w:r>
        <w:t>2.5 Inteligência Artificial no processo de design</w:t>
      </w:r>
    </w:p>
    <w:p>
      <w:pPr/>
      <w: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r>
        <w:drawing>
          <wp:inline xmlns:wp="http://schemas.openxmlformats.org/drawingml/2006/wordprocessingDrawing" distT="0" distB="0" distL="0" distR="0">
            <wp:extent cx="5715000" cy="2638425"/>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xmlns:r="http://schemas.openxmlformats.org/officeDocument/2006/relationships" r:embed="rId8"/>
                    <a:stretch>
                      <a:fillRect/>
                    </a:stretch>
                  </pic:blipFill>
                  <pic:spPr>
                    <a:xfrm>
                      <a:off x="0" y="0"/>
                      <a:ext cx="5715000" cy="2638425"/>
                    </a:xfrm>
                    <a:prstGeom prst="rect">
                      <a:avLst/>
                    </a:prstGeom>
                  </pic:spPr>
                </pic:pic>
              </a:graphicData>
            </a:graphic>
          </wp:inline>
        </w:drawing>
      </w:r>
    </w:p>
    <w:p>
      <w:pPr/>
      <w:r>
        <w:t>Figura 2.6 — Enquadramento de um fluxo de CAD assistido por IA para desenvolvimento de produto.</w:t>
      </w:r>
    </w:p>
    <w:p>
      <w:pPr/>
      <w:r>
        <w:t>Fonte original (APA 7):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pPr>
      <w:r>
        <w:t>O que é a Inteligência Artificial</w:t>
      </w:r>
    </w:p>
    <w:p>
      <w:pPr/>
      <w:r>
        <w:t>De forma ampla, a IA pode ser entendida como um conjunto de métodos computacionais orientados a executar tarefas que requerem aprendizagem, reconhecimento de padrões, inferência ou geração de respostas com base em dados. Esta definição é útil porque evita tratar a IA como uma entidade única ou um sinônimo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commentRangeStart w:id="19"/>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commentRangeEnd w:id="19"/>
      <w:r>
        <w:commentReference w:id="19"/>
      </w:r>
    </w:p>
    <w:p>
      <w:pPr>
        <w:pStyle w:val="Heading3"/>
      </w:pPr>
      <w:r>
        <w:t>Como funciona: dados, treino, inferência e geração</w:t>
      </w:r>
    </w:p>
    <w:p>
      <w:pPr/>
      <w: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(#ref-panchal-2019); Yüksel et al., 2023 (#ref-yuksel-2023)).</w:t>
      </w:r>
    </w:p>
    <w:p>
      <w:pPr/>
      <w:commentRangeStart w:id="20"/>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commentRangeEnd w:id="20"/>
      <w:r>
        <w:commentReference w:id="20"/>
      </w:r>
    </w:p>
    <w:p>
      <w:pPr>
        <w:pStyle w:val="Heading3"/>
      </w:pPr>
      <w:r>
        <w:t>Formas de IA mais relevantes para o design</w:t>
      </w:r>
    </w:p>
    <w:p>
      <w:pPr/>
      <w: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pPr>
      <w:r>
        <w:t>IA ao longo do processo de design</w:t>
      </w:r>
    </w:p>
    <w:p>
      <w:pPr/>
      <w: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commentRangeStart w:id="21"/>
      <w:r>
        <w:t>Isto não significa, porém, que a IA seja igualmente eficaz em todas as etapas. A literatura sugere que seu valor tende a ser maior em tarefas de exploração divergente, análise extensiva e automatização parcial, enquanto as etapas de convergência, enquadramento contextual, decisão ética e validação final continuam a depender fortemente do julgamento humano. A IA pode ampliar o que é possível explorar e tornar mais rápida a comparação entre alternativas, mas não elimina a necessidade de decidir o que faz sentido desenvolver, para quem, em que contexto e com que consequências (Ao et al., 2025 (#ref-ao-2025); Choudhury et al., 2025 (#ref-choudhury-2025); Virós-i-Martin &amp; Selva, 2021 (#ref-viros-i-martin-2021)).</w:t>
      </w:r>
      <w:commentRangeEnd w:id="21"/>
      <w:r>
        <w:commentReference w:id="21"/>
      </w:r>
    </w:p>
    <w:p>
      <w:pPr>
        <w:pStyle w:val="Heading3"/>
      </w:pPr>
      <w:r>
        <w:t>Papel do designer, riscos e necessidade de supervisão humana</w:t>
      </w:r>
    </w:p>
    <w:p>
      <w:pPr/>
      <w:commentRangeStart w:id="22"/>
      <w:r>
        <w:t>Neste quadro, a questão central deixa de ser se a IA substitui o designer e passa a ser como ela redistribui a agência no processo de projeto. A literatura descreve uma deslocação do designer, enquanto gerador exclusivo de forma, para um papel mais híbrido de orientador, curador, intérprete e decisor estratégico. Em vez de desaparecer, o papel humano torna-se mais exigente em tarefas como a formulação do problema, a definição de critérios, a leitura contextual, a seleção entre alternativas e a justificação das decisões. Esta transformação é particularmente relevante em domínios sensíveis, onde a adequação ao utilizador, a responsabilidade técnica e a aceitabilidade ética não podem ser delegadas a um sistema treinado apenas com dados passados (Figoli et al., 2022 (#ref-figoli-2022); Kadenhe et al., 2025 (#ref-kadenhe-2025); Virós-i-Martin &amp; Selva, 2021 (#ref-viros-i-martin-2021)).</w:t>
      </w:r>
      <w:commentRangeEnd w:id="22"/>
      <w:r>
        <w:commentReference w:id="22"/>
      </w:r>
    </w:p>
    <w:p>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Heading3"/>
      </w:pPr>
      <w:r>
        <w:t>Síntese</w:t>
      </w:r>
    </w:p>
    <w:p>
      <w:pPr/>
      <w:r>
        <w:t>Em síntese, a IA pode ser compreendida como um conjunto de métodos computacionais baseados em dados, capazes de aprender padrões, apoiar a inferência, gerar conteúdo e acelerar tarefas distribuídas ao longo de várias fases do processo de design. A sua relevância para o Design Industrial decorre menos de uma promessa de substituir a criatividade humana do que da sua capacidade de ampliar a exploração, apoiar a avaliação e tornar operáveis espaços de decisão mais complexos. O seu valor depende, contudo, do enquadramento: quanto mais o sistema exige interpretação contextual, sensibilidade humana, responsabilidade ética ou validação técnica, mais importante se torna o papel do designer como agente de mediação e controlo (Choudhury et al., 2025 (#ref-choudhury-2025); Saeidnia &amp; Ausloos, 2024 (#ref-saeidnia-2024); Verganti et al., 2020 (#ref-verganti-2020)).</w:t>
      </w:r>
    </w:p>
    <w:p>
      <w:pPr/>
      <w:r>
        <w:t>No âmbito desta investigação, esta leitura é decisiva porque legitima a integração da IA como camada assistiva à parametrização, e não como instância autónoma de projeto. Para sistemas orientados à personalização, à adaptação anatómica e ao apoio à decisão, a IA é mais útil quando ajuda a organizar alternativas, interpretar relações complexas e apoiar escolhas em espaços paramétricos amplos, preservando sempre a validação técnica, a rastreabilidade e a supervisão humana ao longo do processo (Ao et al., 2025 (#ref-ao-2025); Menaka et al., 2025 (#ref-menaka-2025); Wang &amp; Hu, 2024 (#ref-wang-2024)).</w:t>
      </w:r>
    </w:p>
    <w:p>
      <w:pPr>
        <w:pStyle w:val="Heading3"/>
      </w:pPr>
      <w:r>
        <w:t>2.6 Plataformas digitais e sistemas configuráveis</w:t>
      </w:r>
    </w:p>
    <w:p>
      <w:pPr/>
      <w:r>
        <w:t>A evolução recente do desenvolvimento de produto, particularmente em contextos de saúde e de tecnologias de apoio, tem sido acompanhada de um crescimento de plataformas digitais configuráveis e de sistemas participativos orientados à personalização. A literatura caracteriza estes sistemas como infraestruturas sociotécnicas que articulam enquadramentos conceptuais que legitimam e estruturam a participação, mecanismos técnicos de configurabilidade, como configuradores, parametrização e modularidade, e workflows participativos que traduzem experiência vivida em requisitos, protótipos e iterações de projeto (Fischer et al., 2004 (#ref-fischer-2004); Hippel &amp; Katz, 2002 (#ref-hippel-2002); Howard et al., 2022 (#ref-howard-2022)).</w:t>
      </w:r>
    </w:p>
    <w:p>
      <w:pPr/>
      <w:r>
        <w:t>Em domínios como a reabilitação e as tecnologias assistivas,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pPr>
      <w:r>
        <w:t>Fundamentos conceptuais: toolkits, meta-design e end-user development.</w:t>
      </w:r>
    </w:p>
    <w:p>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(#ref-costabile-2007); Fischer et al., 2004 (#ref-fischer-2004)).</w:t>
      </w:r>
    </w:p>
    <w:p>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r>
        <w:drawing>
          <wp:inline xmlns:wp="http://schemas.openxmlformats.org/drawingml/2006/wordprocessingDrawing" distT="0" distB="0" distL="0" distR="0">
            <wp:extent cx="5715000" cy="2990850"/>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xmlns:r="http://schemas.openxmlformats.org/officeDocument/2006/relationships" r:embed="rId9"/>
                    <a:stretch>
                      <a:fillRect/>
                    </a:stretch>
                  </pic:blipFill>
                  <pic:spPr>
                    <a:xfrm>
                      <a:off x="0" y="0"/>
                      <a:ext cx="5715000" cy="2990850"/>
                    </a:xfrm>
                    <a:prstGeom prst="rect">
                      <a:avLst/>
                    </a:prstGeom>
                  </pic:spPr>
                </pic:pic>
              </a:graphicData>
            </a:graphic>
          </wp:inline>
        </w:drawing>
      </w:r>
    </w:p>
    <w:p>
      <w:pPr/>
      <w:r>
        <w:t>Figura 2.7 — Modelo de processo para configurar participação em ecossistemas de inovação e cocriação.</w:t>
      </w:r>
    </w:p>
    <w:p>
      <w:pPr/>
      <w:r>
        <w:t>Fonte original (APA 7): Akasaka, M., Veeckman, C., Georges, A., Schuurman, D., &amp; Coorevits, L. (2022). A framework for configuring participation in living labs. https://www.semanticscholar.org/paper/305d55af5fda06b4d1b33e7d29c1f16d1b7ea488</w:t>
      </w:r>
    </w:p>
    <w:p>
      <w:pPr/>
      <w:r>
        <w:t>A literatura identifica, contudo, riscos como a participation overload, isto é, a transferência excessiva de carga de trabalho e de decisão para os utilizadores, o que requer mecanismos de apoio, curadoria e reutilização para tornar a participação sustentável (Fischer et al., 2017 (#ref-fischer-2017)).</w:t>
      </w:r>
    </w:p>
    <w:p>
      <w:pPr/>
      <w:r>
        <w:t>Em paralelo, o conceito de Software Shaping Workshop operacionaliza o meta-design como um “workshop virtual” composto por ferramentas familiares adaptadas à cultura e às competências de uma comunidade. Em contextos de reabilitação e assistência, este paradigma manifesta-se em sistemas que fornecem a cuidadores e terapeutas interfaces do tipo editor, permitindo adaptar scripts, exercícios e conteúdos sem necessidade de programação, respondendo de forma pragmática às necessidades de personalização (Costabile et al., 2007 (#ref-costabile-2007); Fischer et al., 2017 (#ref-fischer-2017)).</w:t>
      </w:r>
    </w:p>
    <w:p>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r>
        <w:t>Tabela 2.2 — Elementos centrais na configuração da participação em sistemas configuráveis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Fase e propósito</w:t>
            </w:r>
          </w:p>
        </w:tc>
        <w:tc>
          <w:tcPr>
            <w:tcW w:w="0" w:type="auto"/>
          </w:tcPr>
          <w:p>
            <w:pPr/>
            <w:r>
              <w:t>Em que momento participa o utilizador e com que objetivo</w:t>
            </w:r>
          </w:p>
        </w:tc>
      </w:tr>
      <w:tr>
        <w:tc>
          <w:tcPr>
            <w:tcW w:w="0" w:type="auto"/>
          </w:tcPr>
          <w:p>
            <w:pPr/>
            <w:r>
              <w:t>Participantes</w:t>
            </w:r>
          </w:p>
        </w:tc>
        <w:tc>
          <w:tcPr>
            <w:tcW w:w="0" w:type="auto"/>
          </w:tcPr>
          <w:p>
            <w:pPr/>
            <w:r>
              <w:t>Que perfis participam, em que número e com que papel</w:t>
            </w:r>
          </w:p>
        </w:tc>
      </w:tr>
      <w:tr>
        <w:tc>
          <w:tcPr>
            <w:tcW w:w="0" w:type="auto"/>
          </w:tcPr>
          <w:p>
            <w:pPr/>
            <w:r>
              <w:t>Formato</w:t>
            </w:r>
          </w:p>
        </w:tc>
        <w:tc>
          <w:tcPr>
            <w:tcW w:w="0" w:type="auto"/>
          </w:tcPr>
          <w:p>
            <w:pPr/>
            <w:r>
              <w:t>Que canais, espaços e métodos suportam a colaboração</w:t>
            </w:r>
          </w:p>
        </w:tc>
      </w:tr>
      <w:tr>
        <w:tc>
          <w:tcPr>
            <w:tcW w:w="0" w:type="auto"/>
          </w:tcPr>
          <w:p>
            <w:pPr/>
            <w:r>
              <w:t>Contacto</w:t>
            </w:r>
          </w:p>
        </w:tc>
        <w:tc>
          <w:tcPr>
            <w:tcW w:w="0" w:type="auto"/>
          </w:tcPr>
          <w:p>
            <w:pPr/>
            <w:r>
              <w:t>Como se recrutam participantes e como se mantém a relação</w:t>
            </w:r>
          </w:p>
        </w:tc>
      </w:tr>
      <w:tr>
        <w:tc>
          <w:tcPr>
            <w:tcW w:w="0" w:type="auto"/>
          </w:tcPr>
          <w:p>
            <w:pPr/>
            <w:r>
              <w:t>Gestão da motivação</w:t>
            </w:r>
          </w:p>
        </w:tc>
        <w:tc>
          <w:tcPr>
            <w:tcW w:w="0" w:type="auto"/>
          </w:tcPr>
          <w:p>
            <w:pPr/>
            <w:r>
              <w:t>Que fatores promovem adesão e que barreiras dificultam continuidade</w:t>
            </w:r>
          </w:p>
        </w:tc>
      </w:tr>
    </w:tbl>
    <w:p>
      <w:pPr/>
      <w:r>
        <w:t>Fonte adaptada. Referência original (APA 7): Akasaka, M., Veeckman, C., Georges, A., Schuurman, D., &amp; Coorevits, L. (2022). A framework for configuring participation in living labs. https://www.semanticscholar.org/paper/305d55af5fda06b4d1b33e7d29c1f16d1b7ea488</w:t>
      </w:r>
    </w:p>
    <w:p>
      <w:pPr>
        <w:pStyle w:val="Heading3"/>
      </w:pPr>
      <w:r>
        <w:t>Mecanismos de personalização: modularidade, parametrização e tailoring</w:t>
      </w:r>
    </w:p>
    <w:p>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ListNumber"/>
      </w:pPr>
      <w: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escalabilidade em ecossistemas de produto (Dechev et al., 2023 (#ref-dechev-2023); Peters &amp; Richter, 2023 (#ref-peters-2023)).</w:t>
      </w:r>
    </w:p>
    <w:p>
      <w:pPr>
        <w:pStyle w:val="ListNumber"/>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ListNumber"/>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r>
        <w:t>A seleção do mecanismo mais adequado depende do locus de conhecimento: modularidade funciona quando as necessidades podem ser expressas como combinações de módulos conhecidos; parametrização é mais eficaz quando há dados mensuráveis que podem ser mapeados para variáveis de design; e toolkits são indicados quando a adaptação contínua em contexto é crítica e quando o utilizador ou intermediário tem conhecimento situado para ajustar o sistema (Hippel &amp; Katz, 2002 (#ref-hippel-2002); Peters &amp; Richter, 2023 (#ref-peters-2023); Zhu &amp; Zhong, 2022 (#ref-zhu-2022)).</w:t>
      </w:r>
    </w:p>
    <w:p>
      <w:pPr>
        <w:pStyle w:val="Heading3"/>
      </w:pPr>
      <w:r>
        <w:t>Workflows participativos e infraestruturas remotas</w:t>
      </w:r>
    </w:p>
    <w:p>
      <w:pPr/>
      <w: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r>
        <w:t>No entanto, as fontes sublinham que a tecnologia não é suficiente. A eficácia destes sistemas depende de governance, isto é, de quem decide o quê e quando, de mediação por clínicos, designers ou técnicos, e de mecanismos de gestão da carga de trabalho e da comunicação. Em modelos abertos e distribuídos, surgem riscos de quebra de compromissos e de atrasos decorrentes da falta de accountability, o que exige o desenho explícito de regras, expectativas e responsabilidades (Frangos et al., 2016 (#ref-frangos-2016); Hussaini et al., 2023 (#ref-hussaini-2023); Kerr et al., 2024 (#ref-kerr-2024)).</w:t>
      </w:r>
    </w:p>
    <w:p>
      <w:pPr>
        <w:pStyle w:val="Heading3"/>
      </w:pPr>
      <w:r>
        <w:t>Aplicações em saúde, reabilitação e próteses</w:t>
      </w:r>
    </w:p>
    <w:p>
      <w:pPr/>
      <w:r>
        <w:t>Em saúde, plataformas baseadas em digital twins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r>
        <w:t>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r>
        <w:t>No contexto protésico e assistivo, evidencia-se a relevância dos ecossistemas modulares e das cadeias de aprendizagem distribuída. Estudos sobre próteses pediátricas, serviços de reabilitação assistiva e modelos como o Victoria Hand Project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Heading3"/>
      </w:pPr>
      <w:r>
        <w:t>Limitações e lacunas: sustentabilidade, adoção e equilíbrio entre standardização e improviso</w:t>
      </w:r>
    </w:p>
    <w:p>
      <w:pPr/>
      <w:r>
        <w:t>Apesar do potencial, a evidência empírica frequentemente baseia-se em amostras pequenas e em estudos de caso, o que limita a generalização. Para além disso, surgem três tensões estruturais (Frangos et al., 2016 (#ref-frangos-2016); Howard et al., 2022 (#ref-howard-2022); Thorsen et al., 2023 (#ref-thorsen-2023)):</w:t>
      </w:r>
    </w:p>
    <w:p>
      <w:pPr/>
      <w:r>
        <w:t>– Sustentabilidade da participação: risco de sobrecarga de participação e de desistência; necessidade de mecanismos de apoio, curadoria e redistribuição da carga entre utilizadores e especialistas (Fischer et al., 2017 (#ref-fischer-2017)).</w:t>
      </w:r>
    </w:p>
    <w:p>
      <w:pPr/>
      <w:r>
        <w:t>– Standardização vs personalização: em domínios regulados, a personalização deve manter rastreabilidade, segurança e qualidade, o que pode colidir com improvisos locais necessários para responder a necessidades idiossincráticas (Costabile et al., 2007 (#ref-costabile-2007); Fischer et al., 2004 (#ref-fischer-2004)).</w:t>
      </w:r>
    </w:p>
    <w:p>
      <w:pPr/>
      <w:r>
        <w:t>– Adoção e valor realizado: a literatura sobre personalização em massa regista falhas frequentes na conversão e na adoção de configuradores; por analogia, em saúde e tecnologias assistivas, a configurabilidade não garante aceitação sem alinhamento com expectativas, confiança e integração nos serviços (Akasaka et al., 2022 (#ref-akasaka-2022); Frangos et al., 2016 (#ref-frangos-2016)).</w:t>
      </w:r>
    </w:p>
    <w:p>
      <w:pPr>
        <w:pStyle w:val="Heading3"/>
      </w:pPr>
      <w:r>
        <w:t>2.7 Análise crítica do estado da arte e lacunas identificadas</w:t>
      </w:r>
    </w:p>
    <w:p>
      <w:pPr/>
      <w:r>
        <w:t>A transição entre o entusiasmo técnico e a maturidade efetiva do campo torna-se particularmente visível ao se observarem os níveis de prontidão tecnológica na literatura. A Figura 2.8 antecipa esta leitura ao mostrar a distribuição dos estudos por technology readiness level (TRL), reforçando que muitos contributos permanecem concentrados em fases ainda distantes de adoção ampla e sustentada.</w:t>
      </w:r>
    </w:p>
    <w:p>
      <w:r>
        <w:drawing>
          <wp:inline xmlns:wp="http://schemas.openxmlformats.org/drawingml/2006/wordprocessingDrawing" distT="0" distB="0" distL="0" distR="0">
            <wp:extent cx="5715000" cy="4067175"/>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pic:nvPicPr>
                  <pic:blipFill>
                    <a:blip xmlns:r="http://schemas.openxmlformats.org/officeDocument/2006/relationships" r:embed="rId10"/>
                    <a:stretch>
                      <a:fillRect/>
                    </a:stretch>
                  </pic:blipFill>
                  <pic:spPr>
                    <a:xfrm>
                      <a:off x="0" y="0"/>
                      <a:ext cx="5715000" cy="4067175"/>
                    </a:xfrm>
                    <a:prstGeom prst="rect">
                      <a:avLst/>
                    </a:prstGeom>
                  </pic:spPr>
                </pic:pic>
              </a:graphicData>
            </a:graphic>
          </wp:inline>
        </w:drawing>
      </w:r>
    </w:p>
    <w:p>
      <w:pPr/>
      <w:r>
        <w:t>Figura 2.8 — Distribuição dos estudos por nível de prontidão tecnológica (TRL) em próteses e ortóteses com fabrico digital.</w:t>
      </w:r>
    </w:p>
    <w:p>
      <w:pPr/>
      <w: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r>
        <w:t>A síntese das secções anteriores evidencia um panorama marcado por avanços técnicos significativos, mas também por limitações estruturais persistentes na investigação e no desenvolvimento de próteses e de tecnologias assistivas. Um tema transversal é o desfasamento entre inovação tecnológica e evidência robusta: muitos desenvolvimentos permanecem em fase de protótipo, testados em amostras reduzidas e por períodos curtos, com escassa validação por meio de ensaios clínicos, estudos longitudinais e avaliações em contextos reais (Chadwell et al., 2020 (#ref-chadwell-2020); Samuelsson et al., 2012 (#ref-samuelsson-2012); Windrich et al., 2016 (#ref-windrich-2016)).</w:t>
      </w:r>
    </w:p>
    <w:p>
      <w:pPr/>
      <w:r>
        <w:t>Este padrão enfraquece a capacidade de comparar soluções, generalizar conclusões e traduzir melhorias laboratoriais em benefícios consistentes na vida quotidiana (Hafner &amp; Sawers, 2016 (#ref-hafner-2016); Samuelsson et al., 2012 (#ref-samuelsson-2012)).</w:t>
      </w:r>
    </w:p>
    <w:p>
      <w:pPr>
        <w:pStyle w:val="Heading3"/>
      </w:pPr>
      <w:r>
        <w:t>Lacuna 1 — Evidência insuficiente e fraca tradução para o mundo real</w:t>
      </w:r>
    </w:p>
    <w:p>
      <w:pPr/>
      <w:r>
        <w:t>A revisão de literatura aponta repetidamente a ausência de estudos comparativos robustos e de ensaios clínicos que confrontem dispositivos avançados com prescrições convencionais, particularmente em sistemas ativos e externamente alimentados. Em vários subdomínios, observa-se dependência de protótipos e de pequenas amostras, o que limita as inferências sobre eficácia, segurança e valor clínico. Em paralelo, verifica-se predominância de avaliações em laboratório e de tarefas pouco representativas, que não captam adequadamente o desempenho em ambientes naturais, com variabilidade de contextos, objetos e exigências funcionais (Ghillebert et al., 2019 (#ref-ghillebert-2019); Samuelsson et al., 2012 (#ref-samuelsson-2012); Windrich et al., 2016 (#ref-windrich-2016)).</w:t>
      </w:r>
    </w:p>
    <w:p>
      <w:pPr/>
      <w:r>
        <w:t>Esta lacuna é particularmente relevante porque a adaptação, a aprendizagem e o abandono de próteses ocorrem ao longo do tempo e em ecossistemas reais, como o trabalho, a casa e o espaço público. Quando a evidência se baseia em janelas de observação curtas, torna-se difícil compreender trajetórias de adoção, padrões de uso e emergências de problemas de conforto ou de manutenção (Chadwell et al., 2020 (#ref-chadwell-2020); Samuelsson et al., 2012 (#ref-samuelsson-2012)).</w:t>
      </w:r>
    </w:p>
    <w:p>
      <w:pPr>
        <w:pStyle w:val="Heading3"/>
      </w:pPr>
      <w:r>
        <w:t>Lacuna 2 — Desalinhamento entre necessidades identificadas, métricas objetivas, e qualidade de vida</w:t>
      </w:r>
    </w:p>
    <w:p>
      <w:pPr/>
      <w:r>
        <w:t>Um problema recorrente é a ligação frágil entre aquilo que os utilizadores referem como necessidades — como conforto, controlo intuitivo, aparência e participação social —, os indicadores objetivos habitualmente medidos — como desempenho em testes funcionais, parâmetros biomecânicos e contagens de atividade  —, e os resultados finais desejáveis — como autonomia e qualidade de vida. Revisões salientam que as necessidades são contextuais e interdependentes e que as medições laboratoriais podem não refletir tarefas relevantes do quotidiano, contribuindo para contradições entre resultados subjetivos e objetivos (Cordella et al., 2016 (#ref-cordella-2016); Manz et al., 2022 (#ref-manz-2022)).</w:t>
      </w:r>
    </w:p>
    <w:p>
      <w:pPr/>
      <w:r>
        <w:t>Esta desconexão tem implicações diretas no design: sem métricas ecologicamente válidas e sensíveis às prioridades do utilizador, torna-se difícil orientar decisões de projeto para benefícios significativos e sustentados, podendo ocorrer “melhorias técnicas” que não se traduzem em aceitação ou uso continuado (Manz et al., 2022 (#ref-manz-2022); Samuelsson et al., 2012 (#ref-samuelsson-2012)).</w:t>
      </w:r>
    </w:p>
    <w:p>
      <w:pPr>
        <w:pStyle w:val="Heading3"/>
      </w:pPr>
      <w:r>
        <w:t>Lacuna 3 — Persistência de problemas na interface corpo–dispositivo e na personalização</w:t>
      </w:r>
    </w:p>
    <w:p>
      <w:pPr/>
      <w:r>
        <w:t>Apesar do progresso em componentes e controlo, a literatura converge para a identificação da interface corpo–dispositivo como um ponto crítico ainda não resolvido. Problemas de ajuste, desconforto, irritação cutânea e dificuldades de adaptação persistem como fatores determinantes de insatisfação e de abandono. Nas revisões, a personalização é frequentemente descrita como insuficiente ou metodologicamente frágil, com evidência difícil de sintetizar devido à variabilidade das intervenções e ao registo incompleto (Alluhydan et al., 2023 (#ref-alluhydan-2023); Baldock et al., 2023 (#ref-baldock-2023); Richardson &amp; Dillon, 2017 (#ref-richardson-2017)).</w:t>
      </w:r>
    </w:p>
    <w:p>
      <w:pPr/>
      <w:r>
        <w:t>Um aspeto estruturante desta lacuna é a falta de pipelines “medição → decisão de design → validação” consistentes e acessíveis, com dados objetivos suficientes para orientar ajustes individualizados. Mesmo quando se propõem soluções baseadas em sensores e na monitorização do uso, emergem barreiras práticas, como o custo, a autonomia da bateria, a disponibilidade e a formação, o que limita a adoção como prática clínica padrão (Chadwell et al., 2020 (#ref-chadwell-2020); Richardson &amp; Dillon, 2017 (#ref-richardson-2017)).</w:t>
      </w:r>
    </w:p>
    <w:p>
      <w:pPr>
        <w:pStyle w:val="Heading3"/>
      </w:pPr>
      <w:r>
        <w:t>Lacuna 4 — Estagnação e fragilidade metodológica em controlo e interação humano–prótese</w:t>
      </w:r>
    </w:p>
    <w:p>
      <w:pPr/>
      <w:r>
        <w:t>No caso das próteses de membro superior, algumas revisões caracterizam uma estagnação relativa nas estratégias de controlo em aplicações comerciais, com evolução lenta desde as primeiras abordagens do século XX. Persistem dificuldades de robustez e de transferibilidade entre cenários laboratoriais e o uso real, bem como desafios associados ao esforço cognitivo, ao tempo de aprendizagem e à inconsistência de desempenho em situações quotidianas (Cordella et al., 2016 (#ref-cordella-2016); Marinelli et al., 2022 (#ref-marinelli-2022)).</w:t>
      </w:r>
    </w:p>
    <w:p>
      <w:pPr/>
      <w:r>
        <w:t>Esta lacuna não é apenas técnica: reflete também uma conceptualização insuficiente da interação humano–prótese como um sistema integrado, em que controlo, feedback, treino e contexto de uso devem ser co-otimizados (Domínguez-Ruiz et al., 2023 (#ref-dominguez-ruiz-2023); Marinelli et al., 2022 (#ref-marinelli-2022)).</w:t>
      </w:r>
    </w:p>
    <w:p>
      <w:pPr>
        <w:pStyle w:val="Heading3"/>
      </w:pPr>
      <w:r>
        <w:t>Lacuna 5 — Acesso, custo, manutenção e inequidades sistémicas</w:t>
      </w:r>
    </w:p>
    <w:p>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trade-offs claros: soluções biomecanicamente mais sofisticadas podem ser mais frágeis e difíceis de manter, comprometendo a sustentabilidade do uso (Alluhydan et al., 2023 (#ref-alluhydan-2023); Andrysek, 2010 (#ref-andrysek-2010); Baumann &amp; Maria, 2023 (#ref-baumann-2023)).</w:t>
      </w:r>
    </w:p>
    <w:p>
      <w:pPr/>
      <w: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Heading3"/>
      </w:pPr>
      <w:r>
        <w:t>Lacuna 6 — Envolvimento do utilizador e registo metodológico insuficiente</w:t>
      </w:r>
    </w:p>
    <w:p>
      <w:pPr/>
      <w:r>
        <w:t>O envolvimento do utilizador é descrito como um problema metodológico e ético ainda não resolvido. Revisões relacionam explicitamente processos pouco patient-tailored ao abandono e à incapacidade de responder às necessidades relevantes. Em várias áreas, identifica-se a ausência de métodos qualitativos sistemáticos para captar a experiência e a aceitabilidade, mesmo em componentes centrados no conforto, como liners, o que limita a compreensão profunda dos fatores de uso e de rejeição (Marinelli et al., 2022 (#ref-marinelli-2022); Richardson &amp; Dillon, 2017 (#ref-richardson-2017); Walker et al., 2019 (#ref-walker-2019)).</w:t>
      </w:r>
    </w:p>
    <w:p>
      <w:pPr/>
      <w:r>
        <w:t>Adicionalmente, a heterogeneidade de métodos e a falta de critérios comuns de avaliação, como escalas partilhadas de utilidade e satisfação, dificultam a síntese e as meta-análises, mantendo o campo fragmentado e com baixa comparabilidade (Cordella et al., 2016 (#ref-cordella-2016); Hafner &amp; Sawers, 2016 (#ref-hafner-2016); Richardson &amp; Dillon, 2017 (#ref-richardson-2017)).</w:t>
      </w:r>
    </w:p>
    <w:p>
      <w:pPr>
        <w:pStyle w:val="Heading3"/>
      </w:pPr>
      <w:r>
        <w:t>Implicações para esta investigação</w:t>
      </w:r>
    </w:p>
    <w:p>
      <w:pPr/>
      <w:r>
        <w:t>Em conjunto, estas lacunas apontam para a necessidade de abordagens que:</w:t>
      </w:r>
    </w:p>
    <w:p>
      <w:pPr>
        <w:pStyle w:val="ListNumber"/>
      </w:pPr>
      <w:r>
        <w:t>1. reforcem a ligação entre personalização e evidência, com pipelines integrados de aquisição de dados, geração de variantes e validação;</w:t>
      </w:r>
    </w:p>
    <w:p>
      <w:pPr>
        <w:pStyle w:val="ListNumber"/>
      </w:pPr>
      <w:r>
        <w:t>2. privilegiem avaliação ecologicamente válida e longitudinal, aproximando métricas de resultados de participação e qualidade de vida;</w:t>
      </w:r>
    </w:p>
    <w:p>
      <w:pPr>
        <w:pStyle w:val="ListNumber"/>
      </w:pPr>
      <w:r>
        <w:t>3. tratem a interface corpo–dispositivo e o conforto como requisitos estruturantes, não como otimizações posteriores;</w:t>
      </w:r>
    </w:p>
    <w:p>
      <w:pPr>
        <w:pStyle w:val="ListNumber"/>
      </w:pPr>
      <w:r>
        <w:t>4. incorporem envolvimento do utilizador como elemento contínuo e reportável, articulando métodos qualitativos e quantitativos;</w:t>
      </w:r>
    </w:p>
    <w:p>
      <w:pPr>
        <w:pStyle w:val="ListNumber"/>
      </w:pPr>
      <w:r>
        <w:t>5. Considerem a acessibilidade, a manutenção e o contexto de serviço como parte do problema de design (Anderson et al., 2024 (#ref-anderson-2024); Baumann &amp; Maria, 2023 (#ref-baumann-2023); Chadwell et al., 2020 (#ref-chadwell-2020)).</w:t>
      </w:r>
    </w:p>
    <w:p>
      <w:pPr>
        <w:pStyle w:val="Heading2"/>
      </w:pPr>
      <w:r>
        <w:t>Capítulo 3 — Metodologia de Investigação</w:t>
      </w:r>
    </w:p>
    <w:p>
      <w:pPr>
        <w:pStyle w:val="Heading3"/>
      </w:pPr>
      <w:r>
        <w:t>3.1 Enquadramento metodológico e abordagem Research Through Design</w:t>
      </w:r>
    </w:p>
    <w:p>
      <w:pPr/>
      <w: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r>
        <w:drawing>
          <wp:inline xmlns:wp="http://schemas.openxmlformats.org/drawingml/2006/wordprocessingDrawing" distT="0" distB="0" distL="0" distR="0">
            <wp:extent cx="5715000" cy="2181225"/>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pic:nvPicPr>
                  <pic:blipFill>
                    <a:blip xmlns:r="http://schemas.openxmlformats.org/officeDocument/2006/relationships" r:embed="rId11"/>
                    <a:stretch>
                      <a:fillRect/>
                    </a:stretch>
                  </pic:blipFill>
                  <pic:spPr>
                    <a:xfrm>
                      <a:off x="0" y="0"/>
                      <a:ext cx="5715000" cy="2181225"/>
                    </a:xfrm>
                    <a:prstGeom prst="rect">
                      <a:avLst/>
                    </a:prstGeom>
                  </pic:spPr>
                </pic:pic>
              </a:graphicData>
            </a:graphic>
          </wp:inline>
        </w:drawing>
      </w:r>
    </w:p>
    <w:p>
      <w:pPr/>
      <w:r>
        <w:t>Figura 3.1 — Processo interdisciplinar de desenvolvimento de uma prótese de membro superior impressa em 3D.</w:t>
      </w:r>
    </w:p>
    <w:p>
      <w:pPr/>
      <w:r>
        <w:t>Fonte original (APA 7): Silva, L. A. da, Medola, F. O., Rodrigues, O. V., Rodrigues, A. C. T., &amp; Sandnes, F. E. (2018). Interdisciplinary-based development of user-friendly customized 3D printed upper limb prosthesis. Comunicação em conferência.</w:t>
      </w:r>
    </w:p>
    <w:p>
      <w:pPr>
        <w:pStyle w:val="Heading3"/>
      </w:pPr>
      <w:r>
        <w:t>3.2 O design industrial como prática investigativa</w:t>
      </w:r>
    </w:p>
    <w:p>
      <w:pPr/>
      <w:r>
        <w:t>O projeto parte do entendimento do design industrial como disciplina projetual, técnica e social, capaz de mediar entre a inovação tecnológica e a experiência humana. No domínio das próteses de membros superiores, esta mediação assume particular relevância, dado que o objeto projetado intervém diretamente na corporeidade, na autonomia e na identidade do utilizador. Esta perspetiva aproxima-se da ideia de designerly ways of knowing, segundo a qual o design possui modos próprios de formular problemas, produzir conhecimento e articular exigências funcionais, formais e humanas (Cross, 1982 (#ref-cross-1982)).</w:t>
      </w:r>
    </w:p>
    <w:p>
      <w:pPr/>
      <w:r>
        <w:t>A produção contemporânea de próteses personalizadas continua a enfrentar desafios significativos, nomeadamente custos elevados, processos de adaptação pouco flexíveis, dependência de técnicos especializados e dificuldades de escalabilidade. Embora a impressão 3D tenha contribuído para a democratização parcial do fabrico de dispositivos de apoio, persistem limitações na personalização anatómica rigorosa, na reprodutibilidade dos processos e na integração sistemática de critérios ergonómicos e simbólicos.</w:t>
      </w:r>
    </w:p>
    <w:p>
      <w:pPr/>
      <w:r>
        <w:t>Neste enquadramento, o design industrial é entendido como uma prática investigativa capaz de estruturar soluções que conciliem requisitos anatómicos, funcionais, ergonómicos, estéticos e simbólicos. A investigação assume que o desenvolvimento de um sistema paramétrico assistido por inteligência artificial pode contribuir para superar abordagens baseadas em modelos estáticos e em ajustes empíricos, promovendo processos mais configuráveis, reprodutíveis e acessíveis. A dimensão investigativa não reside apenas na resolução do problema projetual, mas também na explicitação dos critérios, das relações paramétricas e dos mecanismos de decisão que tornam o processo analisável, criticável e transferível para outros contextos de desenvolvimento.</w:t>
      </w:r>
    </w:p>
    <w:p>
      <w:pPr/>
      <w: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Heading3"/>
      </w:pPr>
      <w:r>
        <w:t>3.3 Estrutura metodológica do projeto</w:t>
      </w:r>
    </w:p>
    <w:p>
      <w:pPr/>
      <w:r>
        <w:t>A metodologia organiza-se em três fases interligadas — conceptual, metodológica e empírica — que se desenvolvem de forma sequencial, mantendo, contudo, a natureza iterativa própria do processo de design. Esta estrutura funciona como adaptação do enquadramento RTD a um problema de design de produto com forte componente digital e prototípica, preservando a alternância entre abertura exploratória e convergência decisional característica do Double Diamond (Design Council, 2020 (#ref-design-council-2020); Zimmerman et al., 2007 (#ref-zimmerman-2007)).</w:t>
      </w:r>
    </w:p>
    <w:p>
      <w:pPr/>
      <w:r>
        <w:t>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Paralelamente, realiza-se uma análise comparativa de soluções open-source existentes no domínio das próteses impressas em 3D, identificando abordagens formais, estruturais e tecnológicas, bem como limitações quanto à personalização e à reprodutibilidade. 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r>
        <w:t>A fase empírica materializa a operacionalização do conhecimento gerado. Os modelos paramétricos são testados com diferentes perfis antropométricos provenientes de bases de dados públicas, e protótipos físicos são produzidos por meio de impressão 3D. Esta fase permite avaliar a integridade estrutural, a montagem, a ajustabilidade e a coerência formal, bem como verificar a consistência do sistema perante variações dimensionais.</w:t>
      </w:r>
    </w:p>
    <w:p>
      <w:pPr>
        <w:pStyle w:val="Heading3"/>
      </w:pPr>
      <w:r>
        <w:t>3.4 Métodos de recolha e análise de dados</w:t>
      </w:r>
    </w:p>
    <w:p>
      <w:pPr/>
      <w:r>
        <w:t>A investigação recorre a métodos qualitativos e experimentais, coerentes com a natureza prática do RTD. A recolha de dados realiza-se em diferentes níveis, combinando análise documental, comparação de precedentes, construção paramétrica, prototipagem iterativa e reflexão crítica sobre os resultados de cada ciclo.</w:t>
      </w:r>
    </w:p>
    <w:p>
      <w:pPr/>
      <w: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r>
        <w:t>Durante o desenvolvimento do sistema paramétrico, os dados assumem natureza técnica e projetual, incluindo parâmetros geométricos, relações dimensionais, tempos de fabrico, consumo de material e desempenho estrutural dos protótipos. Estes dados são analisados de forma iterativa, permitindo reformular o modelo paramétrico e otimizar o seu desempenho.</w:t>
      </w:r>
    </w:p>
    <w:p>
      <w:pPr/>
      <w:r>
        <w:t>Na fase de prototipagem, a análise incide sobre os critérios de exequibilidade de fabrico, robustez estrutural, coerência dimensional e facilidade de montagem.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r>
        <w:drawing>
          <wp:inline xmlns:wp="http://schemas.openxmlformats.org/drawingml/2006/wordprocessingDrawing" distT="0" distB="0" distL="0" distR="0">
            <wp:extent cx="5715000" cy="1905000"/>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pic:nvPicPr>
                  <pic:blipFill>
                    <a:blip xmlns:r="http://schemas.openxmlformats.org/officeDocument/2006/relationships" r:embed="rId12"/>
                    <a:stretch>
                      <a:fillRect/>
                    </a:stretch>
                  </pic:blipFill>
                  <pic:spPr>
                    <a:xfrm>
                      <a:off x="0" y="0"/>
                      <a:ext cx="5715000" cy="1905000"/>
                    </a:xfrm>
                    <a:prstGeom prst="rect">
                      <a:avLst/>
                    </a:prstGeom>
                  </pic:spPr>
                </pic:pic>
              </a:graphicData>
            </a:graphic>
          </wp:inline>
        </w:drawing>
      </w:r>
    </w:p>
    <w:p>
      <w:pPr/>
      <w:r>
        <w:t>Figura 3.2 — Exemplo de recolha dimensional para ajuste de prótese impressa em 3D.</w:t>
      </w:r>
    </w:p>
    <w:p>
      <w:pPr/>
      <w:r>
        <w:t>Fonte original (APA 7):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pPr>
      <w:r>
        <w:t>3.5 Critérios de avaliação e limitações metodológicas</w:t>
      </w:r>
    </w:p>
    <w:p>
      <w:pPr/>
      <w: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r>
        <w:t>No caso específico da parametrização assistida por IA, a avaliação foi organizada em dois patamares. O primeiro incidiu sobre a plausibilidade numérica das sugestões, verificando conformidade com o esquema de parâmetros, respeito pelos intervalos mínimos e máximos, proporcionalidade entre dedos, adequação etária e coerência de lateralidade em amputações unilaterais. O segundo prolongou essa verificação até à geometria exportada, testando se os valores sugeridos eram efetivamente aplicados nos modelos OpenSCAD/WebAssembly e se os ficheiros STL resultantes apresentavam escalas coerentes com os perfis antropométricos simulados. Esta separação permite distinguir a validade interna do fluxo paramétrico da validação clínica, que permanece fora do âmbito empírico desta investigação.</w:t>
      </w:r>
    </w:p>
    <w:p>
      <w:pPr/>
      <w: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e prototípico, e não como validação final de eficácia em contexto de uso.</w:t>
      </w:r>
    </w:p>
    <w:p>
      <w:pPr/>
      <w: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assistivos.</w:t>
      </w:r>
    </w:p>
    <w:p>
      <w:pPr>
        <w:pBdr>
          <w:bottom w:val="single" w:sz="6" w:space="1" w:color="808080"/>
        </w:pBdr>
      </w:pPr>
    </w:p>
    <w:p>
      <w:pPr>
        <w:pStyle w:val="Heading2"/>
      </w:pPr>
      <w:r>
        <w:t>Capítulo 4 — Desenvolvimento do Modelo Paramétrico</w:t>
      </w:r>
    </w:p>
    <w:p>
      <w:pPr>
        <w:pStyle w:val="Heading3"/>
      </w:pPr>
      <w:r>
        <w:t>4.1 Definição do problema de design e requisitos</w:t>
      </w:r>
    </w:p>
    <w:p>
      <w:pPr/>
      <w:r>
        <w:t>A definição do problema de design no desenvolvimento de próteses de membro superior é enquadrada na literatura como um desafio multiobjetivo situado na interseção entre o desempenho biomecânico, a integração humano-dispositivo e a experiência vivida do utilizador (Cordella et al., 2016 (#ref-cordella-2016); Guo, 2025 (#ref-guo-2025); Peerdeman et al., 2011 (#ref-peerdeman-2011)). O problema não pode, por isso, ser reduzido à mera replicação formal da mão ou do membro perdido. Em vez disso, trata-se de conceber dispositivos que conciliem funcionalidade, conforto, leveza, fiabilidade, controlo inteligível, aceitabilidade estética e viabilidade económica, num contexto em que continuam a registar-se taxas elevadas de rejeição e de abandono. A literatura associa estas taxas, de forma recorrente, a desconforto no encaixe, peso excessivo, limitações funcionais, baixa robustez e estratégias de controlo pouco intuitivas, revelando uma lacuna persistente entre a capacidade tecnológica e as necessidades reais de uso (Biddiss et al., 2007 (#ref-biddiss-2007); Cordella et al., 2016 (#ref-cordella-2016); Peerdeman et al., 2011 (#ref-peerdeman-2011)).</w:t>
      </w:r>
    </w:p>
    <w:p>
      <w:pPr/>
      <w:r>
        <w:t>No que respeita aos tipos de requisitos considerados, a conceção protésica integra múltiplas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de remoção e a adequação prolongada ao uso quotidiano. Ao nível técnico, definem-se parâmetros relativos a atuadores, sistemas de transmissão, sensores, estratégias de controlo, fontes de energia e seleção de materiais com propriedades mecânicas e biocompatíveis adequadas.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r>
        <w:t>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projetual (Cordella et al., 2016 (#ref-cordella-2016); Hofmann et al., 2016 (#ref-hofmann-2016); Jones et al., 2023 (#ref-jones-2023)). Em contextos paramétricos, esta operacionalização materializa-se na definição de variáveis geométricas, mecânicas e construtivas controladas por parâmetros, permitindo a geração de geometrias adaptadas a dados antropométricos e a requisitos funcionais específicos.</w:t>
      </w:r>
    </w:p>
    <w:p>
      <w:pPr/>
      <w:r>
        <w:t>Diversos enquadramentos metodológicos sustentam a especificação de requisitos em sistemas protéticos paramétricos ou fabricados digitalmente. Para além dos modelos clássicos de engenharia sistemática, observa-se uma transição clara para abordagens centradas no utilizador,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r>
        <w:t>A formalização de constrangimentos nas fases iniciais do design desempenha igualmente um papel estruturante. Constrangimentos materiais são definidos em termos de resistência, rigidez, durabilidade e compatibilidade biológica. Constrangimentos mecânicos incluem limites de torque, deformação admissível, integridade estrutural sob carga e capacidades cinemáticas mínimas para tarefas quotidianas. Constrangimentos anatómicos são integrados com base em dados antropométricos e, quando possível, na digitalização do membro residual, o que condiciona as geometrias, as interfaces e os volumes internos. Finalmente, os constrangimentos produtivos relacionam-se com as capacidades e limitações do fabrico aditivo, as tolerâncias, a orientação de impressão, o tempo de fabrico, o custo e a escalabilidade. A formalização destes limites desde as fases conceptuais permite enquadrar o processo como um exercício de otimização sob múltiplas restrições, estruturando as decisões projetuais de forma explícita e verificável (Brack &amp; Amalu, 2021 (#ref-brack-2021); Herneth et al., 2024 (#ref-herneth-2024); Jones et al., 2023 (#ref-jones-2023)).</w:t>
      </w:r>
    </w:p>
    <w:p>
      <w:pPr>
        <w:pStyle w:val="Heading3"/>
      </w:pPr>
      <w:r>
        <w:t>4.2 Parâmetros antropométricos e estrutura do modelo</w:t>
      </w:r>
    </w:p>
    <w:p>
      <w:pPr/>
      <w:r>
        <w:t>A definição e operacionalização de parâmetros antropométricos constituem um elemento central no desenvolvimento de sistemas protésicos personalizados, funcionando como a principal interface entre o corpo do utilizador e a configuração geométrica e funcional do modelo paramétrico. No contexto das próteses de membro superior, estes parâmetros não se limitam a medições isoladas, mas integram um sistema estruturado de variáveis que descrevem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forma a alimentar diretamente a lógica do modelo digital (Chatzioglou et al., 2024 (#ref-chatzioglou-2024); Moreo, 2016 (#ref-moreo-2016); Rodríguez-Vega &amp; Rodríguez-Vega, 2024 (#ref-rodriguez-vega-2024)).</w:t>
      </w:r>
    </w:p>
    <w:p>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r>
        <w:drawing>
          <wp:inline xmlns:wp="http://schemas.openxmlformats.org/drawingml/2006/wordprocessingDrawing" distT="0" distB="0" distL="0" distR="0">
            <wp:extent cx="4667250" cy="346710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pic:nvPicPr>
                  <pic:blipFill>
                    <a:blip xmlns:r="http://schemas.openxmlformats.org/officeDocument/2006/relationships" r:embed="rId13"/>
                    <a:stretch>
                      <a:fillRect/>
                    </a:stretch>
                  </pic:blipFill>
                  <pic:spPr>
                    <a:xfrm>
                      <a:off x="0" y="0"/>
                      <a:ext cx="4667250" cy="3467100"/>
                    </a:xfrm>
                    <a:prstGeom prst="rect">
                      <a:avLst/>
                    </a:prstGeom>
                  </pic:spPr>
                </pic:pic>
              </a:graphicData>
            </a:graphic>
          </wp:inline>
        </w:drawing>
      </w:r>
    </w:p>
    <w:p>
      <w:pPr/>
      <w:r>
        <w:t>Figura 4.1 — Parâmetros antropométricos utilizados na modelação paramétrica de dedos protésicos.</w:t>
      </w:r>
    </w:p>
    <w:p>
      <w:pPr/>
      <w:r>
        <w:t>Fonte original (APA 7):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do dispositivo (Chatzioglou et al., 2024 (#ref-chatzioglou-2024); Nag et al., 2003 (#ref-nag-2003)).</w:t>
      </w:r>
    </w:p>
    <w:p>
      <w:pPr/>
      <w:r>
        <w:t>Tabela 4.1 — Principais parâmetros antropométricos da mão e do membro superior relevantes para modelação paramétrica</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Mão</w:t>
            </w:r>
          </w:p>
        </w:tc>
        <w:tc>
          <w:tcPr>
            <w:tcW w:w="0" w:type="auto"/>
          </w:tcPr>
          <w:p>
            <w:pPr/>
            <w:r>
              <w:t>Comprimento da mão</w:t>
            </w:r>
          </w:p>
        </w:tc>
        <w:tc>
          <w:tcPr>
            <w:tcW w:w="0" w:type="auto"/>
          </w:tcPr>
          <w:p>
            <w:pPr/>
            <w:r>
              <w:t>Distância do punho à ponta do dedo médio</w:t>
            </w:r>
          </w:p>
        </w:tc>
        <w:tc>
          <w:tcPr>
            <w:tcW w:w="0" w:type="auto"/>
          </w:tcPr>
          <w:p>
            <w:pPr/>
            <w:r>
              <w:t>Escala global do modelo</w:t>
            </w:r>
          </w:p>
        </w:tc>
      </w:tr>
      <w:tr>
        <w:tc>
          <w:tcPr>
            <w:tcW w:w="0" w:type="auto"/>
          </w:tcPr>
          <w:p>
            <w:pPr/>
            <w:r>
              <w:t>Mão</w:t>
            </w:r>
          </w:p>
        </w:tc>
        <w:tc>
          <w:tcPr>
            <w:tcW w:w="0" w:type="auto"/>
          </w:tcPr>
          <w:p>
            <w:pPr/>
            <w:r>
              <w:t>Largura da mão</w:t>
            </w:r>
          </w:p>
        </w:tc>
        <w:tc>
          <w:tcPr>
            <w:tcW w:w="0" w:type="auto"/>
          </w:tcPr>
          <w:p>
            <w:pPr/>
            <w:r>
              <w:t>Distância entre metacarpos II e V</w:t>
            </w:r>
          </w:p>
        </w:tc>
        <w:tc>
          <w:tcPr>
            <w:tcW w:w="0" w:type="auto"/>
          </w:tcPr>
          <w:p>
            <w:pPr/>
            <w:r>
              <w:t>Definição do volume da palma</w:t>
            </w:r>
          </w:p>
        </w:tc>
      </w:tr>
      <w:tr>
        <w:tc>
          <w:tcPr>
            <w:tcW w:w="0" w:type="auto"/>
          </w:tcPr>
          <w:p>
            <w:pPr/>
            <w:r>
              <w:t>Palma</w:t>
            </w:r>
          </w:p>
        </w:tc>
        <w:tc>
          <w:tcPr>
            <w:tcW w:w="0" w:type="auto"/>
          </w:tcPr>
          <w:p>
            <w:pPr/>
            <w:r>
              <w:t>Comprimento da palma</w:t>
            </w:r>
          </w:p>
        </w:tc>
        <w:tc>
          <w:tcPr>
            <w:tcW w:w="0" w:type="auto"/>
          </w:tcPr>
          <w:p>
            <w:pPr/>
            <w:r>
              <w:t>Base do dedo médio até ao punho</w:t>
            </w:r>
          </w:p>
        </w:tc>
        <w:tc>
          <w:tcPr>
            <w:tcW w:w="0" w:type="auto"/>
          </w:tcPr>
          <w:p>
            <w:pPr/>
            <w:r>
              <w:t>Estrutura e proporção da palma</w:t>
            </w:r>
          </w:p>
        </w:tc>
      </w:tr>
      <w:tr>
        <w:tc>
          <w:tcPr>
            <w:tcW w:w="0" w:type="auto"/>
          </w:tcPr>
          <w:p>
            <w:pPr/>
            <w:r>
              <w:t>Dedos</w:t>
            </w:r>
          </w:p>
        </w:tc>
        <w:tc>
          <w:tcPr>
            <w:tcW w:w="0" w:type="auto"/>
          </w:tcPr>
          <w:p>
            <w:pPr/>
            <w:r>
              <w:t>Comprimento dos dedos</w:t>
            </w:r>
          </w:p>
        </w:tc>
        <w:tc>
          <w:tcPr>
            <w:tcW w:w="0" w:type="auto"/>
          </w:tcPr>
          <w:p>
            <w:pPr/>
            <w:r>
              <w:t>MCP até ponta</w:t>
            </w:r>
          </w:p>
        </w:tc>
        <w:tc>
          <w:tcPr>
            <w:tcW w:w="0" w:type="auto"/>
          </w:tcPr>
          <w:p>
            <w:pPr/>
            <w:r>
              <w:t>Dimensionamento funcional</w:t>
            </w:r>
          </w:p>
        </w:tc>
      </w:tr>
      <w:tr>
        <w:tc>
          <w:tcPr>
            <w:tcW w:w="0" w:type="auto"/>
          </w:tcPr>
          <w:p>
            <w:pPr/>
            <w:r>
              <w:t>Dedos</w:t>
            </w:r>
          </w:p>
        </w:tc>
        <w:tc>
          <w:tcPr>
            <w:tcW w:w="0" w:type="auto"/>
          </w:tcPr>
          <w:p>
            <w:pPr/>
            <w:r>
              <w:t>Proporções falângicas</w:t>
            </w:r>
          </w:p>
        </w:tc>
        <w:tc>
          <w:tcPr>
            <w:tcW w:w="0" w:type="auto"/>
          </w:tcPr>
          <w:p>
            <w:pPr/>
            <w:r>
              <w:t>Relação entre segmentos</w:t>
            </w:r>
          </w:p>
        </w:tc>
        <w:tc>
          <w:tcPr>
            <w:tcW w:w="0" w:type="auto"/>
          </w:tcPr>
          <w:p>
            <w:pPr/>
            <w:r>
              <w:t>Definição cinemática</w:t>
            </w:r>
          </w:p>
        </w:tc>
      </w:tr>
      <w:tr>
        <w:tc>
          <w:tcPr>
            <w:tcW w:w="0" w:type="auto"/>
          </w:tcPr>
          <w:p>
            <w:pPr/>
            <w:r>
              <w:t>Dedos</w:t>
            </w:r>
          </w:p>
        </w:tc>
        <w:tc>
          <w:tcPr>
            <w:tcW w:w="0" w:type="auto"/>
          </w:tcPr>
          <w:p>
            <w:pPr/>
            <w:r>
              <w:t>Largura/profundidade</w:t>
            </w:r>
          </w:p>
        </w:tc>
        <w:tc>
          <w:tcPr>
            <w:tcW w:w="0" w:type="auto"/>
          </w:tcPr>
          <w:p>
            <w:pPr/>
            <w:r>
              <w:t>Secção transversal</w:t>
            </w:r>
          </w:p>
        </w:tc>
        <w:tc>
          <w:tcPr>
            <w:tcW w:w="0" w:type="auto"/>
          </w:tcPr>
          <w:p>
            <w:pPr/>
            <w:r>
              <w:t>Ajuste estrutural e estético</w:t>
            </w:r>
          </w:p>
        </w:tc>
      </w:tr>
      <w:tr>
        <w:tc>
          <w:tcPr>
            <w:tcW w:w="0" w:type="auto"/>
          </w:tcPr>
          <w:p>
            <w:pPr/>
            <w:r>
              <w:t>Polegar</w:t>
            </w:r>
          </w:p>
        </w:tc>
        <w:tc>
          <w:tcPr>
            <w:tcW w:w="0" w:type="auto"/>
          </w:tcPr>
          <w:p>
            <w:pPr/>
            <w:r>
              <w:t>Comprimento e orientação</w:t>
            </w:r>
          </w:p>
        </w:tc>
        <w:tc>
          <w:tcPr>
            <w:tcW w:w="0" w:type="auto"/>
          </w:tcPr>
          <w:p>
            <w:pPr/>
            <w:r>
              <w:t>Geometria e oposição</w:t>
            </w:r>
          </w:p>
        </w:tc>
        <w:tc>
          <w:tcPr>
            <w:tcW w:w="0" w:type="auto"/>
          </w:tcPr>
          <w:p>
            <w:pPr/>
            <w:r>
              <w:t>Preensão e usabilidade</w:t>
            </w:r>
          </w:p>
        </w:tc>
      </w:tr>
      <w:tr>
        <w:tc>
          <w:tcPr>
            <w:tcW w:w="0" w:type="auto"/>
          </w:tcPr>
          <w:p>
            <w:pPr/>
            <w:r>
              <w:t>Punho</w:t>
            </w:r>
          </w:p>
        </w:tc>
        <w:tc>
          <w:tcPr>
            <w:tcW w:w="0" w:type="auto"/>
          </w:tcPr>
          <w:p>
            <w:pPr/>
            <w:r>
              <w:t>Largura/profundidade</w:t>
            </w:r>
          </w:p>
        </w:tc>
        <w:tc>
          <w:tcPr>
            <w:tcW w:w="0" w:type="auto"/>
          </w:tcPr>
          <w:p>
            <w:pPr/>
            <w:r>
              <w:t>Dimensões do punho</w:t>
            </w:r>
          </w:p>
        </w:tc>
        <w:tc>
          <w:tcPr>
            <w:tcW w:w="0" w:type="auto"/>
          </w:tcPr>
          <w:p>
            <w:pPr/>
            <w:r>
              <w:t>Interface estrutural</w:t>
            </w:r>
          </w:p>
        </w:tc>
      </w:tr>
      <w:tr>
        <w:tc>
          <w:tcPr>
            <w:tcW w:w="0" w:type="auto"/>
          </w:tcPr>
          <w:p>
            <w:pPr/>
            <w:r>
              <w:t>Antebraço</w:t>
            </w:r>
          </w:p>
        </w:tc>
        <w:tc>
          <w:tcPr>
            <w:tcW w:w="0" w:type="auto"/>
          </w:tcPr>
          <w:p>
            <w:pPr/>
            <w:r>
              <w:t>Circunferência/comprimento residual</w:t>
            </w:r>
          </w:p>
        </w:tc>
        <w:tc>
          <w:tcPr>
            <w:tcW w:w="0" w:type="auto"/>
          </w:tcPr>
          <w:p>
            <w:pPr/>
            <w:r>
              <w:t>Medidas do membro residual</w:t>
            </w:r>
          </w:p>
        </w:tc>
        <w:tc>
          <w:tcPr>
            <w:tcW w:w="0" w:type="auto"/>
          </w:tcPr>
          <w:p>
            <w:pPr/>
            <w:r>
              <w:t>Ajuste do encaixe</w:t>
            </w:r>
          </w:p>
        </w:tc>
      </w:tr>
    </w:tbl>
    <w:p>
      <w:pPr>
        <w:pStyle w:val="Heading3"/>
      </w:pPr>
      <w:r>
        <w:t>Conjuntos mínimos de parâmetros por nível de amputação</w:t>
      </w:r>
    </w:p>
    <w:p>
      <w:pPr/>
      <w:r>
        <w:t>A definição de um conjunto mínimo de parâmetros antropométricos depende diretamente do nível de amputação, uma vez que diferentes configurações protésicas exigem graus distintos de detalhe. Em termos práticos, reduzir o número de medições necessárias é importante para viabilizar processos de personalização mais escaláveis, sobretudo quando a recolha de dados ocorre fora de contextos clínicos altamente especializados (Moreo, 2016 (#ref-moreo-2016); Romero et al., 2025 (#ref-da-silveira-romero-2025)).</w:t>
      </w:r>
    </w:p>
    <w:p>
      <w:pPr/>
      <w:r>
        <w:t>Tabela 4.2 — Conjuntos mínimos de parâmetros por nível de amputação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Transradial (abaixo do cotovelo)</w:t>
            </w:r>
          </w:p>
        </w:tc>
        <w:tc>
          <w:tcPr>
            <w:tcW w:w="0" w:type="auto"/>
          </w:tcPr>
          <w:p>
            <w:pPr/>
            <w:r>
              <w:t>Comprimento do membro residual, circunferência do antebraço, largura do punho</w:t>
            </w:r>
          </w:p>
        </w:tc>
      </w:tr>
      <w:tr>
        <w:tc>
          <w:tcPr>
            <w:tcW w:w="0" w:type="auto"/>
          </w:tcPr>
          <w:p>
            <w:pPr/>
            <w:r>
              <w:t>Desarticulação do punho</w:t>
            </w:r>
          </w:p>
        </w:tc>
        <w:tc>
          <w:tcPr>
            <w:tcW w:w="0" w:type="auto"/>
          </w:tcPr>
          <w:p>
            <w:pPr/>
            <w:r>
              <w:t>Largura e profundidade do punho, comprimento da mão</w:t>
            </w:r>
          </w:p>
        </w:tc>
      </w:tr>
      <w:tr>
        <w:tc>
          <w:tcPr>
            <w:tcW w:w="0" w:type="auto"/>
          </w:tcPr>
          <w:p>
            <w:pPr/>
            <w:r>
              <w:t>Parcial da mão</w:t>
            </w:r>
          </w:p>
        </w:tc>
        <w:tc>
          <w:tcPr>
            <w:tcW w:w="0" w:type="auto"/>
          </w:tcPr>
          <w:p>
            <w:pPr/>
            <w:r>
              <w:t>Comprimento da palma, dimensões dos dedos remanescentes</w:t>
            </w:r>
          </w:p>
        </w:tc>
      </w:tr>
      <w:tr>
        <w:tc>
          <w:tcPr>
            <w:tcW w:w="0" w:type="auto"/>
          </w:tcPr>
          <w:p>
            <w:pPr/>
            <w:r>
              <w:t>Dedos (parcial)</w:t>
            </w:r>
          </w:p>
        </w:tc>
        <w:tc>
          <w:tcPr>
            <w:tcW w:w="0" w:type="auto"/>
          </w:tcPr>
          <w:p>
            <w:pPr/>
            <w:r>
              <w:t>Comprimento e largura do dedo, proporções falângicas</w:t>
            </w:r>
          </w:p>
        </w:tc>
      </w:tr>
      <w:tr>
        <w:tc>
          <w:tcPr>
            <w:tcW w:w="0" w:type="auto"/>
          </w:tcPr>
          <w:p>
            <w:pPr/>
            <w:r>
              <w:t>Mão completa (cosmética/funcional)</w:t>
            </w:r>
          </w:p>
        </w:tc>
        <w:tc>
          <w:tcPr>
            <w:tcW w:w="0" w:type="auto"/>
          </w:tcPr>
          <w:p>
            <w:pPr/>
            <w:r>
              <w:t>Comprimento da mão, largura da palma, comprimento dos dedos</w:t>
            </w:r>
          </w:p>
        </w:tc>
      </w:tr>
    </w:tbl>
    <w:p>
      <w:pPr/>
      <w:r>
        <w:t>Esta abordagem permite estruturar o sistema paramétrico com base em entradas (inputs) essenciais, reduzindo a complexidade sem comprometer a funcionalidade. Importa, contudo, distinguir entre parâmetros mínimos de configuração e parâmetros de refinamento: os primeiros permitem gerar uma instância funcional do modelo; os segundos melhoram o ajuste, a coerência proporcional ou o desempenho cinemático quando há dados adicionais disponíveis.</w:t>
      </w:r>
    </w:p>
    <w:p>
      <w:pPr>
        <w:pStyle w:val="Heading3"/>
      </w:pPr>
      <w:r>
        <w:t>Limitações do escalonamento uniforme</w:t>
      </w:r>
    </w:p>
    <w:p>
      <w:pPr/>
      <w:r>
        <w:t>Uma limitação recorrente em abordagens simplificadas de modelação é o uso de escalonamento uniforme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parâmetros independentes e a possibilidade de derivar proporções locais sem pressupor homotetia global do modelo (Lim et al., 2018 (#ref-lim-2018); Nag et al., 2003 (#ref-nag-2003); Rodríguez-Vega &amp; Rodríguez-Vega, 2024 (#ref-rodriguez-vega-2024)).</w:t>
      </w:r>
    </w:p>
    <w:p>
      <w:pPr/>
      <w: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r>
        <w:drawing>
          <wp:inline xmlns:wp="http://schemas.openxmlformats.org/drawingml/2006/wordprocessingDrawing" distT="0" distB="0" distL="0" distR="0">
            <wp:extent cx="5715000" cy="2705100"/>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xmlns:r="http://schemas.openxmlformats.org/officeDocument/2006/relationships" r:embed="rId14"/>
                    <a:stretch>
                      <a:fillRect/>
                    </a:stretch>
                  </pic:blipFill>
                  <pic:spPr>
                    <a:xfrm>
                      <a:off x="0" y="0"/>
                      <a:ext cx="5715000" cy="2705100"/>
                    </a:xfrm>
                    <a:prstGeom prst="rect">
                      <a:avLst/>
                    </a:prstGeom>
                  </pic:spPr>
                </pic:pic>
              </a:graphicData>
            </a:graphic>
          </wp:inline>
        </w:drawing>
      </w:r>
    </w:p>
    <w:p>
      <w:pPr/>
      <w:r>
        <w:t>Figura 4.2 — Comparação entre o escalonamento uniforme e a modelação paramétrica de dedo protésico.</w:t>
      </w:r>
    </w:p>
    <w:p>
      <w:pPr/>
      <w:r>
        <w:t>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Heading3"/>
      </w:pPr>
      <w:r>
        <w:t>Métodos de recolha de dados antropométricos</w:t>
      </w:r>
    </w:p>
    <w:p>
      <w:pPr/>
      <w:r>
        <w:t>A recolha de dados pode ser realizada por diferentes métodos, com implicações diretas na precisão e na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tipo de dado necessário (Çıklaçandır et al., 2022 (#ref-cklacandr-2022); Herbst et al., 2021 (#ref-herbst-2021)).</w:t>
      </w:r>
    </w:p>
    <w:p>
      <w:pPr/>
      <w:r>
        <w:t>Tabela 4.3 — Métodos de recolha de dados antropométricos e suas características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Medição manual</w:t>
            </w:r>
          </w:p>
        </w:tc>
        <w:tc>
          <w:tcPr>
            <w:tcW w:w="0" w:type="auto"/>
          </w:tcPr>
          <w:p>
            <w:pPr/>
            <w:r>
              <w:t>Dimensões lineares</w:t>
            </w:r>
          </w:p>
        </w:tc>
        <w:tc>
          <w:tcPr>
            <w:tcW w:w="0" w:type="auto"/>
          </w:tcPr>
          <w:p>
            <w:pPr/>
            <w:r>
              <w:t>Simplicidade, baixo custo</w:t>
            </w:r>
          </w:p>
        </w:tc>
        <w:tc>
          <w:tcPr>
            <w:tcW w:w="0" w:type="auto"/>
          </w:tcPr>
          <w:p>
            <w:pPr/>
            <w:r>
              <w:t>Representação geométrica limitada</w:t>
            </w:r>
          </w:p>
        </w:tc>
        <w:tc>
          <w:tcPr>
            <w:tcW w:w="0" w:type="auto"/>
          </w:tcPr>
          <w:p>
            <w:pPr/>
            <w:r>
              <w:t>Parametrização básica</w:t>
            </w:r>
          </w:p>
        </w:tc>
      </w:tr>
      <w:tr>
        <w:tc>
          <w:tcPr>
            <w:tcW w:w="0" w:type="auto"/>
          </w:tcPr>
          <w:p>
            <w:pPr/>
            <w:r>
              <w:t>Digitalização 3D</w:t>
            </w:r>
          </w:p>
        </w:tc>
        <w:tc>
          <w:tcPr>
            <w:tcW w:w="0" w:type="auto"/>
          </w:tcPr>
          <w:p>
            <w:pPr/>
            <w:r>
              <w:t>Geometria superficial</w:t>
            </w:r>
          </w:p>
        </w:tc>
        <w:tc>
          <w:tcPr>
            <w:tcW w:w="0" w:type="auto"/>
          </w:tcPr>
          <w:p>
            <w:pPr/>
            <w:r>
              <w:t>Elevada precisão, rapidez</w:t>
            </w:r>
          </w:p>
        </w:tc>
        <w:tc>
          <w:tcPr>
            <w:tcW w:w="0" w:type="auto"/>
          </w:tcPr>
          <w:p>
            <w:pPr/>
            <w:r>
              <w:t>Equipamento e processamento necessários</w:t>
            </w:r>
          </w:p>
        </w:tc>
        <w:tc>
          <w:tcPr>
            <w:tcW w:w="0" w:type="auto"/>
          </w:tcPr>
          <w:p>
            <w:pPr/>
            <w:r>
              <w:t>Encaixe e forma</w:t>
            </w:r>
          </w:p>
        </w:tc>
      </w:tr>
      <w:tr>
        <w:tc>
          <w:tcPr>
            <w:tcW w:w="0" w:type="auto"/>
          </w:tcPr>
          <w:p>
            <w:pPr/>
            <w:r>
              <w:t>Imagiologia médica</w:t>
            </w:r>
          </w:p>
        </w:tc>
        <w:tc>
          <w:tcPr>
            <w:tcW w:w="0" w:type="auto"/>
          </w:tcPr>
          <w:p>
            <w:pPr/>
            <w:r>
              <w:t>Estrutura interna e externa</w:t>
            </w:r>
          </w:p>
        </w:tc>
        <w:tc>
          <w:tcPr>
            <w:tcW w:w="0" w:type="auto"/>
          </w:tcPr>
          <w:p>
            <w:pPr/>
            <w:r>
              <w:t>Dados anatómicos detalhados</w:t>
            </w:r>
          </w:p>
        </w:tc>
        <w:tc>
          <w:tcPr>
            <w:tcW w:w="0" w:type="auto"/>
          </w:tcPr>
          <w:p>
            <w:pPr/>
            <w:r>
              <w:t>Alto custo e menor acessibilidade</w:t>
            </w:r>
          </w:p>
        </w:tc>
        <w:tc>
          <w:tcPr>
            <w:tcW w:w="0" w:type="auto"/>
          </w:tcPr>
          <w:p>
            <w:pPr/>
            <w:r>
              <w:t>Modelação biomecânica</w:t>
            </w:r>
          </w:p>
        </w:tc>
      </w:tr>
      <w:tr>
        <w:tc>
          <w:tcPr>
            <w:tcW w:w="0" w:type="auto"/>
          </w:tcPr>
          <w:p>
            <w:pPr/>
            <w:r>
              <w:t>Fotogrametria</w:t>
            </w:r>
          </w:p>
        </w:tc>
        <w:tc>
          <w:tcPr>
            <w:tcW w:w="0" w:type="auto"/>
          </w:tcPr>
          <w:p>
            <w:pPr/>
            <w:r>
              <w:t>Geometria aproximada</w:t>
            </w:r>
          </w:p>
        </w:tc>
        <w:tc>
          <w:tcPr>
            <w:tcW w:w="0" w:type="auto"/>
          </w:tcPr>
          <w:p>
            <w:pPr/>
            <w:r>
              <w:t>Acessível, potencial remoto</w:t>
            </w:r>
          </w:p>
        </w:tc>
        <w:tc>
          <w:tcPr>
            <w:tcW w:w="0" w:type="auto"/>
          </w:tcPr>
          <w:p>
            <w:pPr/>
            <w:r>
              <w:t>Precisão variável</w:t>
            </w:r>
          </w:p>
        </w:tc>
        <w:tc>
          <w:tcPr>
            <w:tcW w:w="0" w:type="auto"/>
          </w:tcPr>
          <w:p>
            <w:pPr/>
            <w:r>
              <w:t>Aquisição preliminar</w:t>
            </w:r>
          </w:p>
        </w:tc>
      </w:tr>
    </w:tbl>
    <w:p>
      <w:pPr>
        <w:pStyle w:val="Heading3"/>
      </w:pPr>
      <w:r>
        <w:t>Bases de dados antropométricas, extração e normalização</w:t>
      </w:r>
    </w:p>
    <w:p>
      <w:pPr/>
      <w: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legível.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r>
        <w:t>Tabela 4.4 — Fontes integradas na base local de dados antropométricos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Fonte</w:t>
            </w:r>
          </w:p>
        </w:tc>
        <w:tc>
          <w:tcPr>
            <w:tcW w:w="0" w:type="auto"/>
          </w:tcPr>
          <w:p>
            <w:pPr/>
            <w:r>
              <w:t>População e cobertura</w:t>
            </w:r>
          </w:p>
        </w:tc>
        <w:tc>
          <w:tcPr>
            <w:tcW w:w="0" w:type="auto"/>
          </w:tcPr>
          <w:p>
            <w:pPr/>
            <w:r>
              <w:t>Dados extraídos</w:t>
            </w:r>
          </w:p>
        </w:tc>
        <w:tc>
          <w:tcPr>
            <w:tcW w:w="0" w:type="auto"/>
          </w:tcPr>
          <w:p>
            <w:pPr/>
            <w:r>
              <w:t>Registos</w:t>
            </w:r>
          </w:p>
        </w:tc>
      </w:tr>
      <w:tr>
        <w:tc>
          <w:tcPr>
            <w:tcW w:w="0" w:type="auto"/>
          </w:tcPr>
          <w:p>
            <w:pPr/>
            <w:r>
              <w:t>DINED kima1993, TU Delft</w:t>
            </w:r>
          </w:p>
        </w:tc>
        <w:tc>
          <w:tcPr>
            <w:tcW w:w="0" w:type="auto"/>
          </w:tcPr>
          <w:p>
            <w:pPr/>
            <w:r>
              <w:t>Crianças neerlandesas, 2–12 anos</w:t>
            </w:r>
          </w:p>
        </w:tc>
        <w:tc>
          <w:tcPr>
            <w:tcW w:w="0" w:type="auto"/>
          </w:tcPr>
          <w:p>
            <w:pPr/>
            <w:r>
              <w:t>Médias e desvios-padrão de medições da mão por idade e sexo</w:t>
            </w:r>
          </w:p>
        </w:tc>
        <w:tc>
          <w:tcPr>
            <w:tcW w:w="0" w:type="auto"/>
          </w:tcPr>
          <w:p>
            <w:pPr/>
            <w:r>
              <w:t>528</w:t>
            </w:r>
          </w:p>
        </w:tc>
      </w:tr>
      <w:tr>
        <w:tc>
          <w:tcPr>
            <w:tcW w:w="0" w:type="auto"/>
          </w:tcPr>
          <w:p>
            <w:pPr/>
            <w:r>
              <w:t>DINED geron1998, TU Delft</w:t>
            </w:r>
          </w:p>
        </w:tc>
        <w:tc>
          <w:tcPr>
            <w:tcW w:w="0" w:type="auto"/>
          </w:tcPr>
          <w:p>
            <w:pPr/>
            <w:r>
              <w:t>Idosos neerlandeses, 50–80+ anos</w:t>
            </w:r>
          </w:p>
        </w:tc>
        <w:tc>
          <w:tcPr>
            <w:tcW w:w="0" w:type="auto"/>
          </w:tcPr>
          <w:p>
            <w:pPr/>
            <w:r>
              <w:t>Médias e desvios-padrão de medições da mão por grupos etários</w:t>
            </w:r>
          </w:p>
        </w:tc>
        <w:tc>
          <w:tcPr>
            <w:tcW w:w="0" w:type="auto"/>
          </w:tcPr>
          <w:p>
            <w:pPr/>
            <w:r>
              <w:t>210</w:t>
            </w:r>
          </w:p>
        </w:tc>
      </w:tr>
      <w:tr>
        <w:tc>
          <w:tcPr>
            <w:tcW w:w="0" w:type="auto"/>
          </w:tcPr>
          <w:p>
            <w:pPr/>
            <w:r>
              <w:t>DINED dined2004, TU Delft</w:t>
            </w:r>
          </w:p>
        </w:tc>
        <w:tc>
          <w:tcPr>
            <w:tcW w:w="0" w:type="auto"/>
          </w:tcPr>
          <w:p>
            <w:pPr/>
            <w:r>
              <w:t>Adultos neerlandeses, 20–60+ anos</w:t>
            </w:r>
          </w:p>
        </w:tc>
        <w:tc>
          <w:tcPr>
            <w:tcW w:w="0" w:type="auto"/>
          </w:tcPr>
          <w:p>
            <w:pPr/>
            <w:r>
              <w:t>Médias e desvios-padrão de medições da mão por sexo e idade</w:t>
            </w:r>
          </w:p>
        </w:tc>
        <w:tc>
          <w:tcPr>
            <w:tcW w:w="0" w:type="auto"/>
          </w:tcPr>
          <w:p>
            <w:pPr/>
            <w:r>
              <w:t>114</w:t>
            </w:r>
          </w:p>
        </w:tc>
      </w:tr>
      <w:tr>
        <w:tc>
          <w:tcPr>
            <w:tcW w:w="0" w:type="auto"/>
          </w:tcPr>
          <w:p>
            <w:pPr/>
            <w:r>
              <w:t>Rodríguez-Vega e Rodríguez-Vega (2024)</w:t>
            </w:r>
          </w:p>
        </w:tc>
        <w:tc>
          <w:tcPr>
            <w:tcW w:w="0" w:type="auto"/>
          </w:tcPr>
          <w:p>
            <w:pPr/>
            <w:r>
              <w:t>População mexicana, 15–59 anos</w:t>
            </w:r>
          </w:p>
        </w:tc>
        <w:tc>
          <w:tcPr>
            <w:tcW w:w="0" w:type="auto"/>
          </w:tcPr>
          <w:p>
            <w:pPr/>
            <w:r>
              <w:t>Comprimento da mão, comprimento da palma, largura da mão e diâmetro de preensão, com valores gerais e por grupos etários</w:t>
            </w:r>
          </w:p>
        </w:tc>
        <w:tc>
          <w:tcPr>
            <w:tcW w:w="0" w:type="auto"/>
          </w:tcPr>
          <w:p>
            <w:pPr/>
            <w:r>
              <w:t>360</w:t>
            </w:r>
          </w:p>
        </w:tc>
      </w:tr>
      <w:tr>
        <w:tc>
          <w:tcPr>
            <w:tcW w:w="0" w:type="auto"/>
          </w:tcPr>
          <w:p>
            <w:pPr/>
            <w:r>
              <w:t>Nag et al. (2003)</w:t>
            </w:r>
          </w:p>
        </w:tc>
        <w:tc>
          <w:tcPr>
            <w:tcW w:w="0" w:type="auto"/>
          </w:tcPr>
          <w:p>
            <w:pPr/>
            <w:r>
              <w:t>Mulheres indianas trabalhadoras</w:t>
            </w:r>
          </w:p>
        </w:tc>
        <w:tc>
          <w:tcPr>
            <w:tcW w:w="0" w:type="auto"/>
          </w:tcPr>
          <w:p>
            <w:pPr/>
            <w:r>
              <w:t>51 dimensões da mão, incluindo comprimentos, larguras, circunferências, profundidades e aberturas</w:t>
            </w:r>
          </w:p>
        </w:tc>
        <w:tc>
          <w:tcPr>
            <w:tcW w:w="0" w:type="auto"/>
          </w:tcPr>
          <w:p>
            <w:pPr/>
            <w:r>
              <w:t>255</w:t>
            </w:r>
          </w:p>
        </w:tc>
      </w:tr>
      <w:tr>
        <w:tc>
          <w:tcPr>
            <w:tcW w:w="0" w:type="auto"/>
          </w:tcPr>
          <w:p>
            <w:pPr/>
            <w:r>
              <w:t>Gordon et al. (2015)</w:t>
            </w:r>
          </w:p>
        </w:tc>
        <w:tc>
          <w:tcPr>
            <w:tcW w:w="0" w:type="auto"/>
          </w:tcPr>
          <w:p>
            <w:pPr/>
            <w:r>
              <w:t>Militares norte-americanos do ANSUR II</w:t>
            </w:r>
          </w:p>
        </w:tc>
        <w:tc>
          <w:tcPr>
            <w:tcW w:w="0" w:type="auto"/>
          </w:tcPr>
          <w:p>
            <w:pPr/>
            <w:r>
              <w:t>Medições da mão, punho e antebraço extraídas das estatísticas públicas do inquérito</w:t>
            </w:r>
          </w:p>
        </w:tc>
        <w:tc>
          <w:tcPr>
            <w:tcW w:w="0" w:type="auto"/>
          </w:tcPr>
          <w:p>
            <w:pPr/>
            <w:r>
              <w:t>154</w:t>
            </w:r>
          </w:p>
        </w:tc>
      </w:tr>
      <w:tr>
        <w:tc>
          <w:tcPr>
            <w:tcW w:w="0" w:type="auto"/>
          </w:tcPr>
          <w:p>
            <w:pPr/>
            <w:r>
              <w:t>Chatzioglou et al. (2024)</w:t>
            </w:r>
          </w:p>
        </w:tc>
        <w:tc>
          <w:tcPr>
            <w:tcW w:w="0" w:type="auto"/>
          </w:tcPr>
          <w:p>
            <w:pPr/>
            <w:r>
              <w:t>Jovens adultos da Turquia</w:t>
            </w:r>
          </w:p>
        </w:tc>
        <w:tc>
          <w:tcPr>
            <w:tcW w:w="0" w:type="auto"/>
          </w:tcPr>
          <w:p>
            <w:pPr/>
            <w:r>
              <w:t>Comprimentos dos cinco dedos da mão direita, por sexo e combinado</w:t>
            </w:r>
          </w:p>
        </w:tc>
        <w:tc>
          <w:tcPr>
            <w:tcW w:w="0" w:type="auto"/>
          </w:tcPr>
          <w:p>
            <w:pPr/>
            <w:r>
              <w:t>56</w:t>
            </w:r>
          </w:p>
        </w:tc>
      </w:tr>
      <w:tr>
        <w:tc>
          <w:tcPr>
            <w:tcW w:w="0" w:type="auto"/>
          </w:tcPr>
          <w:p>
            <w:pPr/>
            <w:r>
              <w:t>Hu et al. (2007)</w:t>
            </w:r>
          </w:p>
        </w:tc>
        <w:tc>
          <w:tcPr>
            <w:tcW w:w="0" w:type="auto"/>
          </w:tcPr>
          <w:p>
            <w:pPr/>
            <w:r>
              <w:t>Idosos chineses da área de Pequim</w:t>
            </w:r>
          </w:p>
        </w:tc>
        <w:tc>
          <w:tcPr>
            <w:tcW w:w="0" w:type="auto"/>
          </w:tcPr>
          <w:p>
            <w:pPr/>
            <w:r>
              <w:t>Larguras, comprimento da mão, comprimento do dedo e comprimento antebraço-ponta dos dedos</w:t>
            </w:r>
          </w:p>
        </w:tc>
        <w:tc>
          <w:tcPr>
            <w:tcW w:w="0" w:type="auto"/>
          </w:tcPr>
          <w:p>
            <w:pPr/>
            <w:r>
              <w:t>50</w:t>
            </w:r>
          </w:p>
        </w:tc>
      </w:tr>
      <w:tr>
        <w:tc>
          <w:tcPr>
            <w:tcW w:w="0" w:type="auto"/>
          </w:tcPr>
          <w:p>
            <w:pPr/>
            <w:r>
              <w:t>Ibiwari et al. (2025)</w:t>
            </w:r>
          </w:p>
        </w:tc>
        <w:tc>
          <w:tcPr>
            <w:tcW w:w="0" w:type="auto"/>
          </w:tcPr>
          <w:p>
            <w:pPr/>
            <w:r>
              <w:t>Atletas universitários da Nigéria</w:t>
            </w:r>
          </w:p>
        </w:tc>
        <w:tc>
          <w:tcPr>
            <w:tcW w:w="0" w:type="auto"/>
          </w:tcPr>
          <w:p>
            <w:pPr/>
            <w:r>
              <w:t>Comprimento da mão, largura da mão, comprimento palmar e 3.º dedo, por modalidade e sexo</w:t>
            </w:r>
          </w:p>
        </w:tc>
        <w:tc>
          <w:tcPr>
            <w:tcW w:w="0" w:type="auto"/>
          </w:tcPr>
          <w:p>
            <w:pPr/>
            <w:r>
              <w:t>32</w:t>
            </w:r>
          </w:p>
        </w:tc>
      </w:tr>
      <w:tr>
        <w:tc>
          <w:tcPr>
            <w:tcW w:w="0" w:type="auto"/>
          </w:tcPr>
          <w:p>
            <w:pPr/>
            <w:r>
              <w:t>Anacleto Filho et al. (2023)</w:t>
            </w:r>
          </w:p>
        </w:tc>
        <w:tc>
          <w:tcPr>
            <w:tcW w:w="0" w:type="auto"/>
          </w:tcPr>
          <w:p>
            <w:pPr/>
            <w:r>
              <w:t>Trabalhadores industriais portugueses</w:t>
            </w:r>
          </w:p>
        </w:tc>
        <w:tc>
          <w:tcPr>
            <w:tcW w:w="0" w:type="auto"/>
          </w:tcPr>
          <w:p>
            <w:pPr/>
            <w:r>
              <w:t>Comprimento e largura da mão, por sexo</w:t>
            </w:r>
          </w:p>
        </w:tc>
        <w:tc>
          <w:tcPr>
            <w:tcW w:w="0" w:type="auto"/>
          </w:tcPr>
          <w:p>
            <w:pPr/>
            <w:r>
              <w:t>20</w:t>
            </w:r>
          </w:p>
        </w:tc>
      </w:tr>
      <w:tr>
        <w:tc>
          <w:tcPr>
            <w:tcW w:w="0" w:type="auto"/>
          </w:tcPr>
          <w:p>
            <w:pPr/>
            <w:r>
              <w:t>Mistarihi (2020)</w:t>
            </w:r>
          </w:p>
        </w:tc>
        <w:tc>
          <w:tcPr>
            <w:tcW w:w="0" w:type="auto"/>
          </w:tcPr>
          <w:p>
            <w:pPr/>
            <w:r>
              <w:t>Trabalhadores com deficiência física na Jordânia</w:t>
            </w:r>
          </w:p>
        </w:tc>
        <w:tc>
          <w:tcPr>
            <w:tcW w:w="0" w:type="auto"/>
          </w:tcPr>
          <w:p>
            <w:pPr/>
            <w:r>
              <w:t>Comprimento da mão, largura da mão e comprimento cotovelo-ponta dos dedos</w:t>
            </w:r>
          </w:p>
        </w:tc>
        <w:tc>
          <w:tcPr>
            <w:tcW w:w="0" w:type="auto"/>
          </w:tcPr>
          <w:p>
            <w:pPr/>
            <w:r>
              <w:t>9</w:t>
            </w:r>
          </w:p>
        </w:tc>
      </w:tr>
      <w:tr>
        <w:tc>
          <w:tcPr>
            <w:tcW w:w="0" w:type="auto"/>
          </w:tcPr>
          <w:p>
            <w:pPr/>
            <w:r>
              <w:t>Lim et al. (2018)</w:t>
            </w:r>
          </w:p>
        </w:tc>
        <w:tc>
          <w:tcPr>
            <w:tcW w:w="0" w:type="auto"/>
          </w:tcPr>
          <w:p>
            <w:pPr/>
            <w:r>
              <w:t>Adultos jovens nos EUA</w:t>
            </w:r>
          </w:p>
        </w:tc>
        <w:tc>
          <w:tcPr>
            <w:tcW w:w="0" w:type="auto"/>
          </w:tcPr>
          <w:p>
            <w:pPr/>
            <w:r>
              <w:t>Comprimento e largura do dedo indicador para customização de dedo protésico</w:t>
            </w:r>
          </w:p>
        </w:tc>
        <w:tc>
          <w:tcPr>
            <w:tcW w:w="0" w:type="auto"/>
          </w:tcPr>
          <w:p>
            <w:pPr/>
            <w:r>
              <w:t>2</w:t>
            </w:r>
          </w:p>
        </w:tc>
      </w:tr>
    </w:tbl>
    <w:p>
      <w:pPr/>
      <w: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r>
        <w:t>A opção pelo formato longo foi deliberada. Em vez de criar uma linha por dimensão com colunas fixas para média, desvio-padrão e percentis, cada estatística foi registada como uma linha própria. Assim, uma mesma dimensão pode originar várias linhas para média, desvio-padrão, P5, P50, P95, mínimo ou máximo. Este formato facilita a integração de fontes incompletas, porque nem todos os estudos reportam o mesmo conjunto de estatísticas. Na base atual, existem 612 médias, 609 desvios-padrão, 513 percentis, 28 mínimos e 28 máximos. Esta assimetria é metodologicamente relevante: os datasets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r>
        <w:t>As principais dificuldades encontradas dizem respeito à heterogeneidade dos protocolos. A expressão “comprimento da mão”, por exemplo, nem sempre corresponde ao mesmo trajeto anatómico: alguns estudos usam a prega do punho, outros o processo estilóide, e outros definem o comprimento a partir de marcos funcionais da palma. Do mesmo modo, há estudos que medem a mão direita, outros a mão dominante, e o estudo português mede a mão esquerda por constrangimentos de recolha (Anacleto Filho et al., 2023 (#ref-anacleto-filho-2023)). Estas diferenças impedem tratar todas as entradas como equivalentes diretas e justificam o registo explícito do protocolo de medição. A base não apaga a heterogeneidade; torna-a explícita para que o modelo paramétrico possa usar os dados de forma informada.</w:t>
      </w:r>
    </w:p>
    <w:p>
      <w:pPr/>
      <w:r>
        <w:t>Houve também dificuldades de granularidade e representatividade. Algumas fontes são estatisticamente fortes, mas pouco específicas para a mão; outras são ricas em medidas da mão, mas limitadas a uma população muito particular. Nag et al. (2003), por exemplo, fornece uma cobertura dimensional muito detalhada, mas apenas para mulheres indianas trabalhadoras. Rodríguez-Vega e Rodríguez-Vega (2024) oferecem uma amostra mexicana numerosa e grupos etários úteis, mas concentram-se em quatro dimensões principais. Ibiwari et al. (2025) acrescenta dados africanos, mas a amostra é composta por atletas universitários, não por população geral. Mistarihi (2020) é relevante por incluir trabalhadores com deficiência física, mas apresenta poucos registos, sem desagregação suficiente por sexo. Estes casos foram mantidos porque aumentam a diversidade de referência, mas as suas limitações foram registadas nos metadados da população, da dimensão amostral e da qualidade do dado.</w:t>
      </w:r>
    </w:p>
    <w:p>
      <w:pPr/>
      <w:r>
        <w:t>Em sentido inverso, algumas fontes facilitaram a extração. As tabelas com percentis claros, unidades explícitas e separação por sexo ou idade permitiram codificação direta e maior confiança. A estrutura HTML da DINED facilitou a recuperação sistemática de médias e desvios-padrão por sub-base, sexo e grupo etário, embora não disponibilize percentis na mesma interface. 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militares, crianças neerlandesas ou idosos chineses não representam automaticamente utilizadores com amputação de membro superior.</w:t>
      </w:r>
    </w:p>
    <w:p>
      <w:pPr/>
      <w:r>
        <w:t>As decisões de normalização seguiram quatro princípios. Primeiro, todas as unidades foram convertidas para milímetros, centímetros e polegadas, mantendo uma unidade-fonte única para evitar conversões ambíguas no momento de utilização. Segundo, valores provenientes de subgrupos muito pequenos, figuras em vez de tabelas, desvios-padrão atípicos ou definições anatómicas incertas foram preservados, mas assinalados em notas de qualidade, em vez de serem eliminados sem rasto. Terceiro, as medidas foram agrupadas por região corporal, para distinguir dimensões diretamente ligadas à geometria da mão de dimensões úteis apenas para a interface com o punho ou antebraço. Quarto, os dados foram tratados como referências paramétricas e não como prescrições dimensionais finais.</w:t>
      </w:r>
    </w:p>
    <w:p>
      <w:pPr/>
      <w:r>
        <w:t>Esta base faz sentido para o projeto porque responde a uma necessidade específica do modelo desenvolvido: transformar uma discussão genérica sobre personalização em intervalos, relações e restrições utilizáveis. O modelo precisa de saber que medidas são recorrentes na literatura, que variações são plausíveis entre populações, que dimensões podem servir como entradas mínimas e onde o escalonamento uniforme se torna arriscado. A base local permite comparar comprimento da mão, largura da palma, comprimentos digitais, dimensões do punho e relações com o antebraço de forma rastreável. Por isso, ela sustenta a passagem entre o enquadramento antropométrico e a modelação em OpenSCAD: os dados não geram a prótese por si só, mas delimitam o espaço de variação no qual o modelo pode operar com maior coerência.</w:t>
      </w:r>
    </w:p>
    <w:p>
      <w:pPr/>
      <w: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pPr>
      <w:r>
        <w:t>Estrutura paramétrica e mapeamento de parâmetros</w:t>
      </w:r>
    </w:p>
    <w:p>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r>
        <w:t>Tabela 4.5 — Estrutura hierárquica dos parâmetros no modelo paramétrico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Primários</w:t>
            </w:r>
          </w:p>
        </w:tc>
        <w:tc>
          <w:tcPr>
            <w:tcW w:w="0" w:type="auto"/>
          </w:tcPr>
          <w:p>
            <w:pPr/>
            <w:r>
              <w:t>Comprimento da mão, largura da palma</w:t>
            </w:r>
          </w:p>
        </w:tc>
        <w:tc>
          <w:tcPr>
            <w:tcW w:w="0" w:type="auto"/>
          </w:tcPr>
          <w:p>
            <w:pPr/>
            <w:r>
              <w:t>Input direto</w:t>
            </w:r>
          </w:p>
        </w:tc>
        <w:tc>
          <w:tcPr>
            <w:tcW w:w="0" w:type="auto"/>
          </w:tcPr>
          <w:p>
            <w:pPr/>
            <w:r>
              <w:t>Independentes</w:t>
            </w:r>
          </w:p>
        </w:tc>
      </w:tr>
      <w:tr>
        <w:tc>
          <w:tcPr>
            <w:tcW w:w="0" w:type="auto"/>
          </w:tcPr>
          <w:p>
            <w:pPr/>
            <w:r>
              <w:t>Derivados</w:t>
            </w:r>
          </w:p>
        </w:tc>
        <w:tc>
          <w:tcPr>
            <w:tcW w:w="0" w:type="auto"/>
          </w:tcPr>
          <w:p>
            <w:pPr/>
            <w:r>
              <w:t>Proporções das falanges</w:t>
            </w:r>
          </w:p>
        </w:tc>
        <w:tc>
          <w:tcPr>
            <w:tcW w:w="0" w:type="auto"/>
          </w:tcPr>
          <w:p>
            <w:pPr/>
            <w:r>
              <w:t>Construção geométrica</w:t>
            </w:r>
          </w:p>
        </w:tc>
        <w:tc>
          <w:tcPr>
            <w:tcW w:w="0" w:type="auto"/>
          </w:tcPr>
          <w:p>
            <w:pPr/>
            <w:r>
              <w:t>Dependentes</w:t>
            </w:r>
          </w:p>
        </w:tc>
      </w:tr>
      <w:tr>
        <w:tc>
          <w:tcPr>
            <w:tcW w:w="0" w:type="auto"/>
          </w:tcPr>
          <w:p>
            <w:pPr/>
            <w:r>
              <w:t>Funcionais</w:t>
            </w:r>
          </w:p>
        </w:tc>
        <w:tc>
          <w:tcPr>
            <w:tcW w:w="0" w:type="auto"/>
          </w:tcPr>
          <w:p>
            <w:pPr/>
            <w:r>
              <w:t>Amplitude de movimento, posição articular</w:t>
            </w:r>
          </w:p>
        </w:tc>
        <w:tc>
          <w:tcPr>
            <w:tcW w:w="0" w:type="auto"/>
          </w:tcPr>
          <w:p>
            <w:pPr/>
            <w:r>
              <w:t>Desempenho</w:t>
            </w:r>
          </w:p>
        </w:tc>
        <w:tc>
          <w:tcPr>
            <w:tcW w:w="0" w:type="auto"/>
          </w:tcPr>
          <w:p>
            <w:pPr/>
            <w:r>
              <w:t>Ligação cinemática</w:t>
            </w:r>
          </w:p>
        </w:tc>
      </w:tr>
      <w:tr>
        <w:tc>
          <w:tcPr>
            <w:tcW w:w="0" w:type="auto"/>
          </w:tcPr>
          <w:p>
            <w:pPr/>
            <w:r>
              <w:t>Construtivos</w:t>
            </w:r>
          </w:p>
        </w:tc>
        <w:tc>
          <w:tcPr>
            <w:tcW w:w="0" w:type="auto"/>
          </w:tcPr>
          <w:p>
            <w:pPr/>
            <w:r>
              <w:t>Espessuras, folgas, tolerâncias</w:t>
            </w:r>
          </w:p>
        </w:tc>
        <w:tc>
          <w:tcPr>
            <w:tcW w:w="0" w:type="auto"/>
          </w:tcPr>
          <w:p>
            <w:pPr/>
            <w:r>
              <w:t>Fabrico</w:t>
            </w:r>
          </w:p>
        </w:tc>
        <w:tc>
          <w:tcPr>
            <w:tcW w:w="0" w:type="auto"/>
          </w:tcPr>
          <w:p>
            <w:pPr/>
            <w:r>
              <w:t>Ajuste técnico</w:t>
            </w:r>
          </w:p>
        </w:tc>
      </w:tr>
    </w:tbl>
    <w:p>
      <w:pPr/>
      <w:r>
        <w:t>A tradução destes parâmetros em geometria é realizada por meio de relações explícitas entre medições e componentes do modelo.</w:t>
      </w:r>
    </w:p>
    <w:p>
      <w:pPr/>
      <w:r>
        <w:t>Tabela 4.6 — Mapeamento entre parâmetros antropométricos e elementos do modelo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Comprimento da mão</w:t>
            </w:r>
          </w:p>
        </w:tc>
        <w:tc>
          <w:tcPr>
            <w:tcW w:w="0" w:type="auto"/>
          </w:tcPr>
          <w:p>
            <w:pPr/>
            <w:r>
              <w:t>Escala geral e comprimento dos dedos</w:t>
            </w:r>
          </w:p>
        </w:tc>
      </w:tr>
      <w:tr>
        <w:tc>
          <w:tcPr>
            <w:tcW w:w="0" w:type="auto"/>
          </w:tcPr>
          <w:p>
            <w:pPr/>
            <w:r>
              <w:t>Largura da palma</w:t>
            </w:r>
          </w:p>
        </w:tc>
        <w:tc>
          <w:tcPr>
            <w:tcW w:w="0" w:type="auto"/>
          </w:tcPr>
          <w:p>
            <w:pPr/>
            <w:r>
              <w:t>Volume da palma e espaçamento entre dedos</w:t>
            </w:r>
          </w:p>
        </w:tc>
      </w:tr>
      <w:tr>
        <w:tc>
          <w:tcPr>
            <w:tcW w:w="0" w:type="auto"/>
          </w:tcPr>
          <w:p>
            <w:pPr/>
            <w:r>
              <w:t>Comprimento dos dedos</w:t>
            </w:r>
          </w:p>
        </w:tc>
        <w:tc>
          <w:tcPr>
            <w:tcW w:w="0" w:type="auto"/>
          </w:tcPr>
          <w:p>
            <w:pPr/>
            <w:r>
              <w:t>Geometria das falanges</w:t>
            </w:r>
          </w:p>
        </w:tc>
      </w:tr>
      <w:tr>
        <w:tc>
          <w:tcPr>
            <w:tcW w:w="0" w:type="auto"/>
          </w:tcPr>
          <w:p>
            <w:pPr/>
            <w:r>
              <w:t>Circunferência do antebraço</w:t>
            </w:r>
          </w:p>
        </w:tc>
        <w:tc>
          <w:tcPr>
            <w:tcW w:w="0" w:type="auto"/>
          </w:tcPr>
          <w:p>
            <w:pPr/>
            <w:r>
              <w:t>Geometria do encaixe</w:t>
            </w:r>
          </w:p>
        </w:tc>
      </w:tr>
      <w:tr>
        <w:tc>
          <w:tcPr>
            <w:tcW w:w="0" w:type="auto"/>
          </w:tcPr>
          <w:p>
            <w:pPr/>
            <w:r>
              <w:t>Largura do punho</w:t>
            </w:r>
          </w:p>
        </w:tc>
        <w:tc>
          <w:tcPr>
            <w:tcW w:w="0" w:type="auto"/>
          </w:tcPr>
          <w:p>
            <w:pPr/>
            <w:r>
              <w:t>Interface palma-punho</w:t>
            </w:r>
          </w:p>
        </w:tc>
      </w:tr>
      <w:tr>
        <w:tc>
          <w:tcPr>
            <w:tcW w:w="0" w:type="auto"/>
          </w:tcPr>
          <w:p>
            <w:pPr/>
            <w:r>
              <w:t>Proporções falângicas</w:t>
            </w:r>
          </w:p>
        </w:tc>
        <w:tc>
          <w:tcPr>
            <w:tcW w:w="0" w:type="auto"/>
          </w:tcPr>
          <w:p>
            <w:pPr/>
            <w:r>
              <w:t>Relações cinemáticas dos mecanismos digitais</w:t>
            </w:r>
          </w:p>
        </w:tc>
      </w:tr>
    </w:tbl>
    <w:p>
      <w:pPr/>
      <w:r>
        <w:t>Este mapeamento constitui a base da modelação paramétrica, permitindo converter dados antropométricos em configurações geométricas e funcionais. Em termos práticos, a passagem de medição para geometria não deve ser entendida como uma transposição linear, mas como a definição de relações controladas: certos parâmetros regulam a escala geral, outros definem proporções locais e outros ainda atuam como restrições de consistência ou de fabricabilidade. Antes de qualquer implementação em código, torna-se necessário estabilizar três níveis: os dados de entrada, as relações entre parâmetros e os limites técnicos que condicionam a sua transformação em forma.</w:t>
      </w:r>
    </w:p>
    <w:p>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pPr>
      <w:r>
        <w:t>4.3 Modelação paramétrica em OpenSCAD</w:t>
      </w:r>
    </w:p>
    <w:p>
      <w:pPr/>
      <w:r>
        <w:t>A modelação paramétrica em OpenSCAD corresponde, nesta investigação, ao momento em que a estrutura definida na secção anterior passa de um quadro conceptual a um sistema operativo.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r>
        <w:t>A modelação paramétrica em OpenSCAD é, por isso, aqui entendida como uma abordagem em que a geometria resulta de regras explícitas, parâmetros definidos em código e relações de dependência entre componentes, em vez de edição manual isolada de formas. Para o desenvolvimento de próteses personalizadas de membro superior, esta lógica é particularmente relevante, pois permite tratar a prótese como uma família configurável de soluções, regenerável com base em novos dados antropométricos, requisitos funcionais e limites de fabrico. A literatura sobre modelação paramétrica aplicada a próteses e sobre CAD baseado em código converge precisamente nesta direção, associando este tipo de abordagem a maior rastreabilidade, repetibilidade e capacidade de automatização em fluxos de personalização digital (Machado et al., 2019 (#ref-machado-2019); Moreo, 2016 (#ref-moreo-2016); Romero et al., 2025 (#ref-da-silveira-romero-2025)).</w:t>
      </w:r>
    </w:p>
    <w:p>
      <w:pPr/>
      <w:r>
        <w:t>Ao contrário de ambientes centrados na manipulação gráfica direta, o OpenSCAD opera como uma especificação computacional do objeto. Essa característica é metodologicamente relevante para a presente investigação porque torna o modelo não apenas um resultado geométrico, mas também um artefacto explícito de projeto: um sistema em que se registam as relações entre entradas antropométricas, módulos geométricos, restrições construtivas e decisões formais. Neste sentido, a modelação baseada em código articula-se bem com uma perspetiva de Research Through Design, na medida em que o próprio modelo pode ser lido, revisto, testado e documentado como uma estrutura de conhecimento técnico.</w:t>
      </w:r>
    </w:p>
    <w:p>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r>
        <w:drawing>
          <wp:inline xmlns:wp="http://schemas.openxmlformats.org/drawingml/2006/wordprocessingDrawing" distT="0" distB="0" distL="0" distR="0">
            <wp:extent cx="5715000" cy="3324225"/>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xmlns:r="http://schemas.openxmlformats.org/officeDocument/2006/relationships" r:embed="rId15"/>
                    <a:stretch>
                      <a:fillRect/>
                    </a:stretch>
                  </pic:blipFill>
                  <pic:spPr>
                    <a:xfrm>
                      <a:off x="0" y="0"/>
                      <a:ext cx="5715000" cy="3324225"/>
                    </a:xfrm>
                    <a:prstGeom prst="rect">
                      <a:avLst/>
                    </a:prstGeom>
                  </pic:spPr>
                </pic:pic>
              </a:graphicData>
            </a:graphic>
          </wp:inline>
        </w:drawing>
      </w:r>
    </w:p>
    <w:p>
      <w:pPr/>
      <w:r>
        <w:t>Figura 4.3 — Relação entre modelo paramétrico digital, prototipagem e verificação de um dedo protésico.</w:t>
      </w:r>
    </w:p>
    <w:p>
      <w:pPr/>
      <w:r>
        <w:t>Fonte original (APA 7):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Heading3"/>
      </w:pPr>
      <w:r>
        <w:t>4.3.1 Estrutura técnica, parâmetros e restrições</w:t>
      </w:r>
    </w:p>
    <w:p>
      <w:pPr/>
      <w:r>
        <w:t>A estrutura técnica de um modelo paramétrico baseado em OpenSCAD pode ser compreendida como uma arquitetura em camadas. 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fabricabilidade. Esta organização permite controlar a personalização sem comprometer a coerência interna do sistema (Moreo, 2016 (#ref-moreo-2016); Nini et al., 2024 (#ref-nini-2024); Saldarriaga et al., 2024 (#ref-saldarriaga-2024)).</w:t>
      </w:r>
    </w:p>
    <w:p>
      <w:pPr/>
      <w:r>
        <w:t>Tabela 4.7 — Estrutura técnica em camadas de um modelo paramétrico em OpenSCAD para próteses personalizadas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Entrada</w:t>
            </w:r>
          </w:p>
        </w:tc>
        <w:tc>
          <w:tcPr>
            <w:tcW w:w="0" w:type="auto"/>
          </w:tcPr>
          <w:p>
            <w:pPr/>
            <w:r>
              <w:t>Dados antropométricos e/ou dados de digitalização</w:t>
            </w:r>
          </w:p>
        </w:tc>
        <w:tc>
          <w:tcPr>
            <w:tcW w:w="0" w:type="auto"/>
          </w:tcPr>
          <w:p>
            <w:pPr/>
            <w:r>
              <w:t>Individualizar o modelo</w:t>
            </w:r>
          </w:p>
        </w:tc>
        <w:tc>
          <w:tcPr>
            <w:tcW w:w="0" w:type="auto"/>
          </w:tcPr>
          <w:p>
            <w:pPr/>
            <w:r>
              <w:t>Largura da palma, comprimentos digitais, perímetro do coto</w:t>
            </w:r>
          </w:p>
        </w:tc>
      </w:tr>
      <w:tr>
        <w:tc>
          <w:tcPr>
            <w:tcW w:w="0" w:type="auto"/>
          </w:tcPr>
          <w:p>
            <w:pPr/>
            <w:r>
              <w:t>Derivação geométrica</w:t>
            </w:r>
          </w:p>
        </w:tc>
        <w:tc>
          <w:tcPr>
            <w:tcW w:w="0" w:type="auto"/>
          </w:tcPr>
          <w:p>
            <w:pPr/>
            <w:r>
              <w:t>Parâmetros calculados a partir das entradas</w:t>
            </w:r>
          </w:p>
        </w:tc>
        <w:tc>
          <w:tcPr>
            <w:tcW w:w="0" w:type="auto"/>
          </w:tcPr>
          <w:p>
            <w:pPr/>
            <w:r>
              <w:t>Traduzir medidas em relações formais</w:t>
            </w:r>
          </w:p>
        </w:tc>
        <w:tc>
          <w:tcPr>
            <w:tcW w:w="0" w:type="auto"/>
          </w:tcPr>
          <w:p>
            <w:pPr/>
            <w:r>
              <w:t>Comprimentos segmentares, espessuras, offsets</w:t>
            </w:r>
          </w:p>
        </w:tc>
      </w:tr>
      <w:tr>
        <w:tc>
          <w:tcPr>
            <w:tcW w:w="0" w:type="auto"/>
          </w:tcPr>
          <w:p>
            <w:pPr/>
            <w:r>
              <w:t>Comportamento funcional</w:t>
            </w:r>
          </w:p>
        </w:tc>
        <w:tc>
          <w:tcPr>
            <w:tcW w:w="0" w:type="auto"/>
          </w:tcPr>
          <w:p>
            <w:pPr/>
            <w:r>
              <w:t>Parâmetros ligados ao uso e ao mecanismo</w:t>
            </w:r>
          </w:p>
        </w:tc>
        <w:tc>
          <w:tcPr>
            <w:tcW w:w="0" w:type="auto"/>
          </w:tcPr>
          <w:p>
            <w:pPr/>
            <w:r>
              <w:t>Regular movimento, montagem e desempenho</w:t>
            </w:r>
          </w:p>
        </w:tc>
        <w:tc>
          <w:tcPr>
            <w:tcW w:w="0" w:type="auto"/>
          </w:tcPr>
          <w:p>
            <w:pPr/>
            <w:r>
              <w:t>Amplitude articular, espaço para tendões, eixos</w:t>
            </w:r>
          </w:p>
        </w:tc>
      </w:tr>
      <w:tr>
        <w:tc>
          <w:tcPr>
            <w:tcW w:w="0" w:type="auto"/>
          </w:tcPr>
          <w:p>
            <w:pPr/>
            <w:r>
              <w:t>Restrições produtivas</w:t>
            </w:r>
          </w:p>
        </w:tc>
        <w:tc>
          <w:tcPr>
            <w:tcW w:w="0" w:type="auto"/>
          </w:tcPr>
          <w:p>
            <w:pPr/>
            <w:r>
              <w:t>Limites de fabrico e consistência</w:t>
            </w:r>
          </w:p>
        </w:tc>
        <w:tc>
          <w:tcPr>
            <w:tcW w:w="0" w:type="auto"/>
          </w:tcPr>
          <w:p>
            <w:pPr/>
            <w:r>
              <w:t>Garantir fabricabilidade e robustez</w:t>
            </w:r>
          </w:p>
        </w:tc>
        <w:tc>
          <w:tcPr>
            <w:tcW w:w="0" w:type="auto"/>
          </w:tcPr>
          <w:p>
            <w:pPr/>
            <w:r>
              <w:t>Espessura mínima, folgas, raios mínimos</w:t>
            </w:r>
          </w:p>
        </w:tc>
      </w:tr>
    </w:tbl>
    <w:p>
      <w:pPr/>
      <w:r>
        <w:t>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de encaixe. A modularidade tem aqui duas vantagens diretas: reduz a opacidade do sistema e facilita a regeneração controlada de variantes. Num contexto protésico, isto permite que alterações nos parâmetros de entrada não se propaguem de forma arbitrária a todo o modelo, mas sim segundo relações previamente explícitas e localizáveis (Machado et al., 2019 (#ref-machado-2019); Romero et al., 2025 (#ref-da-silveira-romero-2025)).</w:t>
      </w:r>
    </w:p>
    <w:p>
      <w:pPr/>
      <w:r>
        <w:t>Outro aspeto central é a integração de restrições diretamente na lógica paramétrica. Em vez de tratar a verificação de fabricabilidade como etapa exclusivamente posterior, o modelo pode incorporar, desde o início, limites mínimos de espessura, folgas entre elementos móveis, margens de tolerância e verificações condicionais para evitar combinações inválidas. Este princípio é particularmente relevante em próteses produzidas por fabrico aditivo, nas quais pequenas alterações dimensionais podem comprometer a montagem, a resistência ou a imprimibilidade. Estudos sobre modelação paramétrica de dedos protésicos e sockets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r>
        <w:t>Finalmente, 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contemporânea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Heading3"/>
      </w:pPr>
      <w:r>
        <w:t>4.3.2 Análise crítica da abordagem</w:t>
      </w:r>
    </w:p>
    <w:p>
      <w:pPr/>
      <w:r>
        <w:t>A adoção do OpenSCAD apresenta vantagens metodológicas claras para este projeto. A primeira é a transparência. Como o modelo é definido por código, as relações entre variáveis, dependências e restrições ficam mais explícitas do que em muitos fluxos CAD baseados apenas em operações gráficas. Esta condição favorece a rastreabilidade, a revisão crítica e a reprodutibilidade, qualidades particularmente importantes num trabalho académico em que o modelo paramétrico não é apenas um instrumento de produção formal, mas também um objeto de análise (Machado et al., 2019 (#ref-machado-2019)).</w:t>
      </w:r>
    </w:p>
    <w:p>
      <w:pPr/>
      <w:r>
        <w:t>Uma segunda vantagem reside na afinidade entre a modelação baseada em código, a automação e a partilha aberta. A literatura mostra que sistemas como o OpenSCAD articulam-se bem com lógicas de configuração web, de geração repetida de variantes e de circulação de ficheiros-fonte em comunidades distribuídas. O facto de um modelo poder ser exposto por meio de parâmetros, ligado a interfaces HTML e convertido em resultados fabricáveis, sem exigir edição direta do código a cada iteração, constitui um argumento forte para a sua utilização em contextos de personalização acessível (Nilsiam &amp; Pearce, 2017 (#ref-nilsiam-2017)). Para um projeto que pretende aproximar parametrização, interface e apoio computacional, esta característica é especialmente relevante.</w:t>
      </w:r>
    </w:p>
    <w:p>
      <w:pPr/>
      <w:r>
        <w:t>Contudo, a abordagem apresenta limitações importantes. A primeira é a barreira cognitiva associada à programação. Mesmo quando o modelo é modular e bem estruturado, a edição direta em OpenSCAD exige raciocínio abstrato sobre transformações geométricas, dependências paramétricas e operações booleanas. Por essa razão, a utilidade do OpenSCAD aumenta quando o sistema é mediado por camadas intermediárias de interface ou por procedimentos que exponham apenas os parâmetros realmente necessários à configuração. A segunda limitação é geométrica: a lógica de Constructive Solid Geometry favorece peças mecânicas, modulares e relativamente discretas, mas tende a ser menos fluida para superfícies orgânicas complexas ou interfaces anatómicas altamente irregulares, sobretudo quando comparada com ferramentas mais orientadas para superfícies livres.</w:t>
      </w:r>
    </w:p>
    <w:p>
      <w:pPr/>
      <w:r>
        <w:t>Há ainda uma limitação na interoperabilidade. A literatura comparativa sobre OpenSCAD sublinha que o ecossistema está fortemente orientado para formatos tesselados e para fluxos de fabrico baseados em malhas, o que pode dificultar a integração com certos circuitos CAD industriais ou com ambientes que exijam preservação completa da informação paramétrica em formatos normalizados (Machado et al., 2019 (#ref-machado-2019)). 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r>
        <w:t>Por fim, importa reconhecer que a robustez da abordagem não se esgota na geração da geometria. Mesmo quando a lógica paramétrica é clara e as restrições estão integradas, a validação continua a depender da verificação no slicer, do controlo dimensional, de eventual simulação estrutural e da observação do comportamento da peça em protótipo. 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criticabilidade que justifica a sua escolha como base para a modelação paramétrica aqui desenvolvida.</w:t>
      </w:r>
    </w:p>
    <w:p>
      <w:pPr>
        <w:pStyle w:val="Heading3"/>
      </w:pPr>
      <w:r>
        <w:t>4.4 Iterações, refinamento e discussão intermédia</w:t>
      </w:r>
    </w:p>
    <w:p>
      <w:pPr/>
      <w: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r>
        <w:t>À medida que a estrutura geral se consolidou, o trabalho iterativo deslocou-se para a decomposição do sistema em módulos relativamente autónomos. Esta modularização permitiu isolar problemas, testar componentes localmente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Mais do que uma escolha organizativa do código, a modularização funcionou como uma clarificação progressiva da lógica do objeto, aproximando o modelo de uma estrutura configurável, mais disciplinada e compatível com futuros contextos de interface ou de configuração assistida (Nilsiam &amp; Pearce, 2017 (#ref-nilsiam-2017)).</w:t>
      </w:r>
    </w:p>
    <w:p>
      <w:pPr/>
      <w: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r>
        <w:t>Outro eixo central do processo prendeu-se à relação entre personalização e fabricabilidade. Nem toda a variação admissível do ponto de vista formal mostrou-se viável do ponto de vista produtivo. Certas configurações geravam geometrias demasiado finas, folgas inadequadas, transições abruptas ou zonas vulneráveis no contexto da impressão 3D.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r>
        <w:t>A dimensão funcional introduziu um nível adicional de exigência. Em sistemas configuráveis para próteses, a coerência geométrica e a imprimibilidade não bastam para assegurar a adequação ao uso. A articulação entre segmentos, o posicionamento relativo dos mecanismos, a distribuição de massa, as zonas de esforço e a amplitude de movimento influenciam diretamente o desempenho esperado do objeto. Por essa razão, várias revisões do modelo implicaram reajustes que não se limitavam a problemas formais, mas também à necessidade de manter um equilíbrio plausível entre adaptação dimensional, comportamento funcional e viabilidade material. O refinamento correspondeu, assim, a uma negociação contínua entre a simplificação paramétrica e a exigência prototípica.</w:t>
      </w:r>
    </w:p>
    <w:p>
      <w:pPr/>
      <w: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Bdr>
          <w:bottom w:val="single" w:sz="6" w:space="1" w:color="808080"/>
        </w:pBdr>
      </w:pPr>
    </w:p>
    <w:p>
      <w:pPr>
        <w:pStyle w:val="Heading2"/>
      </w:pPr>
      <w:r>
        <w:t>Capítulo 5 — Plataforma Web e Integração Digital</w:t>
      </w:r>
    </w:p>
    <w:p>
      <w:pPr>
        <w:pStyle w:val="Heading3"/>
      </w:pPr>
      <w:r>
        <w:t>5.1 Enquadramento conceptual e perfis de utilizador</w:t>
      </w:r>
    </w:p>
    <w:p>
      <w:pPr/>
      <w:r>
        <w:t>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Esta leitura é coerente com a literatura sobre personalização digital e mass personalisation, que descreve os configuradores como infraestruturas que expõem uma parte controlada do espaço de variação, permitindo adaptar produtos sem comprometer a coerência interna do modelo-base (Ozdemir, Verlinden, &amp; Cascini, 2022; Stralen, 2018 (#ref-stralen-2018)).</w:t>
      </w:r>
    </w:p>
    <w:p>
      <w:pPr/>
      <w:r>
        <w:t>Do ponto de vista funcional, a plataforma foi concebida para suportar um processo de personalização progressiva,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projetual ou experimental. Em vez de exigir que cada interveniente compreenda a estrutura interna do ficheiro OpenSCAD, o sistema disponibiliza uma camada de interação mais acessível, baseada em controlos paramétricos, pré-visualização tridimensional e gestão de configurações. Tal opção aproxima-se de abordagens recentes em plataformas de personalização protésica, nas quais a interface funciona como meio de tornar observável, configurável e progressivamente verificável um processo que, de outro modo, permaneceria dependente de software especializado ou de mediação exclusivamente técnica (Peixoto et al., 2025 (#ref-peixoto-2025)).</w:t>
      </w:r>
    </w:p>
    <w:p>
      <w:pPr/>
      <w:r>
        <w:t>Neste sentido, a plataforma deve ser entendida como um sistema sociotécnico, e não apenas como um artefacto de software. A personalização deixa de ser concebida como um ato individual e isolado e passa a ser enquadrada como um processo distribuído, no qual diferentes agentes intervêm com graus distintos de responsabilidade e de controlo. 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r>
        <w:t>A definição dos perfis de utilizador corresponde, por isso, a uma opção conceptual central. O sistema organiza-se em três perfis principais: administrador, técnico e utilizador. O perfil de administrador assegura a gestão global da plataforma, incluindo a criação de contas, a definição de permissões e a supervisão do ecossistema de configurações. O perfil técnico, pensado para profissionais intermédios, como protésicos,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interações delimitadas pelo sistema. Esta segmentação traduz uma lógica de controlo de acesso baseada em papéis, procurando equilibrar autonomia, segurança, inteligibilidade e responsabilidade distribuída.</w:t>
      </w:r>
    </w:p>
    <w:p>
      <w:pPr/>
      <w:r>
        <w:t>Importa sublinhar que esta diferenciação não se limita a uma decisão administrativa. Ela participa diretamente na forma como a plataforma enquadra a personalização. 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r>
        <w:t>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mas também em reconfigurar o próprio processo de personalização como uma sequência assistida, rastreável e criticável. É nessa articulação entre configurabilidade, mediação da interface e organização por perfis que a secção seguinte, dedicada à arquitetura geral do sistema, encontra a sua base conceptual.</w:t>
      </w:r>
    </w:p>
    <w:p>
      <w:pPr>
        <w:pStyle w:val="Heading3"/>
      </w:pPr>
      <w:r>
        <w:t>5.2 Arquitetura geral do sistema</w:t>
      </w:r>
    </w:p>
    <w:p>
      <w:pPr/>
      <w:r>
        <w:t>A arquitetura geral do sistema foi concebida como uma estrutura em camadas, organizada para separar a interface, a lógica de aplicação, a persistência de dados e os serviços complementares de apoio à configuração.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a variação, mas também suficientemente disciplinados para preservar a coerência, a rastreabilidade e a capacidade de manutenção (Ozdemir et al., 2022 (#ref-ozdemir-2022); Lei et al., 2016 (#ref-lei-2016)).</w:t>
      </w:r>
    </w:p>
    <w:p>
      <w:pPr/>
      <w:r>
        <w:t>A Figura 5.1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r>
        <w:drawing>
          <wp:inline xmlns:wp="http://schemas.openxmlformats.org/drawingml/2006/wordprocessingDrawing" distT="0" distB="0" distL="0" distR="0">
            <wp:extent cx="5715000" cy="323850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xmlns:r="http://schemas.openxmlformats.org/officeDocument/2006/relationships" r:embed="rId16"/>
                    <a:stretch>
                      <a:fillRect/>
                    </a:stretch>
                  </pic:blipFill>
                  <pic:spPr>
                    <a:xfrm>
                      <a:off x="0" y="0"/>
                      <a:ext cx="5715000" cy="3238500"/>
                    </a:xfrm>
                    <a:prstGeom prst="rect">
                      <a:avLst/>
                    </a:prstGeom>
                  </pic:spPr>
                </pic:pic>
              </a:graphicData>
            </a:graphic>
          </wp:inline>
        </w:drawing>
      </w:r>
    </w:p>
    <w:p>
      <w:pPr/>
      <w:r>
        <w:t>Figura 5.1 — Fluxo geral de produção personalizada de próteses a partir de digitalização, CAD adaptativo e fabrico aditivo.</w:t>
      </w:r>
    </w:p>
    <w:p>
      <w:pPr/>
      <w:r>
        <w:t>Fonte original (APA 7): Górski, F., Zawadzki, P., Wichniarek, R., Kuczko, W., Słupińska, S., &amp; Żukowska, M. (2022). Automated design and rapid manufacturing of low-cost customized upper limb prostheses. Journal of Physics: Conference Series, 2198, 012040. https://doi.org/10.1088/1742-6596/2198/1/012040</w:t>
      </w:r>
    </w:p>
    <w:p>
      <w:pPr/>
      <w:r>
        <w:t>No lado do cliente, a aplicação funciona no navegador e integra os componentes responsáveis pela interface, pela recolha e edição de parâmetros, pela gestão do estado da sessão e pela visualização local dos modelos. No lado do servidor, um serviço desenvolvido em Node.js com Express assegura o fornecimento de ficheiros estáticos, o processamento de pedidos à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e “retaguarda”, mas sim a uma estratégia de contenção da complexidade e de delimitação explícita de responsabilidades.</w:t>
      </w:r>
    </w:p>
    <w:p>
      <w:pPr/>
      <w: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projetual. Deste modo, a base de dados não funciona apenas como repositório administrativo, mas também como infraestrutura que sustenta a continuidade, o versionamento prático e a rastreabilidade das variantes produzidas.</w:t>
      </w:r>
    </w:p>
    <w:p>
      <w:pPr/>
      <w:r>
        <w:t>Um dos aspetos mais relevantes da arquitetura é que a renderização geométrica não é executada no servidor. Em vez disso, o cálculo e a geração da geometria tridimensional ocorrem localmente no navegador, por meio de um processo baseado em OpenSCAD, compilado para WebAssembly e executado em um Web Worker. Esta decisão reduz a carga computacional do backend,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r>
        <w:t>No plano da segurança e do controlo de acesso, a arquitetura incorpora autenticação baseada em JWT, utilização de tokens de atualização em cookies HttpOnly, validação de dados, limitação de pedidos e bloqueio explícito de ficheiros sensíveis. 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pPr>
      <w:r>
        <w:t>5.3 Integração OpenSCAD via WebAssembly (WASM)</w:t>
      </w:r>
    </w:p>
    <w:p>
      <w:pPr/>
      <w:r>
        <w:t>A integração do OpenSCAD por meio de WebAssembly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r>
        <w:t>Em termos operacionais, o processo organiza-se em uma cadeia relativamente clara. Os ficheiros .scad, que contêm a definição algorítmica do modelo, e os conjuntos de parâmetros produzidos pela interface são carregados no frontend. Esses elementos são depois encaminhados para um Web Worker, isto é, um processo separado da interface principal, capaz de executar tarefas pesadas em segundo plano. Nesse worker, a versão compilada do OpenSCAD em WASM interpreta o código, aplica os parâmetros recebidos e gera a geometria tridimensional correspondente. O resultado é então devolvido ao ambiente de visualização no navegador, onde o utilizador pode observar os efeitos das alterações introduzidas sem sair da plataforma nem recorrer a software CAD instalado localmente. Esta cadeia de parâmetros -&gt; worker -&gt; OpenSCAD em WASM -&gt; geometria visível é central para o funcionamento do sistema, pois liga a edição, o cálculo e o feedback formal numa sequência rastreável.</w:t>
      </w:r>
    </w:p>
    <w:p>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protésicos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r>
        <w:t>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o faz dentro dos limites computacionais e operacionais do navegador. O valor da solução reside, por isso, menos numa promessa de desempenho absoluto e mais na capacidade de tornar executável, em ambiente web, um núcleo paramétrico explícito e criticável.</w:t>
      </w:r>
    </w:p>
    <w:p>
      <w:pPr>
        <w:pStyle w:val="Heading3"/>
      </w:pPr>
      <w:r>
        <w:t>5.4 Estrutura funcional da plataforma</w:t>
      </w:r>
    </w:p>
    <w:p>
      <w:pPr/>
      <w:r>
        <w:t>A estrutura funcional da plataforma organiza-se em um conjunto de módulos interligados que suportam o ciclo completo de configuração paramétrica: seleção do modelo, introdução e edição de parâmetros, visualização tridimensional, sugestões assistidas por IA, gestão de configurações e administração multiutilizador. Esta organização modular não serve apenas para distribuir funcionalidades; também torna o processo de personalização legível e sequencial. 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feedback com decisão (Ozdemir et al., 2022 (#ref-ozdemir-2022); Peixoto et al., 2025 (#ref-peixoto-2025)).</w:t>
      </w:r>
    </w:p>
    <w:p>
      <w:pPr/>
      <w:r>
        <w:t>A Figura 5.2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está na demonstração de que a parametrização ganha valor quando é mediada por uma interface capaz de ser usada por profissionais que não são necessariamente modeladores CAD avançados (Li &amp; Aflatoony, 2025 (#ref-li-aflatoony-2025)).</w:t>
      </w:r>
    </w:p>
    <w:p>
      <w:r>
        <w:drawing>
          <wp:inline xmlns:wp="http://schemas.openxmlformats.org/drawingml/2006/wordprocessingDrawing" distT="0" distB="0" distL="0" distR="0">
            <wp:extent cx="5715000" cy="4657725"/>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xmlns:r="http://schemas.openxmlformats.org/officeDocument/2006/relationships" r:embed="rId17"/>
                    <a:stretch>
                      <a:fillRect/>
                    </a:stretch>
                  </pic:blipFill>
                  <pic:spPr>
                    <a:xfrm>
                      <a:off x="0" y="0"/>
                      <a:ext cx="5715000" cy="4657725"/>
                    </a:xfrm>
                    <a:prstGeom prst="rect">
                      <a:avLst/>
                    </a:prstGeom>
                  </pic:spPr>
                </pic:pic>
              </a:graphicData>
            </a:graphic>
          </wp:inline>
        </w:drawing>
      </w:r>
    </w:p>
    <w:p>
      <w:pPr/>
      <w:r>
        <w:t>Figura 5.2 — Ferramenta paramétrica para configuração de ajudas técnicas com variação de dimensões, materiais e peso.</w:t>
      </w:r>
    </w:p>
    <w:p>
      <w:pPr/>
      <w:r>
        <w:t>Fonte original (APA 7): Li, M., &amp; Aflatoony, L. (2025). Parametric design and three-dimensional printing: Enabling occupational therapists to develop custom hand grips. Disability and Rehabilitation: Assistive Technology, 20(6), 1829-1837. https://doi.org/10.1080/17483107.2025.2483953</w:t>
      </w:r>
    </w:p>
    <w:p>
      <w:pPr/>
      <w:r>
        <w:t>O ponto de entrada do sistema é o módulo de seleção de modelos. Cada modelo é descrito por um ficheiro de configuração que inclui o identificador, a descrição, o ficheiro OpenSCAD associado e a lista de parâmetros editáveis. A partir dessa estrutura, a interface consegue gerar dinamicamente os controlos de edição necessários, como sliders, campos numéricos, caixas de seleção ou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r>
        <w:t>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STL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r>
        <w:t>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human-in-the-loop assumida no projeto.</w:t>
      </w:r>
    </w:p>
    <w:p>
      <w:pPr/>
      <w:r>
        <w:t>A evolução posterior do módulo acrescentou uma ancoragem opcional em dados populacionais. Quando o frontend envia a descrição do paciente e o identificador do modelo, o servidor procura o perfil antropométrico populacional mais próximo, considerando atributos como sexo, idade aproximada e país, e projeta as médias desse perfil sobre os parâmetros disponíveis no modelo ativo. O bloco de referência é então anexado ao pedido enviado à IA como prior mensurável, sem se sobrepor a medições diretamente fornecidas pelo utilizador. Esta solução reforça a continuidade entre três caminhos da plataforma: seleção manual de uma baseline populacional, importação de perfis antropométricos e sugestão assistida por IA.</w:t>
      </w:r>
    </w:p>
    <w:p>
      <w:pPr/>
      <w:r>
        <w:t>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Funcionalmente, este módulo transforma a configuração de um ato momentâneo numa sequência acumulativa e rastreável,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 A sua presença confirma que a estrutura funcional da plataforma não se esgota na manipulação de parâmetros e na visualização de formas; inclui também a gestão das relações entre agentes, das responsabilidades e dos níveis de intervenção. Neste sentido, a aplicação obtém sugestões paramétricas através do servidor, que se comunica com serviços externos por intermédio de um proxy seguro¹, mas enquadra essa capacidade dentro de uma estrutura funcional mais ampla, em que configuração, supervisão e persistência coexistem como partes de um mesmo sistema operativo.</w:t>
      </w:r>
    </w:p>
    <w:p>
      <w:pPr/>
      <w:r>
        <w:t>¹ Entende-se por proxy seguro uma camada intermédia de comunicação que permite ao servidor gerir os pedidos enviados a serviços externos, protegendo credenciais sensíveis, controlando o acesso e reduzindo a exposição direta da aplicação a sistemas externos.</w:t>
      </w:r>
    </w:p>
    <w:p>
      <w:pPr/>
      <w:r>
        <w:t>A biblioteca de modelos integrada na plataforma confirma esta lógica modular. Em vez de tratar a prótese como um único ficheiro estático, o sistema organiza diferentes famílias de mãos protésicas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r>
        <w:t>No caso do Paraglider Hand, também conhecido como Flexible Flyer, a integração partiu de uma mão mecânica acionada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r>
        <w:t>Em conjunto, estes casos mostram que a escalabilidade da plataforma depende menos da quantidade de modelos disponíveis e mais da existência de uma gramática comum de integração. Cada nova mão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Heading3"/>
      </w:pPr>
      <w:r>
        <w:t>5.5 Gestão de parâmetros, versões e escalabilidade</w:t>
      </w:r>
    </w:p>
    <w:p>
      <w:pPr/>
      <w:r>
        <w:t>A gestão de parâmetros constitui uma das condições centrais para transformar um modelo paramétrico em 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r>
        <w:t>Ao descrever os parâmetros em estruturas independentes do código geométrico principal, a plataforma obtém duas vantagens. A primeira é a rastreabilidade: torna-se possível saber quais variáveis são editáveis, quais são os seus intervalos válidos e como se articulam com a interface. A segunda é a reconfigurabilidade do próprio sistema: a adição, remoção ou ajuste de parâmetros pode ser realizada sem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w:t>
      </w:r>
    </w:p>
    <w:p>
      <w:pPr/>
      <w: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Embora esta solução ainda não corresponda a um sistema de versionamento completo nos moldes tradicionais do desenvolvimento de software, já suporta uma função projetualmente relevante: acompanhar o processo iterativo de configuração, preservar variantes e permitir a comparação entre estados sucessivos do mesmo artefacto. Cada configuração registada pode, assim, ser entendida como uma instância rastreável do processo de personalização, e não apenas como um ficheiro transitório. Esta capacidade é particularmente importante num contexto em que a personalização não é um ato único, mas uma sequência de aproximações, testes e revisões.</w:t>
      </w:r>
    </w:p>
    <w:p>
      <w:pPr/>
      <w:r>
        <w:t>Do ponto de vista funcional, a persistência dessas configurações em estruturas JSON associadas a modelos e utilizadores reforça a continuidade entre interação, revisão e reutilização. O sistema deixa de operar apenas em tempo real e passa a acumular histórico operativo, possibilitando retomar soluções anteriores, documentar alternativas exploradas e preparar comparações futuras entre versões. Esta forma de versionamento prático é coerente com o caráter prototípico da plataforma: ainda não pretende substituir mecanismos mais sofisticados de gestão de revisões, mas fornece uma base suficiente para sustentar o acompanhamento iterativo do desenvolvimento e a análise reflexiva do processo.</w:t>
      </w:r>
    </w:p>
    <w:p>
      <w:pPr/>
      <w:r>
        <w:t>Quanto à escalabilidade, a plataforma beneficia de uma arquitetura modular e orientada para configuração. A separação entre modelos, parâmetros, interface, autenticação e persistência permite acrescentar novos modelos em OpenSCAD, novos tipos de parâmetros ou novas rotinas de apoio sem reestruturar integralmente a aplicação. Na prática, a introdução de um novo modelo exige sobretudo a adição do ficheiro .scad correspondente e o respetivo registo em models-config.json, o que evidencia uma forma de escalabilidade baseada menos na duplicação de código e mais na extensão configurável.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r>
        <w:t>Todavia, esta escalabilidade deve ser analisada criticamente. O recurso ao SQLite é adequado a um protótipo funcional com baixa ou média concorrência, mas poderá revelar limitações em cenários de utilização mais intensiva, com múltiplos utilizadores simultâneos, maior volume de configurações ou necessidades mais exigentes de auditoria e sincronização. De forma semelhante, a renderização local via WASM, embora eficaz em muitos contextos, depende do desempenho do dispositivo do utilizador, o que introduz variabilidade na experiência e impõe limites ao crescimento indiscriminado da complexidade geométrica. Assim, a escalabilidade da plataforma não pode ser reduzida à possibilidade de adicionar funcionalidades ou modelos; envolve também a capacidade de sustentar esse crescimento sem perder legibilidade, desempenho, segurança e manutenibilidade.</w:t>
      </w:r>
    </w:p>
    <w:p>
      <w:pPr/>
      <w:r>
        <w:t>Neste sentido, a secção confirma uma conclusão importante para o projeto: a gestão de parâmetros, de configurações e de expansão futura deve ser entendida como parte integrante da própria lógica de design da plataforma. Não se trata apenas de resolver problemas infraestruturais posteriores, mas de reconhecer que a configurabilidade, a persistência e o crescimento controlado são condições para que a personalização paramétrica permaneça tecnicamente viável e metodologicamente rastreável ao longo do desenvolvimento.</w:t>
      </w:r>
    </w:p>
    <w:p>
      <w:pPr>
        <w:pBdr>
          <w:bottom w:val="single" w:sz="6" w:space="1" w:color="808080"/>
        </w:pBdr>
      </w:pPr>
    </w:p>
    <w:p>
      <w:pPr>
        <w:pStyle w:val="Heading2"/>
      </w:pPr>
      <w:r>
        <w:t>Capítulo 6 — Integração da Inteligência Artificial</w:t>
      </w:r>
    </w:p>
    <w:p>
      <w:pPr>
        <w:pStyle w:val="Heading3"/>
      </w:pPr>
      <w:r>
        <w:t>6.1 Papel da IA no sistema proposto</w:t>
      </w:r>
    </w:p>
    <w:p>
      <w:pPr/>
      <w:r>
        <w:t>A integração da inteligência artificial no sistema proposto deve ser enquadrada com precisão. A literatura recente mostra que a IA já ocupa um lugar relevante no domínio das próteses, mas esse lugar permanece concentrado sobretudo em tarefas de controlo, interpretação de biosinais, reconhecimento de gestos e adaptação funcional, e menos na estruturação integral de fluxos de personalização paramétrica. Revisões sobre próteses de membro superior e sobre próteses e ortóteses indicam que a aprendizagem automática é aplicada principalmente à classificação de sinais EMG, à inferência de intenção motora e à melhoria do desempenho operativo do dispositivo (Choo e Chang, 2023; Terrazas-Rodas e Carrión-Pérez, 2022; Hachoumi, Laabidi e Eddabbah, 2026; Batista, Vieira e Gaspar, 2025). Em contrapartida, continuam pouco consolidadas as abordagens que articulam, no mesmo sistema, a entrada antropométrica, o modelo paramétrico explícito, a sugestão assistida de parâmetros e a supervisão técnica. Esta lacuna é central para a presente investigação, pois permite situar a proposta não como repetição do estado da arte, mas como tentativa de ligação entre componentes que a literatura tende a desenvolver de forma fragmentada.</w:t>
      </w:r>
    </w:p>
    <w:p>
      <w:pPr/>
      <w:r>
        <w:t>Neste enquadramento, o papel da IA não consiste em substituir o processo de projeto, a lógica geométrica nem a validação técnica. A sua função é a de uma camada complementar de apoio à configuração, operando sobre uma base paramétrica já definida.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Estudos sobre próteses paramétricas para diferentes níveis de amputação da mão, sobre customização de dedos protésicos por modelação paramétrica e sobre sockets personalizados para próteses transradiais demonstram que a personalização pode ser estruturada por meio de modelos explícitos e fluxos CAD/CAM ajustáveis (da Silveira Romero et al., 2025 (#ref-da-silveira-romero-2025); Lim et al., 2018 (#ref-lim-2018); Saldarriaga et al., 2024 (#ref-saldarriaga-2024)). O sistema aqui proposto parte precisamente desta premissa: a geometria não é gerada de forma opaca por um modelo autónomo, mas sim por um modelo paramétrico explícito, definido em OpenSCAD e manipulável por meio de parâmetros rastreáveis.</w:t>
      </w:r>
    </w:p>
    <w:p>
      <w:pPr/>
      <w: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abordagens data-driven orientadas a melhorar a adaptação, o conforto e a adequação estrutural, sem eliminar a necessidade de interpretação humana (Gu et al., 2024 (#ref-gu-2024)). Em termos projetuais, a IA funciona como instrumento de apoio à decisão e à iteração: propõe pontos de partida, ajuda a comparar cenários e acelera os ciclos de teste, sem substituir a estrutura técnica do sistema. Entre os antecedentes mais próximos desta lógica encontram-se trabalhos que combinam personalização anatómica, modelação paramétrica, fabrico aditivo e componentes inteligentes, como o estudo de Romero et al. (2025) (#ref-da-silveira-romero-2025), bem como quadros de otimização estrutural orientados por dados anatómicos e constrangimentos de adaptação, como o proposto por Gu et al. (2024) (#ref-gu-2024).</w:t>
      </w:r>
    </w:p>
    <w:p>
      <w:pPr/>
      <w: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a rastreabilidade entre a entrada, a sugestão e o resultado geométrico. Em vez de encerrar o processo num modelo generativo pouco transparente, o sistema mantém a IA numa posição assistiva e supervisionada: sugere, mas não determina autonomamente; apoia, mas não valida; acelera, mas não substitui o julgamento técnico. Esta opção é particularmente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assim, menos na promessa de automatização total e mais na sua capacidade de reforçar um processo de personalização já estruturado por lógica paramétrica explícita, por requisitos de fabrico e por responsabilidade humana.</w:t>
      </w:r>
    </w:p>
    <w:p>
      <w:pPr>
        <w:pStyle w:val="Heading3"/>
      </w:pPr>
      <w:r>
        <w:t>6.2 IA na parametrização, personalização e apoio à decisão</w:t>
      </w:r>
    </w:p>
    <w:p>
      <w:pPr/>
      <w:r>
        <w:t>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Neste enquadramento, a IA não elimina a lógica determinística do modelo paramétrico; antes, aumenta a sua operabilidade, ajudando a propor intervalos plausíveis, combinações coerentes entre variáveis e pontos de partida mais ajustados ao caso específico.</w:t>
      </w:r>
    </w:p>
    <w:p>
      <w:pPr/>
      <w:r>
        <w:t>No plano da personalização, esta mediação é importante porque a adaptação de uma prótese não se reduz ao escalonamento uniforme da forma. A literatura indica que diferentes parâmetros podem ter de ser controlados de forma independente para respeitar as proporções anatómicas, o conforto, a mobilidade e os requisitos de montagem. O estudo de Lim et al. (2018) (#ref-lim-2018), por exemplo, demonstra que o comprimento e a largura de um dedo protésico não devem ser ajustados como se fossem variáveis que variam de forma linear e proporcional, reforçando a necessidade de parametrizações mais finas do que simples operações de escala. De forma convergente, Gu et al. (2024) (#ref-gu-2024) mostram que abordagens data-driven podem apoiar a adaptação estrutural e a melhoria da vestibilidade, sugerindo que métodos inteligentes podem ser úteis para antecipar as relações entre geometria, desempenho e conforto. Para o sistema proposto, isto significa que a IA pode funcionar como uma camada de inferência preliminar sobre um espaço paramétrico já estruturado, e não como um gerador autónomo de soluções.</w:t>
      </w:r>
    </w:p>
    <w:p>
      <w:pPr/>
      <w: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r>
        <w:t>No protótipo implementado, esta separação é materializada pela construção dinâmica do pedido enviado ao modelo de linguagem. O pedido inclui a descrição livre do paciente,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r>
        <w:t>É por isso que, nesta investigação, a personalização assistida por IA deve ser entendida como uma prática de human-in-the-loop. O sistema não procura substituir o protésico, o designer ou o utilizador informado, mas sim ampliar a sua capacidade de análise e de exploração. A IA pode sugerir configurações iniciais, organizar alternativas, sinalizar dependências entre parâmetros e tornar mais legíveis certas consequências projetuais; a aceitação final, porém, continua dependente de verificação técnica e de julgamento contextual. Deste modo, a parametrização assistida por IA não corresponde a uma automatização cega da personalização, mas a um mecanismo de apoio à decisão que atua sobre uma base geométrica explícita, rastreável e tecnicamente verificável.</w:t>
      </w:r>
    </w:p>
    <w:p>
      <w:pPr>
        <w:pStyle w:val="Heading3"/>
      </w:pPr>
      <w:r>
        <w:t>6.3 Validação antropométrica assistida por IA no sistema</w:t>
      </w:r>
    </w:p>
    <w:p>
      <w:pPr/>
      <w:r>
        <w:t>A validação antropométrica assistida por IA realizada no sistema deve ser entendida como validação interna de plausibilidade e de coerência paramétrica, não como validação clínica da prótese final. O objetivo foi verificar se uma pessoa sem conhecimento técnico de medições da mão poderia descrever um caso em linguagem comum e obter, como ponto de partida, um conjunto de parâmetros anatómica e tecnicamente plausível para o modelo Flexy Beast. Esta distinção é metodologicamente essencial: a plataforma consegue testar conformidade com o esquema, intervalos declarados, proporcionalidade digital e coerência de lateralidade, mas não consegue, por si só, provar conforto, segurança, desempenho funcional ou adequação terapêutica.</w:t>
      </w:r>
    </w:p>
    <w:p>
      <w:pPr/>
      <w:r>
        <w:t>O ensaio foi estruturado a partir da cadeia funcional implementada na plataforma: descrição livre do caso, construção do pedido no frontend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r>
        <w:t>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O terceiro foi a plausibilidade adulta, usando como referência os intervalos antropométricos canónicos já adotados no sistema. O quarto foi a adequação etária, sobretudo em perfis infantis ou adolescentes. O quinto foi a lateralidade em casos de amputação unilateral, verificando se o parâmetro de espelhamento produzia a mão do lado amputado e não uma cópia do lado medido.</w:t>
      </w:r>
    </w:p>
    <w:p>
      <w:pPr/>
      <w:r>
        <w:t>O primeiro conjunto experimental usou cinco perfis sintéticos descritos apenas por indicadores populacionais indiretos, como idade, sexo, altura, peso, país, envergadura ou constituição física, sem qualquer medição direta da mão. Este cenário é relevante porque corresponde ao caso de menor literacia técnica: o utilizador não sabe medir a mão com rigor, mas consegue fornecer informação demográfica geral. Nas cinco situações, a IA produziu valores dentro dos limites do modelo, manteve a ordem anatómica dos dedos e gerou dimensões compatíveis com a idade e a constituição descritas. A redução espontânea de parâmetros de hardware num perfil infantil também mostrou que o modelo de linguagem usou as legendas do esquema, e não apenas os nomes técnicos dos parâmetros.</w:t>
      </w:r>
    </w:p>
    <w:p>
      <w:pPr/>
      <w:r>
        <w:t>O segundo conjunto experimental avaliou três níveis de riqueza de entrada em cenários de amputação unilateral. Num caso com medições completas da mão intacta, os valores fornecidos foram preservados de forma literal e o sistema sugeriu a mão oposta. 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Este resultado é relevante porque mostra que a IA consegue degradar o comportamento de forma gradual: usa medições diretas quando existem, ancora estimativas em dados parciais e recorre a normas populacionais quando só há descrição geral.</w:t>
      </w:r>
    </w:p>
    <w:p>
      <w:pPr/>
      <w:r>
        <w:t>Numa etapa posterior, a validação foi prolongada para além da resposta numérica, acompanhando o percurso completo até à exportação STL. Esta verificação intermodelos aplicou descrições de pacientes a três mãos ativas na plataforma — Flexy Beast, Paraglider Hand e UnLimbited Phoenix —, acionou o fluxo real de sugestão por IA, aplicou os parâmetros, exportou as geometrias e mediu as malhas resultantes. O objetivo desta etapa foi confirmar se a coerência paramétrica observada no JSON chegava efetivamente à geometria imprimível e se diferentes modelos respondiam de forma previsível aos mesmos perfis antropométricos.</w:t>
      </w:r>
    </w:p>
    <w:p>
      <w:pPr/>
      <w:r>
        <w:t>Os resultados devem, contudo, ser lidos com cautela. A execução documentada corresponde a uma amostra representativa, não a uma caracterização estatística completa da distribuição de saídas. A repetição do mesmo perfil produziu variações pequenas, na ordem de poucos milímetros, preservando os invariantes anatómicos e os limites do modelo; ainda assim, essa variabilidade confirma que a componente de IA é estocástica. Também se observou uma forma de variabilidade estrutural: em algumas execuções, certos parâmetros de hardware foram emitidos explicitamente; noutras, foram omitidos, deixando o valor corrente do modelo. Ambas as respostas são aceitáveis no contrato atual, mas reforçam a necessidade de avaliar propriedades invariantes, e não valores exatos isolados.</w:t>
      </w:r>
    </w:p>
    <w:p>
      <w:pPr/>
      <w:r>
        <w:t xml:space="preserve">A principal fragilidade identificada nas validações posteriores prende-se com a lateralidade. Embora os primeiros ensaios de amputação unilateral tenham produzido o lado correto, a verificação UCD com pedidos explícitos de mão esquerda mostrou que a IA tendia a emitir sistematicamente o valor correspondente à mão direita. Esta falha foi tratada como risco de segurança e corrigida na arquitetura: a lateralidade passou a ser uma escolha determinística da interface, marcada nos parâmetros com </w:t>
      </w:r>
      <w:r>
        <w:rPr>
          <w:rFonts w:ascii="Consolas" w:hAnsi="Consolas"/>
          <w:sz w:val="20"/>
        </w:rPr>
        <w:t>role: "laterality"</w:t>
      </w:r>
      <w:r>
        <w:t>, excluída da lista de valores sugeridos pela IA, injetada no pedido como facto fixo e descartada defensivamente caso surja na resposta do modelo. Assim, o lado da prótese deixa de depender de inferência linguística e passa a ser uma restrição controlada pelo sistema.</w:t>
      </w:r>
    </w:p>
    <w:p>
      <w:pPr/>
      <w:r>
        <w:t>A principal conclusão desta validação é que a IA pode cumprir uma função útil de acessibilidade paramétrica: transformar descrições incompletas e não técnicas em pontos de partida editáveis, coerentes e auditáveis. No entanto, a sua utilidade depende da arquitetura que a contém. A sugestão só é metodologicamente defensável porque está ancorada no esquema do modelo, limitada por intervalos, filtrada pela interface e sujeita a revisão humana. 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Heading3"/>
      </w:pPr>
      <w:r>
        <w:t>6.4 Ajuste, validação e limitações éticas e técnicas</w:t>
      </w:r>
    </w:p>
    <w:p>
      <w:pPr/>
      <w:r>
        <w:t>A introdução de IA num sistema deste tipo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Por essa razão, as saídas da IA devem ser entendidas como hipóteses operativas sujeitas a validação posterior, e não como prescrições definitivas.</w:t>
      </w:r>
    </w:p>
    <w:p>
      <w:pPr/>
      <w:r>
        <w:t>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Assim, a integração robusta da IA depende da existência de salvaguardas no próprio sistema: limites paramétricos, validação de intervalos, verificação de coerência entre módulos, comparação entre alternativas e supervisão humana capaz de identificar quando uma sugestão é tecnicamente infundada ou insuficientemente justificada. Esta necessidade de enquadramento crítico é coerente com a literatura sobre explicabilidade e responsabilidade no design assistido por IA, que sublinha a importância de não tratar o modelo algorítmico como uma caixa-preta autojustificada (Panchal et al., 2019 (#ref-panchal-2019); Yüksel et al., 2023 (#ref-yuksel-2023)).</w:t>
      </w:r>
    </w:p>
    <w:p>
      <w:pPr/>
      <w:r>
        <w:t>A Figura 6.1 sintetiza esta tensão entre desafios de explicabilidade e princípios de IA responsável. No contexto desta investigação, a figura é útil porque torna explícito que a responsabilidade não depende apenas de desempenho preditivo, mas de condições como transparência, auditabilidade, privacidade, justiça e prestação de contas. Estes princípios reforçam a opção do sistema por uma IA assistiva, limitada por regras e sujeita a revisão humana (Barredo Arrieta et al., 2020 (#ref-arrieta-2020)).</w:t>
      </w:r>
    </w:p>
    <w:p>
      <w:r>
        <w:drawing>
          <wp:inline xmlns:wp="http://schemas.openxmlformats.org/drawingml/2006/wordprocessingDrawing" distT="0" distB="0" distL="0" distR="0">
            <wp:extent cx="5715000" cy="2000250"/>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pic:nvPicPr>
                  <pic:blipFill>
                    <a:blip xmlns:r="http://schemas.openxmlformats.org/officeDocument/2006/relationships" r:embed="rId18"/>
                    <a:stretch>
                      <a:fillRect/>
                    </a:stretch>
                  </pic:blipFill>
                  <pic:spPr>
                    <a:xfrm>
                      <a:off x="0" y="0"/>
                      <a:ext cx="5715000" cy="2000250"/>
                    </a:xfrm>
                    <a:prstGeom prst="rect">
                      <a:avLst/>
                    </a:prstGeom>
                  </pic:spPr>
                </pic:pic>
              </a:graphicData>
            </a:graphic>
          </wp:inline>
        </w:drawing>
      </w:r>
    </w:p>
    <w:p>
      <w:pPr/>
      <w:r>
        <w:t>Figura 6.1 — Relação entre desafios de explicabilidade e princípios de IA responsável.</w:t>
      </w:r>
    </w:p>
    <w:p>
      <w:pPr/>
      <w:r>
        <w:t>Fonte original (APA 7):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r>
        <w:t>As limitações éticas são igualmente centrais. Num domínio associado a dispositivos personalizados e potencialmente sensíveis, importa evitar a recolha excessiva de dados, a exposição desnecessária de informação pessoal e a falsa perceção de objetividade algorítmica. Mesmo quando o sistema trabalha com dados antropométricos não clínicos ou em cenários experimentais, a sua arquitetura deve assumir princípios de minimização de dados, controlo de acesso e transparência quanto ao papel efetivo da IA. O utilizador deve compreender que está perante um sistema de apoio à decisão e não perante uma autoridade clínica autónoma. Esta clareza é essencial para evitar deslocamentos indevidos de responsabilidade e definir corretamente o escopo da ferramenta.</w:t>
      </w:r>
    </w:p>
    <w:p>
      <w:pPr/>
      <w: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Bdr>
          <w:bottom w:val="single" w:sz="6" w:space="1" w:color="808080"/>
        </w:pBdr>
      </w:pPr>
    </w:p>
    <w:p>
      <w:pPr>
        <w:pStyle w:val="Heading2"/>
      </w:pPr>
      <w:r>
        <w:t>Capítulo 7 — Interface, Interação e Experiência de Utilização</w:t>
      </w:r>
    </w:p>
    <w:p>
      <w:pPr>
        <w:pStyle w:val="Heading3"/>
      </w:pPr>
      <w:r>
        <w:t>7.1 Estratégia de interação e decisões de UI/UX</w:t>
      </w:r>
    </w:p>
    <w:p>
      <w:pPr/>
      <w:r>
        <w:t>A estratégia de interação da plataforma foi definida a partir de um problema central: tornar utilizável um sistema de modelação paramétrica baseado em código sem expor o utilizador à complexidade direta do OpenSCAD. Em vez de apresentar a lógica algorítmica do modelo como interface principal, a aplicação organiza a interação em torno de ações reconhecíveis e progressivas, como selecionar um modelo, introduzir dados antropométricos, ajustar parâmetros, observar o resultado e guardar versões. Esta opção traduz uma decisão de UI/UX deliberada: a interface não procura ocultar a natureza técnica do sistema, mas reconfigurá-la em operações compreensíveis, sequenciais e verificáveis, em linha com abordagens que privilegiam a clareza do onboarding, a navegação guiada e a redução da carga interpretativa em plataformas de personalização protésica (Colombo et al., 2015 (#ref-colombo-2015); Peixoto et al., 2025 (#ref-peixoto-2025)).</w:t>
      </w:r>
    </w:p>
    <w:p>
      <w:pPr/>
      <w:r>
        <w:t>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feedback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A literatura revisada sugere precisamente que sistemas de configuração mais eficazes tendem a separar a visualização, o ajuste e a validação em camadas de interação mais inteligíveis, quer em plataformas web orientadas ao utilizador final, quer em interfaces destinadas a profissionais de ajuste protésico (Peixoto et al., 2025 (#ref-peixoto-2025); Quintero et al., 2018 (#ref-quintero-2018)).</w:t>
      </w:r>
    </w:p>
    <w:p>
      <w:pPr/>
      <w:r>
        <w:t>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UI/UX,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r>
        <w:t>Outra decisão relevante diz respeito à articulação entre a edição paramétrica e a pré-visualização. A renderização local via WebAssembly permite que a resposta visual decorra da própria lógica geométrica do sistema, e não de imagens estáticas ou de simplificações visuais desconexas do modelo. 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r>
        <w:t>Em termos de linguagem visual e de uso, a plataforma privilegia a clareza funcional em relação à exuberância formal. Isto é coerente com o contexto do projeto: trata-se de uma ferramenta de configuração protésica, não de um configurador lúdico ou promocional. Assim, as decisões de UI/UX visam favorecer a legibilidade, a consistência entre os controlos, a previsibilidade das ações e a rastreabilidade das alterações. O valor da interface não reside apenas na aparência, mas na sua capacidade de mediar, com o mínimo de ambiguidade possível, a passagem entre os dados do utilizador, as regras paramétricas, a assistência algorítmica e o resultado tridimensional. Essa necessidade de clareza torna-se ainda mais evidente quando a literatura sobre próteses inteligentes sublinha a importância de equilibrar a autonomia do utilizador, os mecanismos de supervisão e a diferenciação de permissões entre utilizadores e profissionais (Bai et al., 2024 (#ref-bai-2024); Quintero et al., 2018 (#ref-quintero-2018)).</w:t>
      </w:r>
    </w:p>
    <w:p>
      <w:pPr/>
      <w:r>
        <w:t>Deste modo, a estratégia de interação adotada não deve ser lida apenas como um conjunto de escolhas de interface, mas como uma decisão metodológica sobre a forma de tornar o processo de personalização observável, configurável e criticável. A UI/UX participa diretamente na construção do sistema, atuando como infraestrutura de mediação entre o conhecimento técnico, os dados individuais e a decisão projetual. O seu objetivo não é simplificar artificialmente o problema, mas organizar a complexidade de forma inteligível, preservando continuidade com a lógica paramétrica do modelo e com o enquadramento assistivo da IA discutido no capítulo anterior.</w:t>
      </w:r>
    </w:p>
    <w:p>
      <w:pPr>
        <w:pStyle w:val="Heading3"/>
      </w:pPr>
      <w:r>
        <w:t>7.2 Experiência do designer e do utilizador final</w:t>
      </w:r>
    </w:p>
    <w:p>
      <w:pPr/>
      <w:r>
        <w:t>A experiência do designer, técnico ou clínico que utiliza a plataforma distingue-se estruturalmente da do utilizador final, embora ambas se desenvolvam sobre a mesma infraestrutura digital. A literatura analisada sugere que esta diferença não decorre apenas de níveis distintos de literacia técnica, mas também do próprio tipo de decisão que cada agente é chamado a tomar. 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Em contrapartida, quando a configuração incide sobre preferências de controlo, inteligibilidade do sistema ou aspetos estéticos mais diretamente experienciados pelo utilizador, a participação deste torna-se mais substantiva. 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r>
        <w:t>Para o designer, protésico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Contudo, essa mesma literatura mostra também que a digitalização não aumenta automaticamente a confiança profissional: quando o sistema elimina pistas tácteis, empíricas ou processuais importantes, pode igualmente restringir certas formas de saber prático, como sugere a literatura sobre retificação digital e workflows CAD/CAM.</w:t>
      </w:r>
    </w:p>
    <w:p>
      <w:pPr/>
      <w:r>
        <w:t>Para o utilizador final, por outro lado, a experiência tende a ser mais centrada na compreensibilidade, na confiança e na perceção de participação. Mesmo quando a pessoa não manipula diretamente todos os parâmetros, a possibilidade de visualizar o modelo, reconhecer alterações e acompanhar o processo de personalização torna a configuração menos opaca. A interface ajuda, assim, a transformar essa adaptação de uma decisão técnica distante em um processo parcialmente observável e inteligível. Este aspeto é particularmente relevante num domínio em que a aceitação de uma prótese não depende apenas do desempenho funcional, mas também da perceção de adequação, de participação e de controlo sobre o resultado. A literatura revisada sugere, de forma consistente, que a inteligibilidade da lógica do sistema influencia a experiência de uso: quando o sistema torna mais visíveis os efeitos das ações, os limites das escolhas ou a relação entre input e comportamento, tende a aumentar tanto a capacidade de uso quanto a confiança subjetiva. Plataformas de personalização estética e sistemas com uma visualização mais explícita do espaço de decisão sugerem, precisamente, que a agência do utilizador cresce quando o domínio editável é legível e de baixo risco (Peixoto et al., 2025 (#ref-peixoto-2025)).</w:t>
      </w:r>
    </w:p>
    <w:p>
      <w:pPr/>
      <w:r>
        <w:t>Esta diferenciação torna-se mais clara quando se distinguem três domínios de personalização que a literatura tende a tratar de forma distinta. No primeiro, correspondente à geometria do encaixe e ao ajustamento biomecânico, predomina uma lógica clínica: a pessoa fornece feedback sobre conforto, tolerância ou preferência, mas a decisão permanece concentrada em quem detém competência técnica e responsabilidade pela validação. No segundo, correspondente à personalização do controlo e à afinação de sistemas interativos, a autoridade do utilizador tende a aumentar, porque só ele pode avaliar de forma imediata a sensação de controlo, a carga cognitiva ou a adequação do comportamento do sistema em uso. No terceiro, ligado à personalização estética e identitária, a literatura sugere que a autonomia dessa participação pode ser mais ampla, precisamente porque o risco clínico e biomecânico é menor e o critério de adequação é mais diretamente experienciado pelo próprio. Esta distinção é importante porque impede tratar a “participação do utilizador” como uma categoria homogénea.</w:t>
      </w:r>
    </w:p>
    <w:p>
      <w:pPr/>
      <w:r>
        <w:t>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A literatura recente sobre próteses inteligentes e interfaces configuráveis aponta no mesmo sentido, defendendo modelos de controlo em que parâmetros críticos permanecem sob supervisão profissional, enquanto ajustes mais circunscritos podem tornar-se acessíveis ao utilizador final (Bai et al., 2024 (#ref-bai-2024); Quintero et al., 2018 (#ref-quintero-2018)).</w:t>
      </w:r>
    </w:p>
    <w:p>
      <w:pPr/>
      <w:r>
        <w:t>A Figura 7.1 ilustra a importância de observar a experiência em uso, e não apenas a configuração abstrata do dispositivo. O teste com utilizador permite identificar problemas de acoplamento, ativação, conforto e adequação funcional que não emergem de forma suficiente no modelo digital. Para esta investigação, a imagem funciona como lembrete metodológico: a plataforma pode tornar o processo mais legível e configurável, mas a experiência situada continua a ser indispensável para validação futura (Silva et al., 2018 (#ref-silva-alcara-2018)).</w:t>
      </w:r>
    </w:p>
    <w:p>
      <w:r>
        <w:drawing>
          <wp:inline xmlns:wp="http://schemas.openxmlformats.org/drawingml/2006/wordprocessingDrawing" distT="0" distB="0" distL="0" distR="0">
            <wp:extent cx="5038725" cy="4724400"/>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xmlns:r="http://schemas.openxmlformats.org/officeDocument/2006/relationships" r:embed="rId19"/>
                    <a:stretch>
                      <a:fillRect/>
                    </a:stretch>
                  </pic:blipFill>
                  <pic:spPr>
                    <a:xfrm>
                      <a:off x="0" y="0"/>
                      <a:ext cx="5038725" cy="4724400"/>
                    </a:xfrm>
                    <a:prstGeom prst="rect">
                      <a:avLst/>
                    </a:prstGeom>
                  </pic:spPr>
                </pic:pic>
              </a:graphicData>
            </a:graphic>
          </wp:inline>
        </w:drawing>
      </w:r>
    </w:p>
    <w:p>
      <w:pPr/>
      <w:r>
        <w:t>Figura 7.1 — Teste de uma prótese impressa em 3D com utilizador em contexto aplicado.</w:t>
      </w:r>
    </w:p>
    <w:p>
      <w:pPr/>
      <w:r>
        <w:t>Fonte original (APA 7): Silva, L. A. da, Medola, F. O., Rodrigues, O. V., Rodrigues, A. C. T., &amp; Sandnes, F. E. (2018). Interdisciplinary-based development of user-friendly customized 3D printed upper limb prosthesis. Comunicação em conferência.</w:t>
      </w:r>
    </w:p>
    <w:p>
      <w:pPr/>
      <w:r>
        <w:t>Do ponto de vista da experiência global, a plataforma revela-se mais forte quando entendida como um espaço de colaboração assimétrica. O designer ou técnico dispõe de uma ferramenta que acelera iterações, estrutura a exploração paramétrica e apoia decisões de maior responsabilidade; o utilizador final ganha maior transparência, inteligibilidade e possibilidade de acompanhamento; e o sistema, no seu conjunto, passa a oferecer uma cadeia de interação mais clara entre o conhecimento especializado e a necessidade individual. A utilização da plataforma não se resume, por isso, à ergonomia dos ecrãs, mas à forma como distribui a agência entre diferentes participantes no processo de personalização.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É precisamente essa distribuição desigual, mas intencional, de acesso, interpretação e decisão que prepara a questão seguinte: não apenas quem usa a plataforma, mas também de que modo ela própria medeia o processo de design.</w:t>
      </w:r>
    </w:p>
    <w:p>
      <w:pPr>
        <w:pStyle w:val="Heading3"/>
      </w:pPr>
      <w:r>
        <w:t>7.3 Mediação do processo de design e reflexão crítica</w:t>
      </w:r>
    </w:p>
    <w:p>
      <w:pPr/>
      <w:r>
        <w:t>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mas também porque explicita que a personalização não é um ato instantâneo: trata-se de uma dinâmica iterativa de leitura de dados, proposta de configuração, avaliação visual, revisão crítica e eventual exportação para fabrico. A literatura revisada reforça que esta dimensão processual não constitui mero efeito secundário da interface, mas sim parte central do modo como sistemas digitais desta natureza distribuem trabalho, autoridade e visibilidade entre diferentes agentes. Em vez de apenas executar decisões previamente tomadas, a plataforma ajuda a estruturar quando, como e por quem essas decisões se tornam possíveis.</w:t>
      </w:r>
    </w:p>
    <w:p>
      <w:pPr/>
      <w:r>
        <w:t>Neste sentido, a interface funciona como um dispositivo epistemológico, e não apenas operacional. Ela condiciona a forma como o problema é visto, como as alternativas são exploradas e como as decisões são justificadas. Ao disponibilizar parâmetros editáveis, visualização tridimensional, sugestões assistidas por IA e gestão de versões, a plataforma torna o trabalho projetual mais estruturado e rastreável. Contudo, essa mesma estrutura também estabelece limites: o utilizador explora o espaço de soluções que o modelo e a interface permitem. A mediação digital aumenta a capacidade de ação, mas também enquadra e delimita o campo do possível. A literatura revisada sugere precisamente que as plataformas mais relevantes neste domínio operam por mecanismos concretos de mediação: controlo diferenciado de permissões, exposição seletiva de variáveis, pontos de partida algorítmicos, visualização orientada por problema e formas de supervisão embutidas na própria interface. Tal tensão entre a ampliação da capacidade e o enquadramento do campo de decisão torna-se particularmente visível em sistemas que diferenciam deliberadamente entre parâmetros acessíveis ao utilizador e parâmetros reservados a profissionais ou a rotinas automáticas de afinação (Bai et al., 2024 (#ref-bai-2024); Alili et al., 2023 (#ref-alili-2023)).</w:t>
      </w:r>
    </w:p>
    <w:p>
      <w:pPr/>
      <w:r>
        <w:t>Uma implicação decisiva desta leitura é que a plataforma não medeia apenas “quem usa”, mas também “o que pode ser visto”. A visualização tridimensional, os indicadores de estado, os limites paramétricos e os mecanismos de feedback não são elementos neutros de apresentação; organizam a inteligibilidade do problema. 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 Nesta perspetiva, a mediação digital não é mera facilitação; é também uma tecnologia de enquadramento do juízo projetual.</w:t>
      </w:r>
    </w:p>
    <w:p>
      <w:pPr/>
      <w:r>
        <w:t>Esta observação conduz a uma importante reflexão crítica. Uma interface bem desenhada pode criar a sensação de evidência ou de neutralidade em decisões que continuam contingentes e projetuais. O facto de um parâmetro ser apresentado como controlo disponível, ou de uma sugestão surgir com aparência de plausibilidade técnica, não significa que a solução esteja validada ou que represente a melhor opção em todos os contextos. 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r>
        <w:t>Deste ponto de vista, o sistema proposto assume uma posição produtiva: utiliza a interface para ampliar a acessibilidade, a inteligibilidade e a capacidade iterativa, sem dissolver a necessidade de julgamento humano. A mediação do processo de design não elimina a autoria projetual nem substitui a validação técnica; reorganiza-as num ambiente digital mais controlado e explícito. A plataforma redistribui a agência, mas não o faz de forma uniforme: concentra certas decisões em agentes tecnicamente qualificados, abre outras à participação informada do utilizador e deixa outras sob enquadramento assistido por lógica algorítmica. É precisamente nessa articulação entre interface, lógica paramétrica, sugestão assistida, visibilidade seletiva e responsabilidade crítica que reside o valor metodológico deste sistema enquanto contributo para o design de próteses personalizadas.</w:t>
      </w:r>
    </w:p>
    <w:p>
      <w:pPr>
        <w:pBdr>
          <w:bottom w:val="single" w:sz="6" w:space="1" w:color="808080"/>
        </w:pBdr>
      </w:pPr>
    </w:p>
    <w:p>
      <w:pPr>
        <w:pStyle w:val="Heading2"/>
      </w:pPr>
      <w:r>
        <w:t>Capítulo 8 — Avaliação e Discussão</w:t>
      </w:r>
    </w:p>
    <w:p>
      <w:pPr>
        <w:pStyle w:val="Heading3"/>
      </w:pPr>
      <w:r>
        <w:t>8.1 Estratégia e critérios de avaliação</w:t>
      </w:r>
    </w:p>
    <w:p>
      <w:pPr/>
      <w:r>
        <w:t>A avaliação do sistema foi organizada em torno de três níveis complementares: coerência técnica do modelo paramétrico, funcionamento da plataforma digital e plausibilidade das sugestões assistidas por IA. Esta separação é necessária porque o projeto combina componentes de natureza distinta. Um modelo OpenSCAD pode ser parametricamente consistente e, ainda assim, a interface pode não tornar essa consistência compreensível; do mesmo modo, uma sugestão de IA pode ser plausível como ponto de partida e continuar insuficiente como validação final da prótese. Assim, os critérios usados procuram avaliar o encadeamento entre dados, parâmetros, renderização, exportação e revisão humana, em vez de tratar qualquer componente como solução autónoma.</w:t>
      </w:r>
    </w:p>
    <w:p>
      <w:pPr/>
      <w:r>
        <w:t>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Estes critérios foram escolhidos porque são verificáveis dentro do sistema e correspondem a riscos diretamente relacionados com a personalização inicial. Não avaliam conforto, desempenho funcional nem segurança clínica, mas permitem identificar se a cadeia descrição livre, sugestão paramétrica e modelo renderizado preserva condições mínimas de plausibilidade antes de qualquer prototipagem.</w:t>
      </w:r>
    </w:p>
    <w:p>
      <w:pPr/>
      <w:r>
        <w:t>A avaliação geométrica prolongou estes critérios até à saída fabricável. Para isso, foram executados fluxos de ponta a ponta com a interface real: autenticação, introdução de descrição de paciente, chamada ao serviço de IA, aplicação dos valores sugeridos, renderização por OpenSCAD/WebAssembly, exportação STL e medição das malhas resultantes. Esta etapa foi importante porque uma resposta numérica correta não garante, por si só, que a geometria final escale da forma esperada. Ao medir as peças exportadas, tornou-se possível verificar se as relações paramétricas declaradas atravessavam efetivamente toda a arquitetura da plataforma.</w:t>
      </w:r>
    </w:p>
    <w:p>
      <w:pPr/>
      <w: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r>
        <w:drawing>
          <wp:inline xmlns:wp="http://schemas.openxmlformats.org/drawingml/2006/wordprocessingDrawing" distT="0" distB="0" distL="0" distR="0">
            <wp:extent cx="5715000" cy="3571875"/>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xmlns:r="http://schemas.openxmlformats.org/officeDocument/2006/relationships" r:embed="rId20"/>
                    <a:stretch>
                      <a:fillRect/>
                    </a:stretch>
                  </pic:blipFill>
                  <pic:spPr>
                    <a:xfrm>
                      <a:off x="0" y="0"/>
                      <a:ext cx="5715000" cy="3571875"/>
                    </a:xfrm>
                    <a:prstGeom prst="rect">
                      <a:avLst/>
                    </a:prstGeom>
                  </pic:spPr>
                </pic:pic>
              </a:graphicData>
            </a:graphic>
          </wp:inline>
        </w:drawing>
      </w:r>
    </w:p>
    <w:p>
      <w:pPr/>
      <w:r>
        <w:t>Figura 8.1 — Tarefas funcionais usadas em avaliação de prótese personalizada de membro superior.</w:t>
      </w:r>
    </w:p>
    <w:p>
      <w:pPr/>
      <w:r>
        <w:t>Fonte original (APA 7):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pPr>
      <w:r>
        <w:t>8.2 Validação antropométrica das sugestões de IA</w:t>
      </w:r>
    </w:p>
    <w:p>
      <w:pPr/>
      <w:r>
        <w:t>O primeiro conjunto experimental incidiu sobre cinco perfis descritos apenas por indicadores populacionais indiretos, como idade, sexo, altura, peso, país, comprimento do braço e constituição física. Não foram fornecidas medições diretas da mão. Este é o cenário de maior relevância para a acessibilidade do sistema, pois corresponde ao utilizador que consegue descrever o paciente em linguagem comum, mas não domina os procedimentos de medição antropométrica. Nas cinco situações, a IA produziu JSON válido, usou apenas parâmetros existentes, respeitou os limites declarados do modelo e manteve a ordenação anatómica esperada entre os dedos.</w:t>
      </w:r>
    </w:p>
    <w:p>
      <w:pPr/>
      <w:r>
        <w:t>A leitura dos resultados mostra uma degradação graciosa da informação disponível. Em adultos, as dimensões sugeridas permaneceram dentro dos intervalos antropométricos canónicos usados como referência no sistema. No perfil infantil, as dimensões foram reduzidas de forma coerente e o modelo diminuiu espontaneamente parâmetros de hardware das articulações flexíveis, usando informação presente nas legendas do esquema. No perfil adolescente, uma heurística inicial do teste assinalou a palma como potencialmente excessiva, mas a análise posterior mostrou que o valor era compatível com um adolescente alto de meia-adolescência. A falha, neste caso, estava na regra de teste demasiado rígida, e não na sugestão da IA.</w:t>
      </w:r>
    </w:p>
    <w:p>
      <w:pPr/>
      <w: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r>
        <w:t>Tabela 8.1 — Síntese da validação antropométrica assistida por IA</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Eixo avaliado</w:t>
            </w:r>
          </w:p>
        </w:tc>
        <w:tc>
          <w:tcPr>
            <w:tcW w:w="0" w:type="auto"/>
          </w:tcPr>
          <w:p>
            <w:pPr/>
            <w:r>
              <w:t>Resultado observado</w:t>
            </w:r>
          </w:p>
        </w:tc>
        <w:tc>
          <w:tcPr>
            <w:tcW w:w="0" w:type="auto"/>
          </w:tcPr>
          <w:p>
            <w:pPr/>
            <w:r>
              <w:t>Interpretação</w:t>
            </w:r>
          </w:p>
        </w:tc>
      </w:tr>
      <w:tr>
        <w:tc>
          <w:tcPr>
            <w:tcW w:w="0" w:type="auto"/>
          </w:tcPr>
          <w:p>
            <w:pPr/>
            <w:r>
              <w:t>Conformidade com o esquema</w:t>
            </w:r>
          </w:p>
        </w:tc>
        <w:tc>
          <w:tcPr>
            <w:tcW w:w="0" w:type="auto"/>
          </w:tcPr>
          <w:p>
            <w:pPr/>
            <w:r>
              <w:t>Saídas parseáveis, chaves conhecidas e valores dentro dos limites</w:t>
            </w:r>
          </w:p>
        </w:tc>
        <w:tc>
          <w:tcPr>
            <w:tcW w:w="0" w:type="auto"/>
          </w:tcPr>
          <w:p>
            <w:pPr/>
            <w:r>
              <w:t>O esquema vivo do modelo reduziu sugestões inválidas</w:t>
            </w:r>
          </w:p>
        </w:tc>
      </w:tr>
      <w:tr>
        <w:tc>
          <w:tcPr>
            <w:tcW w:w="0" w:type="auto"/>
          </w:tcPr>
          <w:p>
            <w:pPr/>
            <w:r>
              <w:t>Proporcionalidade digital</w:t>
            </w:r>
          </w:p>
        </w:tc>
        <w:tc>
          <w:tcPr>
            <w:tcW w:w="0" w:type="auto"/>
          </w:tcPr>
          <w:p>
            <w:pPr/>
            <w:r>
              <w:t>Dedo médio mais longo, mindinho mais curto e polegar abaixo do dedo médio</w:t>
            </w:r>
          </w:p>
        </w:tc>
        <w:tc>
          <w:tcPr>
            <w:tcW w:w="0" w:type="auto"/>
          </w:tcPr>
          <w:p>
            <w:pPr/>
            <w:r>
              <w:t>As relações anatómicas principais foram preservadas</w:t>
            </w:r>
          </w:p>
        </w:tc>
      </w:tr>
      <w:tr>
        <w:tc>
          <w:tcPr>
            <w:tcW w:w="0" w:type="auto"/>
          </w:tcPr>
          <w:p>
            <w:pPr/>
            <w:r>
              <w:t>Entradas ricas</w:t>
            </w:r>
          </w:p>
        </w:tc>
        <w:tc>
          <w:tcPr>
            <w:tcW w:w="0" w:type="auto"/>
          </w:tcPr>
          <w:p>
            <w:pPr/>
            <w:r>
              <w:t>Medições fornecidas mantidas literalmente</w:t>
            </w:r>
          </w:p>
        </w:tc>
        <w:tc>
          <w:tcPr>
            <w:tcW w:w="0" w:type="auto"/>
          </w:tcPr>
          <w:p>
            <w:pPr/>
            <w:r>
              <w:t>A IA não reestimou valores diretamente declarados</w:t>
            </w:r>
          </w:p>
        </w:tc>
      </w:tr>
      <w:tr>
        <w:tc>
          <w:tcPr>
            <w:tcW w:w="0" w:type="auto"/>
          </w:tcPr>
          <w:p>
            <w:pPr/>
            <w:r>
              <w:t>Entradas parciais</w:t>
            </w:r>
          </w:p>
        </w:tc>
        <w:tc>
          <w:tcPr>
            <w:tcW w:w="0" w:type="auto"/>
          </w:tcPr>
          <w:p>
            <w:pPr/>
            <w:r>
              <w:t>Campos em falta estimados em torno da medida fornecida</w:t>
            </w:r>
          </w:p>
        </w:tc>
        <w:tc>
          <w:tcPr>
            <w:tcW w:w="0" w:type="auto"/>
          </w:tcPr>
          <w:p>
            <w:pPr/>
            <w:r>
              <w:t>O sistema combinou dados explícitos e priors populacionais</w:t>
            </w:r>
          </w:p>
        </w:tc>
      </w:tr>
      <w:tr>
        <w:tc>
          <w:tcPr>
            <w:tcW w:w="0" w:type="auto"/>
          </w:tcPr>
          <w:p>
            <w:pPr/>
            <w:r>
              <w:t>Entradas apenas demográficas</w:t>
            </w:r>
          </w:p>
        </w:tc>
        <w:tc>
          <w:tcPr>
            <w:tcW w:w="0" w:type="auto"/>
          </w:tcPr>
          <w:p>
            <w:pPr/>
            <w:r>
              <w:t>Conjunto completo e plausível de parâmetros</w:t>
            </w:r>
          </w:p>
        </w:tc>
        <w:tc>
          <w:tcPr>
            <w:tcW w:w="0" w:type="auto"/>
          </w:tcPr>
          <w:p>
            <w:pPr/>
            <w:r>
              <w:t>O fluxo oferece um ponto de partida para utilizadores não especialistas</w:t>
            </w:r>
          </w:p>
        </w:tc>
      </w:tr>
      <w:tr>
        <w:tc>
          <w:tcPr>
            <w:tcW w:w="0" w:type="auto"/>
          </w:tcPr>
          <w:p>
            <w:pPr/>
            <w:r>
              <w:t>Lateralidade</w:t>
            </w:r>
          </w:p>
        </w:tc>
        <w:tc>
          <w:tcPr>
            <w:tcW w:w="0" w:type="auto"/>
          </w:tcPr>
          <w:p>
            <w:pPr/>
            <w:r>
              <w:t>Correta nos cenários iniciais, mas falhou em pedidos explícitos de mão esquerda na avaliação UCD</w:t>
            </w:r>
          </w:p>
        </w:tc>
        <w:tc>
          <w:tcPr>
            <w:tcW w:w="0" w:type="auto"/>
          </w:tcPr>
          <w:p>
            <w:pPr/>
            <w:r>
              <w:t>Corrigida por controlo determinístico da interface e exclusão da lateralidade das sugestões da IA</w:t>
            </w:r>
          </w:p>
        </w:tc>
      </w:tr>
    </w:tbl>
    <w:p>
      <w:pPr/>
      <w:r>
        <w:t>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Esta variabilidade confirma que a avaliação deve privilegiar propriedades invariantes, taxas de aprovação e comportamento em cenários de baixo conhecimento, e não valores absolutos isolados.</w:t>
      </w:r>
    </w:p>
    <w:p>
      <w:pPr>
        <w:pStyle w:val="Heading3"/>
      </w:pPr>
      <w:r>
        <w:t>8.3 Validação geométrica intermodelos</w:t>
      </w:r>
    </w:p>
    <w:p>
      <w:pPr/>
      <w: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r>
        <w:t>Tabela 8.2 — Modelos e mecanismos de escala avaliados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Modelo</w:t>
            </w:r>
          </w:p>
        </w:tc>
        <w:tc>
          <w:tcPr>
            <w:tcW w:w="0" w:type="auto"/>
          </w:tcPr>
          <w:p>
            <w:pPr/>
            <w:r>
              <w:t>Entradas antropométricas principais</w:t>
            </w:r>
          </w:p>
        </w:tc>
        <w:tc>
          <w:tcPr>
            <w:tcW w:w="0" w:type="auto"/>
          </w:tcPr>
          <w:p>
            <w:pPr/>
            <w:r>
              <w:t>Mecanismo de escala</w:t>
            </w:r>
          </w:p>
        </w:tc>
        <w:tc>
          <w:tcPr>
            <w:tcW w:w="0" w:type="auto"/>
          </w:tcPr>
          <w:p>
            <w:pPr/>
            <w:r>
              <w:t>Implicação observada</w:t>
            </w:r>
          </w:p>
        </w:tc>
      </w:tr>
      <w:tr>
        <w:tc>
          <w:tcPr>
            <w:tcW w:w="0" w:type="auto"/>
          </w:tcPr>
          <w:p>
            <w:pPr/>
            <w:r>
              <w:t>Flexy Beast</w:t>
            </w:r>
          </w:p>
        </w:tc>
        <w:tc>
          <w:tcPr>
            <w:tcW w:w="0" w:type="auto"/>
          </w:tcPr>
          <w:p>
            <w:pPr/>
            <w:r>
              <w:t>Largura da palma e comprimentos dos cinco dedos</w:t>
            </w:r>
          </w:p>
        </w:tc>
        <w:tc>
          <w:tcPr>
            <w:tcW w:w="0" w:type="auto"/>
          </w:tcPr>
          <w:p>
            <w:pPr/>
            <w:r>
              <w:t>Escalas independentes para palma e dedos</w:t>
            </w:r>
          </w:p>
        </w:tc>
        <w:tc>
          <w:tcPr>
            <w:tcW w:w="0" w:type="auto"/>
          </w:tcPr>
          <w:p>
            <w:pPr/>
            <w:r>
              <w:t>Adequado a crianças e mãos pequenas</w:t>
            </w:r>
          </w:p>
        </w:tc>
      </w:tr>
      <w:tr>
        <w:tc>
          <w:tcPr>
            <w:tcW w:w="0" w:type="auto"/>
          </w:tcPr>
          <w:p>
            <w:pPr/>
            <w:r>
              <w:t>Paraglider Hand</w:t>
            </w:r>
          </w:p>
        </w:tc>
        <w:tc>
          <w:tcPr>
            <w:tcW w:w="0" w:type="auto"/>
          </w:tcPr>
          <w:p>
            <w:pPr/>
            <w:r>
              <w:t>Palma e dedos, com parâmetros adicionais de contexto</w:t>
            </w:r>
          </w:p>
        </w:tc>
        <w:tc>
          <w:tcPr>
            <w:tcW w:w="0" w:type="auto"/>
          </w:tcPr>
          <w:p>
            <w:pPr/>
            <w:r>
              <w:t>Escala geral da palma e ajustes por dedo</w:t>
            </w:r>
          </w:p>
        </w:tc>
        <w:tc>
          <w:tcPr>
            <w:tcW w:w="0" w:type="auto"/>
          </w:tcPr>
          <w:p>
            <w:pPr/>
            <w:r>
              <w:t>Adequado a adultos e a uma gama ampla de perfis</w:t>
            </w:r>
          </w:p>
        </w:tc>
      </w:tr>
      <w:tr>
        <w:tc>
          <w:tcPr>
            <w:tcW w:w="0" w:type="auto"/>
          </w:tcPr>
          <w:p>
            <w:pPr/>
            <w:r>
              <w:t>UnLimbited Phoenix</w:t>
            </w:r>
          </w:p>
        </w:tc>
        <w:tc>
          <w:tcPr>
            <w:tcW w:w="0" w:type="auto"/>
          </w:tcPr>
          <w:p>
            <w:pPr/>
            <w:r>
              <w:t>Largura da palma</w:t>
            </w:r>
          </w:p>
        </w:tc>
        <w:tc>
          <w:tcPr>
            <w:tcW w:w="0" w:type="auto"/>
          </w:tcPr>
          <w:p>
            <w:pPr/>
            <w:r>
              <w:t>Escala uniforme limitada por piso mínimo</w:t>
            </w:r>
          </w:p>
        </w:tc>
        <w:tc>
          <w:tcPr>
            <w:tcW w:w="0" w:type="auto"/>
          </w:tcPr>
          <w:p>
            <w:pPr/>
            <w:r>
              <w:t>Fiel ao modelo original, mas inadequado para mãos pequenas</w:t>
            </w:r>
          </w:p>
        </w:tc>
      </w:tr>
    </w:tbl>
    <w:p>
      <w:pPr/>
      <w: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r>
        <w:t>Tabela 8.3 — Rácio da maior dimensão da palma exportada face ao baseline</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Perfil</w:t>
            </w:r>
          </w:p>
        </w:tc>
        <w:tc>
          <w:tcPr>
            <w:tcW w:w="0" w:type="auto"/>
          </w:tcPr>
          <w:p>
            <w:pPr/>
            <w:r>
              <w:t>Flexy Beast</w:t>
            </w:r>
          </w:p>
        </w:tc>
        <w:tc>
          <w:tcPr>
            <w:tcW w:w="0" w:type="auto"/>
          </w:tcPr>
          <w:p>
            <w:pPr/>
            <w:r>
              <w:t>Paraglider Hand</w:t>
            </w:r>
          </w:p>
        </w:tc>
        <w:tc>
          <w:tcPr>
            <w:tcW w:w="0" w:type="auto"/>
          </w:tcPr>
          <w:p>
            <w:pPr/>
            <w:r>
              <w:t>UnLimbited Phoenix</w:t>
            </w:r>
          </w:p>
        </w:tc>
      </w:tr>
      <w:tr>
        <w:tc>
          <w:tcPr>
            <w:tcW w:w="0" w:type="auto"/>
          </w:tcPr>
          <w:p>
            <w:pPr/>
            <w:r>
              <w:t>Baseline</w:t>
            </w:r>
          </w:p>
        </w:tc>
        <w:tc>
          <w:tcPr>
            <w:tcW w:w="0" w:type="auto"/>
          </w:tcPr>
          <w:p>
            <w:pPr/>
            <w:r>
              <w:t>1,000</w:t>
            </w:r>
          </w:p>
        </w:tc>
        <w:tc>
          <w:tcPr>
            <w:tcW w:w="0" w:type="auto"/>
          </w:tcPr>
          <w:p>
            <w:pPr/>
            <w:r>
              <w:t>1,000</w:t>
            </w:r>
          </w:p>
        </w:tc>
        <w:tc>
          <w:tcPr>
            <w:tcW w:w="0" w:type="auto"/>
          </w:tcPr>
          <w:p>
            <w:pPr/>
            <w:r>
              <w:t>1,000</w:t>
            </w:r>
          </w:p>
        </w:tc>
      </w:tr>
      <w:tr>
        <w:tc>
          <w:tcPr>
            <w:tcW w:w="0" w:type="auto"/>
          </w:tcPr>
          <w:p>
            <w:pPr/>
            <w:r>
              <w:t>Criança</w:t>
            </w:r>
          </w:p>
        </w:tc>
        <w:tc>
          <w:tcPr>
            <w:tcW w:w="0" w:type="auto"/>
          </w:tcPr>
          <w:p>
            <w:pPr/>
            <w:r>
              <w:t>0,761</w:t>
            </w:r>
          </w:p>
        </w:tc>
        <w:tc>
          <w:tcPr>
            <w:tcW w:w="0" w:type="auto"/>
          </w:tcPr>
          <w:p>
            <w:pPr/>
            <w:r>
              <w:t>0,747</w:t>
            </w:r>
          </w:p>
        </w:tc>
        <w:tc>
          <w:tcPr>
            <w:tcW w:w="0" w:type="auto"/>
          </w:tcPr>
          <w:p>
            <w:pPr/>
            <w:r>
              <w:t>0,760 antes da correção; 1,000 após impor o piso</w:t>
            </w:r>
          </w:p>
        </w:tc>
      </w:tr>
      <w:tr>
        <w:tc>
          <w:tcPr>
            <w:tcW w:w="0" w:type="auto"/>
          </w:tcPr>
          <w:p>
            <w:pPr/>
            <w:r>
              <w:t>Mulher adulta</w:t>
            </w:r>
          </w:p>
        </w:tc>
        <w:tc>
          <w:tcPr>
            <w:tcW w:w="0" w:type="auto"/>
          </w:tcPr>
          <w:p>
            <w:pPr/>
            <w:r>
              <w:t>0,932</w:t>
            </w:r>
          </w:p>
        </w:tc>
        <w:tc>
          <w:tcPr>
            <w:tcW w:w="0" w:type="auto"/>
          </w:tcPr>
          <w:p>
            <w:pPr/>
            <w:r>
              <w:t>0,928</w:t>
            </w:r>
          </w:p>
        </w:tc>
        <w:tc>
          <w:tcPr>
            <w:tcW w:w="0" w:type="auto"/>
          </w:tcPr>
          <w:p>
            <w:pPr/>
            <w:r>
              <w:t>1,000</w:t>
            </w:r>
          </w:p>
        </w:tc>
      </w:tr>
      <w:tr>
        <w:tc>
          <w:tcPr>
            <w:tcW w:w="0" w:type="auto"/>
          </w:tcPr>
          <w:p>
            <w:pPr/>
            <w:r>
              <w:t>Homem adulto</w:t>
            </w:r>
          </w:p>
        </w:tc>
        <w:tc>
          <w:tcPr>
            <w:tcW w:w="0" w:type="auto"/>
          </w:tcPr>
          <w:p>
            <w:pPr/>
            <w:r>
              <w:t>1,148</w:t>
            </w:r>
          </w:p>
        </w:tc>
        <w:tc>
          <w:tcPr>
            <w:tcW w:w="0" w:type="auto"/>
          </w:tcPr>
          <w:p>
            <w:pPr/>
            <w:r>
              <w:t>1,157</w:t>
            </w:r>
          </w:p>
        </w:tc>
        <w:tc>
          <w:tcPr>
            <w:tcW w:w="0" w:type="auto"/>
          </w:tcPr>
          <w:p>
            <w:pPr/>
            <w:r>
              <w:t>1,171</w:t>
            </w:r>
          </w:p>
        </w:tc>
      </w:tr>
    </w:tbl>
    <w:p>
      <w:pPr/>
      <w:r>
        <w:t>Esta validação revelou três fragilidades técnicas que não eram visíveis na análise numérica isolada. A primeira estava no mecanismo de correspondência populacional: a análise inicial de género e idade era demasiado frágil, e certos tokens abreviados confundiam unidades de medida com indicação de sexo masculino. A correção passou por análise multilingue com fronteiras de palavra e classificação mais robusta de grupos etários. A segunda fragilidade estava no Paraglider, cuja palma permanecia congelada numa escala interna herdada da biblioteca original; a correção reaplicou a escala no ponto de chamada relevante. A terceira surgiu no Phoenix, onde um parâmetro de override permitia contornar o piso mínimo de escala; a correção passou por aplicar o mesmo limite ao ramo alternativo.</w:t>
      </w:r>
    </w:p>
    <w:p>
      <w:pPr/>
      <w:r>
        <w:t>O contributo desta etapa é duplo. Por um lado, confirma que a validação de IA não deve terminar no JSON, pois a geometria pode esconder acoplamentos, limites e heranças de código que só se tornam visíveis na exportação. Por outro lado, mostra que os modelos integrados não são intercambiáveis: o Flexy Beast é mais adequado a mãos pequenas, o Paraglider oferece uma escala ampla para perfis adultos e o Phoenix preserva elevada fidelidade ao original, mas apenas dentro de uma gama dimensional mais restrita.</w:t>
      </w:r>
    </w:p>
    <w:p>
      <w:pPr>
        <w:pStyle w:val="Heading3"/>
      </w:pPr>
      <w:r>
        <w:t>8.4 Discussão dos resultados face aos objetivos</w:t>
      </w:r>
    </w:p>
    <w:p>
      <w:pPr/>
      <w: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dimensionalmente plausível, editável, visualizável e criticável. 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r>
        <w:t>A avaliação também delimita com clareza os limites do sistema. A variabilidade estocástica da IA impede tratar uma saída isolada como prescrição fixa; a ausência de uma referência clínica direta impede afirmar precisão individual; e a lateralidade revelou-se um parâmetro crítico que não deve ser delegado à inferência do modelo. 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r>
        <w:t>A principal aprendizagem metodológica é que a robustez do sistema depende menos da presença isolada de IA e mais da qualidade das fronteiras que a enquadram. O esquema vivo do modelo, os limites declarados, a filtragem de chaves, a ancoragem em dados populacionais, a renderização por OpenSCAD/WebAssembly e a exportação STL formam uma cadeia de verificações sucessivas. 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Heading2"/>
      </w:pPr>
      <w:r>
        <w:t>Capítulo 9 — Conclusões e Trabalhos Futuros</w:t>
      </w:r>
    </w:p>
    <w:p>
      <w:pPr>
        <w:pStyle w:val="Heading3"/>
      </w:pPr>
      <w:r>
        <w:t>9.1 Síntese dos principais contributos</w:t>
      </w:r>
    </w:p>
    <w:p>
      <w:pPr/>
      <w:r>
        <w:t>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O contributo central não é uma prótese clinicamente validada, mas uma infraestrutura projetual que torna mais explícita, rastreável e acessível a passagem entre dados do utilizador, parâmetros geométricos e geometria exportável.</w:t>
      </w:r>
    </w:p>
    <w:p>
      <w:pPr/>
      <w: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A integração da IA acrescentou uma camada de apoio à decisão, capaz de transformar descrições incompletas em pontos de partida plausíveis, desde que as sugestões permaneçam limitadas pelo esquema vivo do modelo e sujeitas a validação posterior.</w:t>
      </w:r>
    </w:p>
    <w:p>
      <w:pPr/>
      <w: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 Terceiro, a validação geométrica intermodelos demonstrou que a exportação STL é indispensável para revelar constrangimentos que não aparecem na resposta numérica, como pisos de escala, dependências herdadas e diferenças reais entre modelos. Quarto, a avaliação centrada no utilizador revelou que a acessibilidade paramétrica depende tanto da qualidade da inferência como das salvaguardas de interface: entradas vagas e multilingues foram absorvidas com robustez, mas a lateralidade, a adequação do modelo escolhido e a proveniência das estimativas exigem controlos explícitos para evitar confiança excessiva no resultado.</w:t>
      </w:r>
    </w:p>
    <w:p>
      <w:pPr/>
      <w:r>
        <w:t>A mesma lógica abre uma via de universalização para outros membros. A arquitetura deixa de depender apenas de pressupostos específicos da mão quando propriedades como lateralidade, tipo de membro e orientação antropométrica passam a ser declaradas no ficheiro de configuração do modelo. Este passo não torna automaticamente a plataforma válida para pé, perna ou braço, pois seriam necessários novos datasets, novos mapeamentos antropométricos e nova validação geométrica; contudo, mostra que a estrutura técnica pode evoluir de um configurador de mãos para uma plataforma paramétrica por tipo de membro, desde que cada modelo declare a sua gramática dimensional e os seus limites de fabrico.</w:t>
      </w:r>
    </w:p>
    <w:p>
      <w:pPr>
        <w:pStyle w:val="Heading3"/>
      </w:pPr>
      <w:r>
        <w:t>9.2 Contributos para o Design Industrial</w:t>
      </w:r>
    </w:p>
    <w:p>
      <w:pPr/>
      <w:r>
        <w:t>Para o Design Industrial, o principal contributo está na demonstração de um processo em que o artefacto, a interface e a lógica paramétrica funcionam como instrumentos de investigação. O projeto não trata a prótese apenas como objeto formal, mas como sistema configurável em que requisitos anatómicos, funcionais, produtivos e experienciais são traduzidos em parâmetros criticáveis. Esta abordagem reforça o papel do designer como mediador entre dados, tecnologia, fabrico e experiência humana.</w:t>
      </w:r>
    </w:p>
    <w:p>
      <w:pPr/>
      <w: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assistivos, nos quais a acessibilidade da configuração deve ser equilibrada com responsabilidade, segurança e coerência funcional.</w:t>
      </w:r>
    </w:p>
    <w:p>
      <w:pPr/>
      <w:r>
        <w:t>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human-in-the-loop, articulada com regras explícitas, dados antropométricos, visualização, exportação e revisão técnica.</w:t>
      </w:r>
    </w:p>
    <w:p>
      <w:pPr>
        <w:pStyle w:val="Heading3"/>
      </w:pPr>
      <w:r>
        <w:t>9.3 Limitações e perspetivas de desenvolvimento futuro</w:t>
      </w:r>
    </w:p>
    <w:p>
      <w:pPr/>
      <w:r>
        <w:t>As limitações do estudo são relevantes e delimitam o alcance das conclusões. Não foram realizados testes com utilizadores reais, avaliações clínicas, medições diretas de conforto, ensaios funcionais prolongados nem validação biomecânica completa. A avaliação antropométrica baseou-se em perfis simulados, dados secundários e critérios internos de plausibilidade. Por isso, os resultados devem ser interpretados como validação metodológica e técnica do fluxo de personalização, não como prova de eficácia protésica em contexto de uso.</w:t>
      </w:r>
    </w:p>
    <w:p>
      <w:pPr/>
      <w:r>
        <w:t>A componente de IA exige desenvolvimento adicional, mesmo após a correção determinística da lateralidade. A saída deve ser validada por esquema JSON no servidor, com repetição automática do pedido quando a resposta violar o contrato esperado. A variabilidade estocástica deve ser quantificada com múltiplas extrações por perfil, reportando médias, dispersão e taxas de aprovação dos invariantes. A comparação com bases de dados antropométricas ou medições reais permitiria passar da plausibilidade para uma estimativa mais rigorosa de erro. 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r>
        <w:t>Do ponto de vista geométrico e produtivo, o trabalho futuro deve aprofundar a validação por impressão física, montagem, tolerâncias, resistência, desgaste e adequação ao uso. 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e ao objetivo de fabrico.</w:t>
      </w:r>
    </w:p>
    <w:p>
      <w:pPr/>
      <w: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pPr>
      <w:r>
        <w:t>Bibliografia</w:t>
      </w:r>
    </w:p>
    <w:p>
      <w:pPr/>
      <w: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r>
        <w:t>&lt;a id="ref-albin-2023"&gt;&lt;/a&gt; Albin, T., &amp; Molenbroek, J. F. M. (2023). Introduction to the special issue, anthropometry in design. https://repository.tudelft.nl/file/Fileda5bfdc9-98bc-41d3-a402-553d5f0d0a63</w:t>
      </w:r>
    </w:p>
    <w:p>
      <w:pPr/>
      <w: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r>
        <w:t>&lt;a id="ref-astm-international-2024"&gt;&lt;/a&gt; ASTM International. (2024). Standard guide for assessing fit accommodation of exoskeletons for manufacturers and designers. https://www.astm.org/f3661-24.html</w:t>
      </w:r>
    </w:p>
    <w:p>
      <w:pPr/>
      <w: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r>
        <w:t>&lt;a id="ref-bates-2020"&gt;&lt;/a&gt; Bates, T., Fergason, J., &amp; Pierrie, S. N. (2020). Technological advances in prosthesis design and rehabilitation following upper extremity limb loss. https://www.semanticscholar.org/paper/905056ffa9fa963e8df8b974d90b94c05a5f7e29</w:t>
      </w:r>
    </w:p>
    <w:p>
      <w:pPr/>
      <w:r>
        <w:t>&lt;a id="ref-bradtmiller-2022"&gt;&lt;/a&gt; Bradtmiller, B. (2022). Design for all, design for disabled: How important is anthropometry? https://researchonline.jcu.edu.au/76898/</w:t>
      </w:r>
    </w:p>
    <w:p>
      <w:pPr/>
      <w: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r>
        <w:t>&lt;a id="ref-kaygan-2025"&gt;&lt;/a&gt; Kaygan, H., &amp; Kaygan, P. (2025). Clients and carers: Healthcare professionals’ roles in medical device development processes in SMEs. The Design Journal, 28(2), 213-231. https://doi.org/10.1080/14606925.2024.2420152</w:t>
      </w:r>
    </w:p>
    <w:p>
      <w:pPr/>
      <w: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r>
        <w:t>&lt;a id="ref-colombo-2015"&gt;&lt;/a&gt; Colombo, G., Facoetti, G., Rizzi, C., &amp; Vitali, A. (2015). Low cost hand-tracking devices to design customized medical devices. Interacción. https://doi.org/10.1007/978-3-319-21067-436</w:t>
      </w:r>
    </w:p>
    <w:p>
      <w:pPr/>
      <w: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r>
        <w:t>&lt;a id="ref-engdahl-2024"&gt;&lt;/a&gt; Engdahl, S., Gonzalez, M. A., Lee, C., &amp; Gates, D. H. (2024). Perspectives on the comparative benefits of body-powered and myoelectric upper limb prostheses. https://jneuroengrehab.biomedcentral.com/counter/pdf/10.1186/s12984-024-01436-4</w:t>
      </w:r>
    </w:p>
    <w:p>
      <w:pPr/>
      <w: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r>
        <w:t>&lt;a id="ref-fink-2023"&gt;&lt;/a&gt; Fink, C., &amp; Diamond, Y. (2023). Prosthesis options and management in upper extremity amputation. https://www.semanticscholar.org/paper/3532a770446eb6144ef25a6b0162d1f98b61e0ff</w:t>
      </w:r>
    </w:p>
    <w:p>
      <w:pPr/>
      <w: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r>
        <w:t>&lt;a id="ref-kandikjan-2022"&gt;&lt;/a&gt; Kandikjan, T., Djokikj, J., Mircheski, I., &amp; Angeleska, E. (2022). Integrating parametric design and additive manufacturing knowledge in industrial design education. https://www.semanticscholar.org/paper/7d28a8c124ef0a3599dd937791a3f3e093775ac0</w:t>
      </w:r>
    </w:p>
    <w:p>
      <w:pPr/>
      <w: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r>
        <w:t>&lt;a id="ref-lei-2016"&gt;&lt;/a&gt; Lei, N., Yao, X., Moon, S. K., &amp; Bi, G. (2016). An additive manufacturing process model for product family design. https://dr.ntu.edu.sg/bitstream/10356/83735/1/An%20additive%20manufacturing%20process%20model%20for%20product%20family%20design.pdf</w:t>
      </w:r>
    </w:p>
    <w:p>
      <w:pPr/>
      <w:r>
        <w:t>&lt;a id="ref-lindell-2021"&gt;&lt;/a&gt; Lindell, E., Tingsvik, H., Guo, L., &amp; Peterson, J. (2021). 3D body scan as anthropometric tool for individualized prosthetic socks. https://sciendo.com/pdf/10.2478/aut-2021-0007</w:t>
      </w:r>
    </w:p>
    <w:p>
      <w:pPr/>
      <w: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r>
        <w:t>&lt;a id="ref-peixoto-2025"&gt;&lt;/a&gt; Peixoto, S., Martins, N., Miranda, D., Matos, D., &amp; Carvalho, V. (2025). The design process in the development of an online platform for personalizing wearable prostheses: A preliminary approach. Designs, 9(2), 39. https://doi.org/10.3390/designs9020039</w:t>
      </w:r>
    </w:p>
    <w:p>
      <w:pPr/>
      <w:r>
        <w:t>&lt;a id="ref-parlamento-europeu-2017"&gt;&lt;/a&gt; Parlamento Europeu, &amp; Conselho da União Europeia. (2017). Regulation (EU) 2017/745 of the European Parliament and of the Council of 5 April 2017 on medical devices. https://eur-lex.europa.eu/eli/reg/2017/745/oj</w:t>
      </w:r>
    </w:p>
    <w:p>
      <w:pPr/>
      <w:r>
        <w:t>&lt;a id="ref-chapman-2025"&gt;&lt;/a&gt; Chapman, K., Allen, C., &amp; Kendall, E. (2025). Methods for co-designing health communication initiatives with people with disability: A scoping review. Health Communication. https://doi.org/10.1080/10810730.2025.2462679</w:t>
      </w:r>
    </w:p>
    <w:p>
      <w:pPr/>
      <w:r>
        <w:t>&lt;a id="ref-clarkson-2010"&gt;&lt;/a&gt; Clarkson, J., &amp; Coleman, R. (2010). Inclusive design. Design Studies. https://doi.org/10.1080/09544821003693689</w:t>
      </w:r>
    </w:p>
    <w:p>
      <w:pPr/>
      <w:r>
        <w:t>&lt;a id="ref-chtioui-2023"&gt;&lt;/a&gt; Chtioui, N., Gaha, R., &amp; Benamara, A. (2023). Design for additive manufacturing: Review and framework proposal. https://sei.ardascience.com/index.php/journal/article/download/185/169</w:t>
      </w:r>
    </w:p>
    <w:p>
      <w:pPr/>
      <w:r>
        <w:t>&lt;a id="ref-fisher-2020"&gt;&lt;/a&gt; Fisher, M., &amp; Johansen, E. (2020). Human-centered design for medical devices and diagnostics in global health. https://www.semanticscholar.org/paper/89c3c6bd56f4d0b54f5da3e3c96f18e815d9f5d4</w:t>
      </w:r>
    </w:p>
    <w:p>
      <w:pPr/>
      <w:r>
        <w:t>&lt;a id="ref-millet-2018"&gt;&lt;/a&gt; Millet, A., Akle, A. A., &amp; Legardeur, J. (2018). Human centred criteria for healthcare design. https://www.semanticscholar.org/paper/267b655f123f4f167f1f9e7e6c8a1f17f73a73d0</w:t>
      </w:r>
    </w:p>
    <w:p>
      <w:pPr/>
      <w: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r>
        <w:t>&lt;a id="ref-resnik-2010"&gt;&lt;/a&gt; Resnik, L., Klinger, S. L., Krauthamer, V., &amp; Barnabe, K. (2010). U.S. Food and Drug Administration regulation of prosthetic research, development, and testing. https://www.semanticscholar.org/paper/71e1fef52dde69cbcea4f62c709f7c6689f9463d</w:t>
      </w:r>
    </w:p>
    <w:p>
      <w:pPr/>
      <w: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r>
        <w:t>&lt;a id="ref-segura-2024"&gt;&lt;/a&gt; Segura, D., Romero, E., Abarca, V. E., &amp; Elías, D. A. (2024). Upper limb prostheses by the level of amputation: A systematic review. Prosthesis, 6(2), 22. https://www.mdpi.com/2673-1592/6/2/22/pdf?version=1710818539</w:t>
      </w:r>
    </w:p>
    <w:p>
      <w:pPr/>
      <w:r>
        <w:t>&lt;a id="ref-smail-2020"&gt;&lt;/a&gt; Smail, L. C., Neal, C., Wilkins, C., &amp; Packham, T. (2020). Comfort and function remain key factors in upper limb prosthetic abandonment: Findings of a scoping review. https://www.semanticscholar.org/paper/b5eb3fd2414ebedaa5d2283451268fafa2db0a81</w:t>
      </w:r>
    </w:p>
    <w:p>
      <w:pPr/>
      <w:r>
        <w:t>&lt;a id="ref-soyer-2016"&gt;&lt;/a&gt; Soyer, K., Unver, B., Tamer, S., &amp; Ulger, O. (2016). The importance of rehabilitation concerning upper extremity amputees: A systematic review. https://pjms.com.pk/index.php/pjms/article/view/9922/4660</w:t>
      </w:r>
    </w:p>
    <w:p>
      <w:pPr/>
      <w: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r>
        <w:t>&lt;a id="ref-shah-2006"&gt;&lt;/a&gt; Shah, S., &amp; Robinson, I. (2006). User involvement in healthcare technology development and assessment: Structured literature review. https://www.semanticscholar.org/paper/299d5b2c1d65791cc4c9f2db76edf20f479adcbc</w:t>
      </w:r>
    </w:p>
    <w:p>
      <w:pPr/>
      <w:r>
        <w:t>&lt;a id="ref-silva-alcara-2018"&gt;&lt;/a&gt; Silva, L. A. da, Medola, F. O., Rodrigues, O. V., Rodrigues, A. C. T., &amp; Sandnes, F. E. (2018). Interdisciplinary-based development of user-friendly customized 3D printed upper limb prosthesis. Comunicação em conferência.</w:t>
      </w:r>
    </w:p>
    <w:p>
      <w:pPr/>
      <w:r>
        <w:t>&lt;a id="ref-silva-2024"&gt;&lt;/a&gt; Silva, R., Silva, B., Fernandes, C., Morouco, P., Alves, N., &amp; Veloso, A. (2024). A review on 3D scanners studies for producing customized orthoses. Sensors, 24(5), 1373. https://pmc.ncbi.nlm.nih.gov/articles/PMC10935386/pdf/sensors-24-01373.pdf</w:t>
      </w:r>
    </w:p>
    <w:p>
      <w:pPr/>
      <w:r>
        <w:t>&lt;a id="ref-story-2006"&gt;&lt;/a&gt; Story, M. (2006). Applying the principles of universal design to medical devices. https://www.semanticscholar.org/paper/d0d84425d517331607c9120290ed26d1bf2e1862</w:t>
      </w:r>
    </w:p>
    <w:p>
      <w:pPr/>
      <w:r>
        <w:t>&lt;a id="ref-stralen-2018"&gt;&lt;/a&gt; Stralen, M. V. (2018). Mass customization: A critical perspective on parametric design, digital fabrication and design democratization. https://www.semanticscholar.org/paper/a18f2c4d248e791d2a9b84f3cab268d5a377cc10</w:t>
      </w:r>
    </w:p>
    <w:p>
      <w:pPr/>
      <w: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r>
        <w:t>&lt;a id="ref-white-2022"&gt;&lt;/a&gt; White, J., &amp; Mosca, E. I. (2022). Developing innovative solutions for universal design in healthcare and other sectors. https://www.semanticscholar.org/paper/df2bb0d53af547bd89b2c716933c2a544bf422b1</w:t>
      </w:r>
    </w:p>
    <w:p>
      <w:pPr/>
      <w:r>
        <w:t>&lt;a id="ref-wiberg-2019"&gt;&lt;/a&gt; Wiberg, A., Persson, J., &amp; Ölvander, J. (2019). Design for additive manufacturing: A review of available design methods and software. https://www.semanticscholar.org/paper/e03bf769f344512519f1005baa1d6b83fe4fc8ed</w:t>
      </w:r>
    </w:p>
    <w:p>
      <w:pPr/>
      <w:r>
        <w:t>&lt;a id="ref-wilke-2020"&gt;&lt;/a&gt; Wilke, H., Badke-Schaub, P., &amp; Thoring, K. (2020). The healthcare design dilemma: Perils of a technology-driven design process for medical products. https://www.semanticscholar.org/paper/078781d9389d4618fc1b5db9347ab68ca7ef46d9</w:t>
      </w:r>
    </w:p>
    <w:p>
      <w:pPr/>
      <w:r>
        <w:t>&lt;a id="ref-walters-2025"&gt;&lt;/a&gt; Walters, S., Seminati, E., Metcalfe, B., Bailey, N. Y., &amp; Pegg, E. C. (2025). Demystifying upper limb hybrid prostheses: A scoping review. https://www.semanticscholar.org/paper/d659aff9bb182a3c92377571973e6e077a3b1838</w:t>
      </w:r>
    </w:p>
    <w:p>
      <w:pPr/>
      <w:r>
        <w:t>&lt;a id="ref-yao-2016"&gt;&lt;/a&gt; Yao, X., Moon, S. K., &amp; Bi, G. (2016). A cost-driven design methodology for additive manufactured variable platforms in product families. https://www.semanticscholar.org/paper/f7bc9dc2a80714c18ac068f45b99408b0f4fe65e</w:t>
      </w:r>
    </w:p>
    <w:p>
      <w:pPr/>
      <w: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r>
        <w:t>&lt;a id="ref-burnap-2019"&gt;&lt;/a&gt; Burnap, A., Hauser, J., &amp; Timoshenko, A. (2019). Design and evaluation of product aesthetics: A human-machine hybrid approach. https://www.semanticscholar.org/paper/7a7994f2de74a61cbdeb3c230d1ee343a0d5e783</w:t>
      </w:r>
    </w:p>
    <w:p>
      <w:pPr/>
      <w: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r>
        <w:t>&lt;a id="ref-figoli-2022"&gt;&lt;/a&gt; Figoli, F. A., Mattioli, F., &amp; Rampino, L. (2022). AI in design idea development: A workshop on creativity and human-AI collaboration. https://dl.designresearchsociety.org/cgi/viewcontent.cgi?article=2915&amp;context=drs-conference-papers</w:t>
      </w:r>
    </w:p>
    <w:p>
      <w:pPr/>
      <w:r>
        <w:t>&lt;a id="ref-idris-2024"&gt;&lt;/a&gt; Idris, M. Z., Hashim, M. E. A. H. B., Albakry, N., &amp; Septian, N. (2024). Exploring the integration of artificial intelligence in co-design framework for designer. https://ebpj.e-iph.co.uk/index.php/EBProceedings/article/download/6348/3640</w:t>
      </w:r>
    </w:p>
    <w:p>
      <w:pPr/>
      <w:r>
        <w:t>&lt;a id="ref-kadenhe-2025"&gt;&lt;/a&gt; Kadenhe, N., Al Musleh, M., &amp; Lompot, A. (2025). Human-AI co-design and co-creation: A review of emerging approaches, challenges, and future directions. https://www.semanticscholar.org/paper/61c04706b7af0be5be4b0d15f595d4ab41874d12</w:t>
      </w:r>
    </w:p>
    <w:p>
      <w:pPr/>
      <w:r>
        <w:t>&lt;a id="ref-khanolkar-2023"&gt;&lt;/a&gt; Khanolkar, P., Vrolijk, A., &amp; Olechowski, A. (2023). Mapping artificial intelligence-based methods to engineering design stages: A focused literature review. https://www.semanticscholar.org/paper/4d63443d45e1a7156c5972ef009ed07bb0650117</w:t>
      </w:r>
    </w:p>
    <w:p>
      <w:pPr/>
      <w:r>
        <w:t>&lt;a id="ref-krahe-2020"&gt;&lt;/a&gt; Krahe, C., Bräunche, A., Jacob, A., Stricker, N., &amp; Lanza, G. (2020). Deep learning for automated product design. https://www.semanticscholar.org/paper/a5b9b4f63805f2b1773bc8214b29e38dbac27975</w:t>
      </w:r>
    </w:p>
    <w:p>
      <w:pPr/>
      <w:r>
        <w:t>&lt;a id="ref-li-2021"&gt;&lt;/a&gt; Li, X., Demirel, H., Goldstein, M., &amp; Sha, Z. (2021). Exploring generative design thinking for engineering design and design education. https://peer.asee.org/38349.pdf</w:t>
      </w:r>
    </w:p>
    <w:p>
      <w:pPr/>
      <w: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r>
        <w:t>&lt;a id="ref-panchal-2019"&gt;&lt;/a&gt; Panchal, J. H., Fuge, M., Liu, Y., Missoum, S., &amp; Tucker, C. S. (2019). Special issue: Machine learning for engineering design. Journal of Mechanical Design. https://www.semanticscholar.org/paper/2c4f7ca9381db7debefe61d04da51f9e8e63d09d</w:t>
      </w:r>
    </w:p>
    <w:p>
      <w:pPr/>
      <w: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r>
        <w:t>&lt;a id="ref-rezwana-2022"&gt;&lt;/a&gt; Rezwana, J., &amp; Maher, M. (2022). Understanding user perceptions, collaborative experience, and user engagement in different human-AI interaction designs for co-creative systems. https://arxiv.org/pdf/2204.13217</w:t>
      </w:r>
    </w:p>
    <w:p>
      <w:pPr/>
      <w: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r>
        <w:t>&lt;a id="ref-verganti-2020"&gt;&lt;/a&gt; Verganti, R., Vendraminelli, L., &amp; Iansiti, M. (2020). Innovation and design in the age of artificial intelligence. https://onlinelibrary.wiley.com/doi/pdfdirect/10.1111/jpim.12523</w:t>
      </w:r>
    </w:p>
    <w:p>
      <w:pPr/>
      <w:r>
        <w:t>&lt;a id="ref-viros-i-martin-2021"&gt;&lt;/a&gt; Virós-i-Martin, A., &amp; Selva, D. (2021). A framework to study human-AI collaborative design space exploration. https://www.semanticscholar.org/paper/716be148371af443169531b0856ae07dfe400869</w:t>
      </w:r>
    </w:p>
    <w:p>
      <w:pPr/>
      <w:r>
        <w:t>&lt;a id="ref-wang-2024"&gt;&lt;/a&gt; Wang, X., &amp; Hu, B. (2024). Machine learning algorithms for improved product design user experience. https://www.semanticscholar.org/paper/717e7ad25dcafec12f01b6732773bdf9c5a49661</w:t>
      </w:r>
    </w:p>
    <w:p>
      <w:pPr/>
      <w:r>
        <w:t>&lt;a id="ref-yuksel-2023"&gt;&lt;/a&gt; Yüksel, N., Börklü, H. R., Sezer, H. K., &amp; Canyurt, O. (2023). Review of artificial intelligence applications in engineering design perspective. https://www.semanticscholar.org/paper/cd38b58edf6690459767097aca745a3806824236</w:t>
      </w:r>
    </w:p>
    <w:p>
      <w:pPr/>
      <w:r>
        <w:t>&lt;a id="ref-akasaka-2022"&gt;&lt;/a&gt; Akasaka, M., Veeckman, C., Georges, A., Schuurman, D., &amp; Coorevits, L. (2022). A framework for configuring participation in living labs. https://www.semanticscholar.org/paper/305d55af5fda06b4d1b33e7d29c1f16d1b7ea488</w:t>
      </w:r>
    </w:p>
    <w:p>
      <w:pPr/>
      <w:r>
        <w:t>&lt;a id="ref-akyol-2021"&gt;&lt;/a&gt; Akyol, P., Barker, T., Hall, R., Morrissey, K., McCarthy, J., &amp; Mackley, K. L. (2021). DiaFit: Designing customizable wearables for Type 1 diabetes monitoring. https://www.semanticscholar.org/paper/ea18361f7564fb19db367899adb6295a07bfa05c</w:t>
      </w:r>
    </w:p>
    <w:p>
      <w:pPr/>
      <w:r>
        <w:t>&lt;a id="ref-cole-2011"&gt;&lt;/a&gt; Cole, E. (2011). Patient-centered design: Interface personalization for individuals with brain injury.</w:t>
      </w:r>
    </w:p>
    <w:p>
      <w:pPr/>
      <w:r>
        <w:t>&lt;a id="ref-costabile-2007"&gt;&lt;/a&gt; Costabile, M. F., Fogli, D., Lanzilotti, R., Marcante, A., Mussio, P., Provenza, L. P., &amp; Piccinno, A. (2007). Meta-design to face co-evolution and communication gaps between users and designers.</w:t>
      </w:r>
    </w:p>
    <w:p>
      <w:pPr/>
      <w:r>
        <w:t>&lt;a id="ref-dechev-2023"&gt;&lt;/a&gt; Dechev, N., Penner, A., Barlow, I., Vukovic, G., &amp; Lalji, M. (2023). Accessible prosthetic arms: Victoria Hand Project and the impact of 3D printing.</w:t>
      </w:r>
    </w:p>
    <w:p>
      <w:pPr/>
      <w:r>
        <w:t>&lt;a id="ref-dexter-2013"&gt;&lt;/a&gt; Dexter, M., Crooks, E., Davies, P., &amp; Simm, W. (2013). Open design and cystic fibrosis: Enabling participation in the design process.</w:t>
      </w:r>
    </w:p>
    <w:p>
      <w:pPr/>
      <w:r>
        <w:t>&lt;a id="ref-fischer-2004"&gt;&lt;/a&gt; Fischer, G., Giaccardi, E., Ye, Y., Sutcliffe, A. G., &amp; Mehandjiev, N. (2004). Meta-design.</w:t>
      </w:r>
    </w:p>
    <w:p>
      <w:pPr/>
      <w:r>
        <w:t>&lt;a id="ref-fischer-2017"&gt;&lt;/a&gt; Fischer, G., Fogli, D., &amp; Piccinno, A. (2017). Revisiting and broadening the meta-design framework for end-user development.</w:t>
      </w:r>
    </w:p>
    <w:p>
      <w:pPr/>
      <w:r>
        <w:t>&lt;a id="ref-frangos-2016"&gt;&lt;/a&gt; Frangos, P., Mierdel, S., &amp; Koirala, S. (2016). Democratising design in scientific innovation: Application of an open value network to open source hardware design.</w:t>
      </w:r>
    </w:p>
    <w:p>
      <w:pPr/>
      <w:r>
        <w:t>&lt;a id="ref-franke-2002"&gt;&lt;/a&gt; Franke, N., &amp; von Hippel, E. (2002). Satisfying heterogeneous user needs via innovation toolkits: The case of Apache security software.</w:t>
      </w:r>
    </w:p>
    <w:p>
      <w:pPr/>
      <w:r>
        <w:t>&lt;a id="ref-govender-2020"&gt;&lt;/a&gt; Govender, R., Abrahmsén-Alami, S., Larsson, A., Borde, A., Liljeblad, A., &amp; Folestad, S. (2020). Independent tailoring of dose and drug release via a modularized product design concept for mass customization. Pharmaceutics.</w:t>
      </w:r>
    </w:p>
    <w:p>
      <w:pPr/>
      <w:r>
        <w:t>&lt;a id="ref-howard-2022"&gt;&lt;/a&gt; Howard, D., Davies, L., Dwyer, A., &amp; Williams, J. (2022). Assessing the use of co-design to produce bespoke assistive technology solutions within a current healthcare service: A service evaluation.</w:t>
      </w:r>
    </w:p>
    <w:p>
      <w:pPr/>
      <w:r>
        <w:t>&lt;a id="ref-hippel-2002"&gt;&lt;/a&gt; Hippel, E. von, &amp; Katz, R. (2002). Shifting innovation to users via toolkits. Management Science, 48(7).</w:t>
      </w:r>
    </w:p>
    <w:p>
      <w:pPr/>
      <w:r>
        <w:t>&lt;a id="ref-hussaini-2023"&gt;&lt;/a&gt; Hussaini, A., Kyberd, P., Mulindwa, B., Ssekitoleko, R., Keeble, W., Kenney, L., &amp; Howard, D. (2023). 3D printing in LMICs: Functional design for upper limb prosthetics in Uganda.</w:t>
      </w:r>
    </w:p>
    <w:p>
      <w:pPr/>
      <w:r>
        <w:t>&lt;a id="ref-kerr-2024"&gt;&lt;/a&gt; Kerr, A., Del Din, S., Clarkson, P. J., &amp; Rochester, L. (2024). A participatory model for cocreating accessible rehabilitation technology for stroke survivors: User-centered design approach.</w:t>
      </w:r>
    </w:p>
    <w:p>
      <w:pPr/>
      <w:r>
        <w:t>&lt;a id="ref-kuhl-2020"&gt;&lt;/a&gt; Kuhl, M., Lutz, J., Krause, D., &amp; Vielhaber, M. (2020). Design of personalized devices: The tradeoff between individual value and personalization workload. Applied Sciences.</w:t>
      </w:r>
    </w:p>
    <w:p>
      <w:pPr/>
      <w:r>
        <w:t>&lt;a id="ref-mikoajewski-2023"&gt;&lt;/a&gt; Mikołajewski, D., Rojek, I., Kotlarz, P., Dorożyński, J., &amp; Kopowski, J. (2023). Personalization of the 3D-printed upper limb exoskeleton design: Mechanical and IT aspects. Applied Sciences.</w:t>
      </w:r>
    </w:p>
    <w:p>
      <w:pPr/>
      <w:r>
        <w:t>&lt;a id="ref-peters-2023"&gt;&lt;/a&gt; Peters, C., &amp; Richter, P. (2023). Individualizing patient pathways through modularization: Design and evaluation of healthcare-specific modularization parameters.</w:t>
      </w:r>
    </w:p>
    <w:p>
      <w:pPr/>
      <w:r>
        <w:t>&lt;a id="ref-seregni-2021"&gt;&lt;/a&gt; Seregni, F., Arlati, S., Colombo, V., Spoladore, D., Greci, L., Pedroli, E., Serino, S., Cipresso, P., Goulene, K., Stroulia, E., Rizzo, A., &amp; Sacco, M. (2021). Virtual coaching for rehabilitation: The participatory design experience of the vCare Project.</w:t>
      </w:r>
    </w:p>
    <w:p>
      <w:pPr/>
      <w:r>
        <w:t>&lt;a id="ref-sims-2017"&gt;&lt;/a&gt; Sims, T., Cranny, A., Metcalf, C., Chappell, P., &amp; Donovan-Hall, M. (2017). Participatory design of pediatric upper limb prostheses: Qualitative methods and prototyping.</w:t>
      </w:r>
    </w:p>
    <w:p>
      <w:pPr/>
      <w:r>
        <w:t>&lt;a id="ref-thorsen-2023"&gt;&lt;/a&gt; Thorsen, R., Hansen, A. H., &amp; Nilsen, E. R. (2023). From patient to maker: A workflow including people with cerebral palsy in co-creating assistive devices using 3D printing technologies.</w:t>
      </w:r>
    </w:p>
    <w:p>
      <w:pPr/>
      <w:r>
        <w:t>&lt;a id="ref-zhu-2022"&gt;&lt;/a&gt; Zhu, Z., &amp; Zhong, R. Y. (2022). A digital twin enabled wearable device for customized healthcare.</w:t>
      </w:r>
    </w:p>
    <w:p>
      <w:pPr/>
      <w:r>
        <w:t>&lt;a id="ref-alluhydan-2023"&gt;&lt;/a&gt; Alluhydan, A., Alsaadi, S., Almutairi, A., &amp; Alharbi, A. (2023). Functionality and comfort design of lower-limb prosthetics: A review.</w:t>
      </w:r>
    </w:p>
    <w:p>
      <w:pPr/>
      <w:r>
        <w:t>&lt;a id="ref-anderson-2024"&gt;&lt;/a&gt; Anderson, C. B., Stephens, A. R., Scully, A., Pasquina, P. F., &amp; Highsmith, M. J. (2024). A narrative review of prosthesis design decision making after lower-limb amputation for developing shared decision-making resources.</w:t>
      </w:r>
    </w:p>
    <w:p>
      <w:pPr/>
      <w:r>
        <w:t>&lt;a id="ref-andrysek-2010"&gt;&lt;/a&gt; Andrysek, J. (2010). Lower-limb prosthetic technologies in the developing world: A review of literature from 1994-2010.</w:t>
      </w:r>
    </w:p>
    <w:p>
      <w:pPr/>
      <w:r>
        <w:t>&lt;a id="ref-baldock-2023"&gt;&lt;/a&gt; Baldock, C., Greaves, M., Chockalingam, N., &amp; Kark, L. (2023). Adjustable prosthetic sockets: A systematic review of industrial and research design characteristics and their justifications.</w:t>
      </w:r>
    </w:p>
    <w:p>
      <w:pPr/>
      <w:r>
        <w:t>&lt;a id="ref-baumann-2023"&gt;&lt;/a&gt; Baumann, C., &amp; Maria, P. (2023). Improving access to prosthetic limbs in Germany: An explorative review.</w:t>
      </w:r>
    </w:p>
    <w:p>
      <w:pPr/>
      <w:r>
        <w:t>&lt;a id="ref-chadwell-2020"&gt;&lt;/a&gt; Chadwell, A., Kenney, L., Thies, S., Galpin, A., &amp; Head, J. (2020). Technology for monitoring everyday prosthesis use: A systematic review.</w:t>
      </w:r>
    </w:p>
    <w:p>
      <w:pPr/>
      <w:r>
        <w:t>&lt;a id="ref-cordella-2016"&gt;&lt;/a&gt; Cordella, F., Ciancio, A. L., Sacchetti, R., Davalli, A., Cutti, A. G., Guglielmelli, E., &amp; Zollo, L. (2016). Literature review on needs of upper limb prosthesis users.</w:t>
      </w:r>
    </w:p>
    <w:p>
      <w:pPr/>
      <w:r>
        <w:t>&lt;a id="ref-dominguez-ruiz-2023"&gt;&lt;/a&gt; Domínguez-Ruiz, M., Ráez-Ballesteros, E., &amp; Castillo-Castañeda, E. (2023). Low limb prostheses and complex human prosthetic interaction: A systematic literature review.</w:t>
      </w:r>
    </w:p>
    <w:p>
      <w:pPr/>
      <w:r>
        <w:t>&lt;a id="ref-ghillebert-2019"&gt;&lt;/a&gt; Ghillebert, J., Schoukens, J., &amp; Vanderborght, B. (2019). Guidelines and recommendations to investigate the efficacy of a lower-limb prosthetic device: A systematic review.</w:t>
      </w:r>
    </w:p>
    <w:p>
      <w:pPr/>
      <w:r>
        <w:t>&lt;a id="ref-hafner-2016"&gt;&lt;/a&gt; Hafner, B. J., &amp; Sawers, A. B. (2016). Issues affecting the level of prosthetics research evidence: Secondary analysis of a systematic review.</w:t>
      </w:r>
    </w:p>
    <w:p>
      <w:pPr/>
      <w:r>
        <w:t>&lt;a id="ref-manz-2022"&gt;&lt;/a&gt; Manz, S. M., Menges, M. M., Schaffernicht, E., Mattes, K., &amp; Kannenberg, A. (2022). A review of user needs to inform the development of lower-limb prostheses.</w:t>
      </w:r>
    </w:p>
    <w:p>
      <w:pPr/>
      <w:r>
        <w:t>&lt;a id="ref-marinelli-2022"&gt;&lt;/a&gt; Marinelli, M., Putrino, D., Stella, F., &amp; Guglielmelli, E. (2022). Active upper limb prostheses: A review on current state and upcoming breakthroughs.</w:t>
      </w:r>
    </w:p>
    <w:p>
      <w:pPr/>
      <w:r>
        <w:t>&lt;a id="ref-richardson-2017"&gt;&lt;/a&gt; Richardson, C., &amp; Dillon, M. P. (2017). User experience of transtibial prosthetic liners: A systematic review.</w:t>
      </w:r>
    </w:p>
    <w:p>
      <w:pPr/>
      <w:r>
        <w:t>&lt;a id="ref-samuelsson-2012"&gt;&lt;/a&gt; Samuelsson, K. A. M., Töytäri, O., Salminen, A.-L., &amp; Brandt, Å. (2012). Effects of lower limb prosthesis on activity, participation, and quality of life: A systematic review.</w:t>
      </w:r>
    </w:p>
    <w:p>
      <w:pPr/>
      <w:r>
        <w:t>&lt;a id="ref-walker-2019"&gt;&lt;/a&gt; Walker, M., Paras, A., Boonstra, N., &amp; Murrup-Stewart, C. (2019). Towards including end-users in the design of prosthetic hands: Ethical analysis of a survey of Australians with upper-limb difference.</w:t>
      </w:r>
    </w:p>
    <w:p>
      <w:pPr/>
      <w:r>
        <w:t>&lt;a id="ref-windrich-2016"&gt;&lt;/a&gt; Windrich, M., Grimmer, M., Christ, O., Rinderknecht, S., &amp; Beckerle, P. (2016). Active lower limb prosthetics: A systematic review of design issues and solutions.</w:t>
      </w:r>
    </w:p>
    <w:p>
      <w:pPr/>
      <w: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r>
        <w:t>&lt;a id="ref-chatzioglou-2024"&gt;&lt;/a&gt; Chatzioglou, G. N., Pinar, Y., &amp; Govsa, F. (2024). Biometric analysis hand parameters in young adults for prosthetic hand and ergonomic product applications. Anatomy &amp; Cell Biology, 57, 172-182. https://doi.org/10.5115/acb.23.310</w:t>
      </w:r>
    </w:p>
    <w:p>
      <w:pPr/>
      <w: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r>
        <w:t>&lt;a id="ref-nag-2003"&gt;&lt;/a&gt; Nag, A., Nag, P. K., &amp; Desai, H. (2003). Hand anthropometry of Indian women. Indian Journal of Medical Research, 117, 260-269.</w:t>
      </w:r>
    </w:p>
    <w:p>
      <w:pPr/>
      <w:r>
        <w:t>&lt;a id="ref-rodriguez-vega-2024"&gt;&lt;/a&gt; Rodríguez-Vega, G., &amp; Rodríguez-Vega, D. A. (2024). Normative data for the anthropometric hand dimensions of the Mexican population. European Public &amp; Social Innovation Review, 9, 1-15. https://doi.org/10.31637/epsir-2024-932</w:t>
      </w:r>
    </w:p>
    <w:p>
      <w:pPr/>
      <w: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r>
        <w:t>&lt;a id="ref-hu-2007"&gt;&lt;/a&gt; Hu, H., Li, Z., Yan, J., Wang, X., Xiao, H., Duan, J., &amp; Zheng, L. (2007). Anthropometric measurement of the Chinese elderly living in the Beijing area. International Journal of Industrial Ergonomics, 37(4), 303-311. https://doi.org/10.1016/j.ergon.2006.11.006</w:t>
      </w:r>
    </w:p>
    <w:p>
      <w:pPr/>
      <w:r>
        <w:t>&lt;a id="ref-mistarihi-2020"&gt;&lt;/a&gt; Mistarihi, M. Z. (2020). A data set on anthropometric measurements and degree of discomfort of physically disabled workers for ergonomic requirements in work space design. Data in Brief, 30, 105420. https://doi.org/10.1016/j.dib.2020.105420</w:t>
      </w:r>
    </w:p>
    <w:p>
      <w:pPr/>
      <w:r>
        <w:t>&lt;a id="ref-molenbroek-1998"&gt;&lt;/a&gt; Molenbroek, J. F. M. (1998). Geron study on Dutch elderly anthropometry. DINED database. Delft University of Technology. https://dined.io.tudelft.nl</w:t>
      </w:r>
    </w:p>
    <w:p>
      <w:pPr/>
      <w:r>
        <w:t>&lt;a id="ref-molenbroek-2003"&gt;&lt;/a&gt; Molenbroek, J. F. M., Kroon-Ramaekers, Y. M. T., &amp; Snijders, C. J. (2003). Revision of the Dutch standard for furniture in schools. Ergonomics, 46(5), 491-498. https://doi.org/10.1080/0014013031000085635</w:t>
      </w:r>
    </w:p>
    <w:p>
      <w:pPr/>
      <w:r>
        <w:t>&lt;a id="ref-steenbekkers-1998"&gt;&lt;/a&gt; Steenbekkers, L. P. A., &amp; van Beijsterveldt, C. E. M. (Eds.). (1998). Design-relevant characteristics of ageing users. Delft University Press.</w:t>
      </w:r>
    </w:p>
    <w:p>
      <w:pPr/>
      <w:r>
        <w:t>&lt;a id="ref-cross-1982"&gt;&lt;/a&gt; Cross, N. (1982). Designerly ways of knowing. Design Studies, 3(4), 221-227. https://doi.org/10.1016/0142-694X(82)90040-0</w:t>
      </w:r>
    </w:p>
    <w:p>
      <w:pPr/>
      <w:r>
        <w:t>&lt;a id="ref-design-council-2020"&gt;&lt;/a&gt; Design Council. (2020). Framework for innovation. https://www.designcouncil.org.uk/our-resources/framework-for-innovation/</w:t>
      </w:r>
    </w:p>
    <w:p>
      <w:pPr/>
      <w:r>
        <w:t>&lt;a id="ref-frayling-1994"&gt;&lt;/a&gt; Frayling, C. (1994). Research in art and design (Royal College of Art Research Papers, Vol. 1, No. 1, 1993/4). Royal College of Art.</w:t>
      </w:r>
    </w:p>
    <w:p>
      <w:pPr/>
      <w: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r>
        <w:t>&lt;a id="ref-biddiss-2007"&gt;&lt;/a&gt; Biddiss, E., Beaton, D., &amp; Chau, T. (2007). Consumer design priorities for upper limb prosthetics. Disability and Rehabilitation: Assistive Technology, 2(6), 346-357. https://doi.org/10.1080/17483100701714733</w:t>
      </w:r>
    </w:p>
    <w:p>
      <w:pPr/>
      <w:r>
        <w:t>&lt;a id="ref-brack-2021"&gt;&lt;/a&gt; Brack, T., &amp; Amalu, E. H. (2021). A review of technology, materials and R&amp;D challenges of upper limb prosthesis for improved user suitability. Journal of Orthopaedics, 24, 88-96. https://doi.org/10.1016/j.jor.2021.03.011</w:t>
      </w:r>
    </w:p>
    <w:p>
      <w:pPr/>
      <w:r>
        <w:t>&lt;a id="ref-guo-2025"&gt;&lt;/a&gt; Guo, M. (2025). Human-centered design strategies for prosthetics based on user needs. Interdisciplinary Humanities and Communication Studies, 1(1), 39-48.</w:t>
      </w:r>
    </w:p>
    <w:p>
      <w:pPr/>
      <w: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r>
        <w:t>&lt;a id="ref-cabibihan-2018"&gt;&lt;/a&gt; Cabibihan, J.-J., Pattofatto, S., Jomaa, M., Benallal, A., &amp; Carrozza, M. C. (2018). A method for 3-D printing patient-specific prosthetic arms with high accuracy shape and size. IEEE Access, 6, 25029-25039. https://doi.org/10.1109/ACCESS.2018.2831907</w:t>
      </w:r>
    </w:p>
    <w:p>
      <w:pPr/>
      <w: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r>
        <w:t>&lt;a id="ref-moreo-2016"&gt;&lt;/a&gt; Moreo, A. M. (2016). Parametric design of a 3D printable hand prosthesis for children in developing countries [Master's thesis, Delft University of Technology].</w:t>
      </w:r>
    </w:p>
    <w:p>
      <w:pPr/>
      <w:r>
        <w:t>&lt;a id="ref-romero-2025"&gt;&lt;/a&gt; Romero, M., Sánchez, J., &amp; Álvarez, H. (2025). Development of parametric prostheses for different levels of human hand amputations manufactured through additive manufacturing. Applied Sciences, 15(3), 1124. https://doi.org/10.3390/app15031124</w:t>
      </w:r>
    </w:p>
    <w:p>
      <w:pPr/>
      <w:r>
        <w:t>&lt;a id="ref-machado-2019"&gt;&lt;/a&gt; Machado, F., Malpica, N., &amp; Borromeo, S. (2019). Parametric CAD modeling for open source scientific hardware: Comparing OpenSCAD and FreeCAD Python scripts. PLOS ONE, 14(12), e0225795. https://doi.org/10.1371/journal.pone.0225795</w:t>
      </w:r>
    </w:p>
    <w:p>
      <w:pPr/>
      <w: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r>
        <w:t>&lt;a id="ref-nilsiam-2017"&gt;&lt;/a&gt; Nilsiam, Y., &amp; Pearce, J. M. (2017). Free and open source 3-D model customizer for websites to democratize design with OpenSCAD. Designs, 1(1), 5. https://doi.org/10.3390/designs1010005</w:t>
      </w:r>
    </w:p>
    <w:p>
      <w:pPr/>
      <w: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r>
        <w:t>&lt;a id="ref-ten-kate-2017"&gt;&lt;/a&gt; ten Kate, J., Smit, G., &amp; Breedveld, P. (2017). 3D-printed upper limb prostheses: A review. Disability and Rehabilitation: Assistive Technology, 12(3), 300-314. https://doi.org/10.1080/17483107.2016.1253117</w:t>
      </w:r>
    </w:p>
    <w:p>
      <w:pPr/>
      <w:r>
        <w:t>&lt;a id="ref-yu-2013"&gt;&lt;/a&gt; Yu, A., Yick, K. L., Ng, S. P., &amp; Yip, J. (2013). 2D and 3D anatomical analyses of hand dimensions for custom-made gloves. Applied Ergonomics, 44, 381-392.</w:t>
      </w:r>
    </w:p>
    <w:p>
      <w:pPr/>
      <w:r>
        <w:t xml:space="preserve">&lt;a id="ref-base-local-antropometrica-2026"&gt;&lt;/a&gt; Base local consolidada de dados antropométricos da mão e do membro superior distal. (2026). [Conjunto de dados]. Material de apoio da investigação, </w:t>
      </w:r>
      <w:r>
        <w:rPr>
          <w:rFonts w:ascii="Consolas" w:hAnsi="Consolas"/>
          <w:sz w:val="20"/>
        </w:rPr>
        <w:t>material/antropometria/dados antropométricos/multi</w:t>
      </w:r>
      <w:r>
        <w:rPr>
          <w:i/>
        </w:rPr>
        <w:t>population</w:t>
      </w:r>
      <w:r>
        <w:t>hand.csv</w:t>
      </w:r>
      <w:r>
        <w:rPr>
          <w:rFonts w:ascii="Consolas" w:hAnsi="Consolas"/>
          <w:sz w:val="20"/>
        </w:rPr>
        <w:t>.</w:t>
      </w:r>
    </w:p>
    <w:p>
      <w:pPr/>
      <w:r>
        <w:t>&lt;a id="ref-1-definir-o-que-e-propriocep"&gt;&lt;/a&gt;</w:t>
      </w:r>
    </w:p>
    <w:p>
      <w:pPr/>
      <w:r>
        <w:t>&lt;a id="ref-2-meter-este-link-na-bibliog"&gt;&lt;/a&gt;</w:t>
      </w:r>
    </w:p>
    <w:p>
      <w:pPr/>
      <w:r>
        <w:t>&lt;a id="ref-3-nao-e-bem-marcacao-ne-te"&gt;&lt;/a&gt;</w:t>
      </w:r>
    </w:p>
    <w:p>
      <w:pPr/>
      <w:r>
        <w:t>&lt;a id="ref-4-cool-mas-se-calhar-so-se"&gt;&lt;/a&gt;</w:t>
      </w:r>
    </w:p>
    <w:p>
      <w:pPr/>
      <w:r>
        <w:t>&lt;a id="ref-5-vamos-adicionar-a-citacao"&gt;&lt;/a&gt;</w:t>
      </w:r>
    </w:p>
    <w:p>
      <w:pPr/>
      <w:r>
        <w:t>&lt;a id="ref-6-explicar-oque-sao-todos-es"&gt;&lt;/a&gt;</w:t>
      </w:r>
    </w:p>
    <w:p>
      <w:pPr/>
      <w:r>
        <w:t>&lt;a id="ref-7-definir-seed-design"&gt;&lt;/a&gt;</w:t>
      </w:r>
    </w:p>
    <w:p>
      <w:pPr/>
      <w:r>
        <w:t>&lt;a id="ref-8-escalonados-amplicados-e"&gt;&lt;/a&gt;</w:t>
      </w:r>
    </w:p>
    <w:p>
      <w:pPr/>
      <w:r>
        <w:t>&lt;a id="ref-9-toda-esta-frase-podia-ser"&gt;&lt;/a&gt;</w:t>
      </w:r>
    </w:p>
    <w:p>
      <w:pPr/>
      <w:r>
        <w:t>&lt;a id="ref-10-posso-igualmente-aumentar"&gt;&lt;/a&gt;</w:t>
      </w:r>
    </w:p>
    <w:p>
      <w:pPr/>
      <w:r>
        <w:t>&lt;a id="ref-11-nao-me-soa-super-bem"&gt;&lt;/a&gt;</w:t>
      </w:r>
    </w:p>
    <w:p>
      <w:pPr/>
      <w:r>
        <w:t>&lt;a id="ref-12-estou-a-bater-mal-ou-ja-e"&gt;&lt;/a&gt;</w:t>
      </w:r>
    </w:p>
    <w:p>
      <w:pPr/>
      <w:r>
        <w:t>&lt;a id="ref-13-penalizacoes-e-um-pouco-f"&gt;&lt;/a&gt;</w:t>
      </w:r>
    </w:p>
    <w:sectPr>
      <w:pgSz w:w="11906" w:h="16838"/>
      <w:pgMar w:top="1440" w:right="1440" w:bottom="1440" w:left="1440" w:header="708" w:footer="708" w:gutter="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false"/>
        <w:bidi w:val="0"/>
        <w:rPr/>
      </w:pPr>
      <w:r>
        <w:annotationRef/>
      </w:r>
      <w:r>
        <w:rPr/>
        <w:t xml:space="preserve"> material/prosthetics-design/A review of technology, materials and R&amp;D challenges of upper limb prosthesis for improved user suitability.pdf</w:t>
      </w:r>
    </w:p>
    <w:p>
      <w:pPr>
        <w:overflowPunct w:val="false"/>
        <w:bidi w:val="0"/>
        <w:rPr/>
      </w:pPr>
      <w:r>
        <w:rPr/>
      </w:r>
    </w:p>
    <w:p>
      <w:pPr>
        <w:overflowPunct w:val="false"/>
        <w:bidi w:val="0"/>
        <w:rPr/>
      </w:pPr>
      <w:r>
        <w:rPr/>
        <w:t xml:space="preserve">  Ela sustenta a classificação assim: Brack e Amalu classificam a tecnologia de próteses de membro superior em próteses passivas, ativas e híbridas; depois</w:t>
      </w:r>
    </w:p>
    <w:p>
      <w:pPr>
        <w:overflowPunct w:val="false"/>
        <w:bidi w:val="0"/>
        <w:rPr/>
      </w:pPr>
      <w:r>
        <w:rPr/>
        <w:t xml:space="preserve">  subdividem as ativas em acionadas pelo corpo e mioelétricas. Também definem as híbridas como combinação de componentes acionados pelo corpo e mioelétricos.</w:t>
      </w:r>
    </w:p>
    <w:p>
      <w:pPr>
        <w:overflowPunct w:val="false"/>
        <w:bidi w:val="0"/>
        <w:rPr/>
      </w:pPr>
      <w:r>
        <w:rPr/>
      </w:r>
    </w:p>
    <w:p>
      <w:pPr>
        <w:overflowPunct w:val="false"/>
        <w:bidi w:val="0"/>
        <w:rPr/>
      </w:pPr>
      <w:r>
        <w:rPr/>
        <w:t xml:space="preserve">  Podes citar a frase como:</w:t>
      </w:r>
    </w:p>
    <w:p>
      <w:pPr>
        <w:overflowPunct w:val="false"/>
        <w:bidi w:val="0"/>
        <w:rPr/>
      </w:pPr>
      <w:r>
        <w:rPr/>
      </w:r>
    </w:p>
    <w:p>
      <w:pPr>
        <w:overflowPunct w:val="false"/>
        <w:bidi w:val="0"/>
        <w:rPr/>
      </w:pPr>
      <w:r>
        <w:rPr/>
        <w:t xml:space="preserve">  &gt; As próteses de membro superior podem ser classificadas de acordo com a fonte de energia e o mecanismo de controlo, distinguindo-se próteses passivas, acionadas</w:t>
      </w:r>
    </w:p>
    <w:p>
      <w:pPr>
        <w:overflowPunct w:val="false"/>
        <w:bidi w:val="0"/>
        <w:rPr/>
      </w:pPr>
      <w:r>
        <w:rPr/>
        <w:t xml:space="preserve">  &gt; pelo corpo, mioelétricas e híbridas (Brack &amp; Amalu, 2021).</w:t>
      </w:r>
    </w:p>
    <w:p>
      <w:pPr>
        <w:overflowPunct w:val="false"/>
        <w:bidi w:val="0"/>
        <w:rPr/>
      </w:pPr>
      <w:r>
        <w:rPr/>
      </w:r>
    </w:p>
    <w:p>
      <w:pPr>
        <w:overflowPunct w:val="false"/>
        <w:bidi w:val="0"/>
        <w:rPr/>
      </w:pPr>
      <w:r>
        <w:rPr/>
        <w:t xml:space="preserve">  Entrada APA 7:</w:t>
      </w:r>
    </w:p>
    <w:p>
      <w:pPr>
        <w:overflowPunct w:val="false"/>
        <w:bidi w:val="0"/>
        <w:rPr/>
      </w:pPr>
      <w:r>
        <w:rPr/>
      </w:r>
    </w:p>
    <w:p>
      <w:pPr>
        <w:overflowPunct w:val="false"/>
        <w:bidi w:val="0"/>
        <w:rPr/>
      </w:pPr>
      <w:r>
        <w:rPr/>
        <w:t xml:space="preserve">  Brack, R., &amp; Amalu, E. H. (2021). A review of technology, materials and R&amp;D challenges of upper limb prosthesis for improved user suitability. Journal of</w:t>
      </w:r>
    </w:p>
    <w:p>
      <w:pPr>
        <w:overflowPunct w:val="false"/>
        <w:bidi w:val="0"/>
        <w:rPr/>
      </w:pPr>
      <w:r>
        <w:rPr/>
        <w:t xml:space="preserve">  Orthopaedics, 23, 88–96. https://doi.org/10.1016/j.jor.2020.12.009</w:t>
      </w:r>
    </w:p>
    <w:p>
      <w:pPr>
        <w:overflowPunct w:val="false"/>
        <w:bidi w:val="0"/>
        <w:rPr/>
      </w:pPr>
      <w:r>
        <w:rPr/>
      </w:r>
    </w:p>
  </w:comment>
  <w:comment w:id="1" w:author="Unknown Author" w:date="2026-06-30T20:08:54Z" w:initials="">
    <w:p>
      <w:pPr>
        <w:overflowPunct w:val="false"/>
        <w:bidi w:val="0"/>
        <w:rPr/>
      </w:pPr>
      <w:r>
        <w:annotationRef/>
      </w:r>
      <w:r>
        <w:rPr/>
        <w:t>Meter a norma</w:t>
      </w:r>
    </w:p>
  </w:comment>
  <w:comment w:id="2" w:author="Unknown Author" w:date="2026-06-30T20:11:38Z" w:initials="">
    <w:p>
      <w:pPr>
        <w:overflowPunct w:val="false"/>
        <w:bidi w:val="0"/>
        <w:rPr/>
      </w:pPr>
      <w:r>
        <w:annotationRef/>
      </w:r>
      <w:r>
        <w:rPr/>
        <w:t>Explicar o prisma</w:t>
      </w:r>
    </w:p>
  </w:comment>
  <w:comment w:id="3" w:author="Unknown Author" w:date="2026-06-30T20:17:49Z" w:initials="">
    <w:p>
      <w:pPr>
        <w:overflowPunct w:val="false"/>
        <w:bidi w:val="0"/>
        <w:rPr/>
      </w:pPr>
      <w:r>
        <w:annotationRef/>
      </w:r>
      <w:r>
        <w:rPr/>
        <w:t>Quem diz?</w:t>
      </w:r>
    </w:p>
    <w:p>
      <w:pPr>
        <w:overflowPunct w:val="false"/>
        <w:bidi w:val="0"/>
        <w:rPr/>
      </w:pPr>
      <w:r>
        <w:rPr/>
      </w:r>
    </w:p>
    <w:p>
      <w:pPr>
        <w:overflowPunct w:val="false"/>
        <w:bidi w:val="0"/>
        <w:rPr/>
      </w:pPr>
      <w:r>
        <w:rPr/>
        <w:t xml:space="preserve"> Privitera, M. (2017). Designing industrial design in the highly regulated medical device development process: Defining our valuable contribution towards</w:t>
      </w:r>
    </w:p>
    <w:p>
      <w:pPr>
        <w:overflowPunct w:val="false"/>
        <w:bidi w:val="0"/>
        <w:rPr/>
      </w:pPr>
      <w:r>
        <w:rPr/>
        <w:t xml:space="preserve">  usability. The Design Journal, 20(sup1), S2190–S2206. https://doi.org/10.1080/14606925.2017.1352735</w:t>
      </w:r>
    </w:p>
    <w:p>
      <w:pPr>
        <w:overflowPunct w:val="false"/>
        <w:bidi w:val="0"/>
        <w:rPr/>
      </w:pPr>
      <w:r>
        <w:rPr/>
      </w:r>
    </w:p>
    <w:p>
      <w:pPr>
        <w:overflowPunct w:val="false"/>
        <w:bidi w:val="0"/>
        <w:rPr/>
      </w:pPr>
      <w:r>
        <w:rPr/>
        <w:t xml:space="preserve">  Oldfrey, B. M., et al. (2024). A scoping review of digital fabrication techniques applied to prosthetics and orthotics: Part 1 of 2: Prosthetics. Prosthetics and</w:t>
      </w:r>
    </w:p>
    <w:p>
      <w:pPr>
        <w:overflowPunct w:val="false"/>
        <w:bidi w:val="0"/>
        <w:rPr/>
      </w:pPr>
      <w:r>
        <w:rPr/>
        <w:t xml:space="preserve">  Orthotics International, 48, 574–589. https://doi.org/10.1097/PXR.0000000000000351</w:t>
      </w:r>
    </w:p>
    <w:p>
      <w:pPr>
        <w:overflowPunct w:val="false"/>
        <w:bidi w:val="0"/>
        <w:rPr/>
      </w:pPr>
      <w:r>
        <w:rPr/>
      </w:r>
    </w:p>
    <w:p>
      <w:pPr>
        <w:overflowPunct w:val="false"/>
        <w:bidi w:val="0"/>
        <w:rPr/>
      </w:pPr>
      <w:r>
        <w:rPr/>
        <w:t xml:space="preserve">  Mc Guinness, E., Patel, D., Patrick, M., &amp; Austin, V. (2025). Outcomes of assistive technology use by sex and gender: A scoping review. Disability and</w:t>
      </w:r>
    </w:p>
    <w:p>
      <w:pPr>
        <w:overflowPunct w:val="false"/>
        <w:bidi w:val="0"/>
        <w:rPr/>
      </w:pPr>
      <w:r>
        <w:rPr/>
        <w:t xml:space="preserve">  Rehabilitation: Assistive Technology, 20(8), 2666–2690. https://doi.org/10.1080/17483107.2025.2516615</w:t>
      </w:r>
    </w:p>
    <w:p>
      <w:pPr>
        <w:overflowPunct w:val="false"/>
        <w:bidi w:val="0"/>
        <w:rPr/>
      </w:pPr>
      <w:r>
        <w:rPr/>
      </w:r>
    </w:p>
  </w:comment>
  <w:comment w:id="4" w:author="Unknown Author" w:date="2026-06-30T20:34:34Z" w:initials="">
    <w:p>
      <w:pPr>
        <w:overflowPunct w:val="false"/>
        <w:bidi w:val="0"/>
        <w:rPr/>
      </w:pPr>
      <w:r>
        <w:annotationRef/>
      </w:r>
      <w:r>
        <w:rPr/>
        <w:t>Escalados ou escalonados</w:t>
      </w:r>
    </w:p>
  </w:comment>
  <w:comment w:id="5" w:author="Unknown Author" w:date="2026-06-30T20:36:00Z" w:initials="">
    <w:p>
      <w:pPr>
        <w:overflowPunct w:val="false"/>
        <w:bidi w:val="0"/>
        <w:rPr/>
      </w:pPr>
      <w:r>
        <w:annotationRef/>
      </w:r>
      <w:r>
        <w:rPr/>
        <w:t>Não me recordo se escrevemos antes FA ou não.</w:t>
      </w:r>
    </w:p>
  </w:comment>
  <w:comment w:id="6" w:author="Unknown Author" w:date="2026-06-30T20:44:05Z" w:initials="">
    <w:p>
      <w:pPr>
        <w:overflowPunct w:val="false"/>
        <w:bidi w:val="0"/>
        <w:rPr/>
      </w:pPr>
      <w:r>
        <w:annotationRef/>
      </w:r>
      <w:r>
        <w:rPr/>
        <w:t>Mesmo problema</w:t>
      </w:r>
    </w:p>
    <w:p>
      <w:pPr>
        <w:overflowPunct w:val="false"/>
        <w:bidi w:val="0"/>
        <w:rPr/>
      </w:pPr>
      <w:r>
        <w:rPr/>
      </w:r>
    </w:p>
  </w:comment>
  <w:comment w:id="7" w:author="Unknown Author" w:date="2026-06-30T20:54:43Z" w:initials="">
    <w:p>
      <w:pPr>
        <w:overflowPunct w:val="false"/>
        <w:bidi w:val="0"/>
        <w:rPr/>
      </w:pPr>
      <w:r>
        <w:annotationRef/>
      </w:r>
      <w:r>
        <w:rPr/>
        <w:t>E meter isto em português de portugal?</w:t>
      </w:r>
    </w:p>
  </w:comment>
  <w:comment w:id="8" w:author="Unknown Author" w:date="2026-06-30T21:02:37Z" w:initials="">
    <w:p>
      <w:pPr>
        <w:overflowPunct w:val="false"/>
        <w:bidi w:val="0"/>
        <w:rPr/>
      </w:pPr>
      <w:r>
        <w:annotationRef/>
      </w:r>
      <w:r>
        <w:rPr/>
        <w:t>É meter aqui uma nota a explicar o que é uma fronteira de pareto.</w:t>
      </w:r>
    </w:p>
  </w:comment>
  <w:comment w:id="9" w:author="Unknown Author" w:date="2026-06-30T21:07:04Z" w:initials="">
    <w:p>
      <w:pPr>
        <w:overflowPunct w:val="false"/>
        <w:bidi w:val="0"/>
        <w:rPr/>
      </w:pPr>
      <w:r>
        <w:annotationRef/>
      </w:r>
      <w:r>
        <w:rPr/>
        <w:t>É preciso definir o que é CAD/CAM</w:t>
      </w:r>
    </w:p>
  </w:comment>
  <w:comment w:id="10" w:author="Unknown Author" w:date="2026-06-30T21:07:24Z" w:initials="">
    <w:p>
      <w:pPr>
        <w:overflowPunct w:val="false"/>
        <w:bidi w:val="0"/>
        <w:rPr/>
      </w:pPr>
      <w:r>
        <w:annotationRef/>
      </w:r>
      <w:r>
        <w:rPr/>
        <w:t>Antes já tinhamos apontado para FA</w:t>
      </w:r>
    </w:p>
  </w:comment>
  <w:comment w:id="11" w:author="Unknown Author" w:date="2026-06-30T21:11:54Z" w:initials="">
    <w:p>
      <w:pPr>
        <w:overflowPunct w:val="false"/>
        <w:bidi w:val="0"/>
        <w:rPr/>
      </w:pPr>
      <w:r>
        <w:annotationRef/>
      </w:r>
      <w:r>
        <w:rPr/>
        <w:t>Um proxy? Brooooo</w:t>
      </w:r>
    </w:p>
    <w:p>
      <w:pPr>
        <w:overflowPunct w:val="false"/>
        <w:bidi w:val="0"/>
        <w:rPr/>
      </w:pPr>
      <w:r>
        <w:rPr/>
      </w:r>
    </w:p>
  </w:comment>
  <w:comment w:id="12" w:author="Unknown Author" w:date="2026-07-01T07:18:56Z" w:initials="">
    <w:p>
      <w:pPr>
        <w:overflowPunct w:val="false"/>
        <w:bidi w:val="0"/>
        <w:rPr/>
      </w:pPr>
      <w:r>
        <w:annotationRef/>
      </w:r>
      <w:r>
        <w:rPr/>
        <w:t>Sem ser in engrishe prease</w:t>
      </w:r>
    </w:p>
  </w:comment>
  <w:comment w:id="13" w:author="Unknown Author" w:date="2026-07-01T07:37:46Z" w:initials="">
    <w:p>
      <w:pPr>
        <w:overflowPunct w:val="false"/>
        <w:bidi w:val="0"/>
        <w:rPr/>
      </w:pPr>
      <w:r>
        <w:annotationRef/>
      </w:r>
      <w:r>
        <w:rPr/>
        <w:t>Isto parece-me perdido aqui</w:t>
      </w:r>
    </w:p>
  </w:comment>
  <w:comment w:id="14" w:author="Unknown Author" w:date="2026-07-01T07:38:53Z" w:initials="">
    <w:p>
      <w:pPr>
        <w:overflowPunct w:val="false"/>
        <w:bidi w:val="0"/>
        <w:rPr/>
      </w:pPr>
      <w:r>
        <w:annotationRef/>
      </w:r>
      <w:r>
        <w:rPr/>
        <w:t>É preciso explicar o que é um CT/MRI</w:t>
      </w:r>
    </w:p>
  </w:comment>
  <w:comment w:id="15" w:author="Unknown Author" w:date="2026-07-01T07:38:17Z" w:initials="">
    <w:p>
      <w:pPr>
        <w:overflowPunct w:val="false"/>
        <w:bidi w:val="0"/>
        <w:rPr/>
      </w:pPr>
      <w:r>
        <w:annotationRef/>
      </w:r>
      <w:r>
        <w:rPr/>
        <w:t>É preciso explicar o que é a modelação estatística de forma</w:t>
      </w:r>
    </w:p>
  </w:comment>
  <w:comment w:id="16" w:author="Unknown Author" w:date="2026-07-01T07:40:04Z" w:initials="">
    <w:p>
      <w:pPr>
        <w:overflowPunct w:val="false"/>
        <w:bidi w:val="0"/>
        <w:rPr/>
      </w:pPr>
      <w:r>
        <w:annotationRef/>
      </w:r>
      <w:r>
        <w:rPr/>
        <w:t>Explicar o que são hot spots térmicos</w:t>
      </w:r>
    </w:p>
  </w:comment>
  <w:comment w:id="17" w:author="Unknown Author" w:date="2026-07-01T07:42:41Z" w:initials="">
    <w:p>
      <w:pPr>
        <w:overflowPunct w:val="false"/>
        <w:bidi w:val="0"/>
        <w:rPr/>
      </w:pPr>
      <w:r>
        <w:annotationRef/>
      </w:r>
      <w:r>
        <w:rPr/>
        <w:t>Definir sigla</w:t>
      </w:r>
    </w:p>
  </w:comment>
  <w:comment w:id="18" w:author="Unknown Author" w:date="2026-07-01T07:42:10Z" w:initials="">
    <w:p>
      <w:pPr>
        <w:overflowPunct w:val="false"/>
        <w:bidi w:val="0"/>
        <w:rPr/>
      </w:pPr>
      <w:r>
        <w:annotationRef/>
      </w:r>
      <w:r>
        <w:rPr/>
        <w:t>Com PCA? Claro, bro. E vai querer mais alguma coisa para comer?</w:t>
      </w:r>
    </w:p>
  </w:comment>
  <w:comment w:id="19" w:author="Unknown Author" w:date="2026-07-01T07:50:57Z" w:initials="">
    <w:p>
      <w:pPr>
        <w:overflowPunct w:val="false"/>
        <w:bidi w:val="0"/>
        <w:rPr/>
      </w:pPr>
      <w:r>
        <w:annotationRef/>
      </w:r>
      <w:r>
        <w:rPr/>
        <w:t>Vamos definir</w:t>
      </w:r>
    </w:p>
  </w:comment>
  <w:comment w:id="20" w:author="Unknown Author" w:date="2026-07-01T08:01:54Z" w:initials="">
    <w:p>
      <w:pPr>
        <w:overflowPunct w:val="false"/>
        <w:bidi w:val="0"/>
        <w:rPr/>
      </w:pPr>
      <w:r>
        <w:annotationRef/>
      </w:r>
      <w:r>
        <w:rPr/>
        <w:t>O que é um prompt? É preciso definir</w:t>
      </w:r>
    </w:p>
  </w:comment>
  <w:comment w:id="21" w:author="Unknown Author" w:date="2026-07-01T08:10:15Z" w:initials="">
    <w:p>
      <w:pPr>
        <w:overflowPunct w:val="false"/>
        <w:bidi w:val="0"/>
        <w:rPr/>
      </w:pPr>
      <w:r>
        <w:annotationRef/>
      </w:r>
      <w:r>
        <w:rPr/>
        <w:t>Não sei se julgamento é a expressão correta</w:t>
      </w:r>
    </w:p>
  </w:comment>
  <w:comment w:id="22" w:author="Unknown Author" w:date="2026-07-01T08:12:05Z" w:initials="">
    <w:p>
      <w:pPr>
        <w:overflowPunct w:val="false"/>
        <w:bidi w:val="0"/>
        <w:rPr/>
      </w:pPr>
      <w:r>
        <w:annotationRef/>
      </w:r>
      <w:r>
        <w:rPr/>
        <w:t>É uma boa frase se queres fazer de jesus pq vais ser cruxificado</w:t>
      </w:r>
    </w:p>
  </w:comment>
</w:comments>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 w:type="paragraph" w:styleId="Heading1">
    <w:name w:val="heading 1"/>
    <w:basedOn w:val="Normal"/>
    <w:uiPriority w:val="9"/>
    <w:qFormat/>
    <w:rPr>
      <w:b/>
      <w:sz w:val="32"/>
    </w:rPr>
  </w:style>
  <w:style w:type="paragraph" w:styleId="Heading2">
    <w:name w:val="heading 2"/>
    <w:basedOn w:val="Normal"/>
    <w:uiPriority w:val="9"/>
    <w:qFormat/>
    <w:rPr>
      <w:b/>
      <w:sz w:val="28"/>
    </w:rPr>
  </w:style>
  <w:style w:type="paragraph" w:styleId="Heading3">
    <w:name w:val="heading 3"/>
    <w:basedOn w:val="Normal"/>
    <w:uiPriority w:val="9"/>
    <w:qFormat/>
    <w:rPr>
      <w:b/>
      <w:sz w:val="24"/>
    </w:rPr>
  </w:style>
  <w:style w:type="paragraph" w:styleId="ListBullet">
    <w:name w:val="List Bullet"/>
    <w:basedOn w:val="Normal"/>
    <w:pPr>
      <w:ind w:left="720" w:hanging="360"/>
    </w:pPr>
  </w:style>
  <w:style w:type="paragraph" w:styleId="ListNumber">
    <w:name w:val="List Number"/>
    <w:basedOn w:val="Normal"/>
    <w:pPr>
      <w:ind w:left="720" w:hanging="360"/>
    </w:pPr>
  </w:style>
  <w:style w:type="paragraph" w:styleId="Quote">
    <w:name w:val="Quote"/>
    <w:basedOn w:val="Normal"/>
    <w:pPr>
      <w:ind w:left="720" w:right="720"/>
    </w:pPr>
    <w:rPr>
      <w:i/>
      <w:color w:val="555555"/>
    </w:rPr>
  </w:style>
  <w:style w:type="paragraph" w:styleId="CodeBlock">
    <w:name w:val="Code Block"/>
    <w:basedOn w:val="Normal"/>
    <w:pPr>
      <w:spacing w:before="120" w:after="120"/>
      <w:ind w:left="360" w:right="360"/>
    </w:pPr>
    <w:rPr>
      <w:rFonts w:ascii="Consolas" w:hAnsi="Consolas"/>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comments" Target="comments.xml"/></Relationships>
</file>

<file path=docProps/app.xml><?xml version="1.0" encoding="utf-8"?>
<Properties xmlns="http://schemas.openxmlformats.org/officeDocument/2006/extended-properties" xmlns:vt="http://schemas.openxmlformats.org/officeDocument/2006/docPropsVTypes">
  <Application>Codex Markdown Exporter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projecto-completo</dc:title>
  <dc:creator>Codex Markdown Exporter</dc:creator>
  <cp:lastModifiedBy>Codex Markdown Exporter</cp:lastModifiedBy>
  <dcterms:created xsi:type="dcterms:W3CDTF">2026-07-01T15:26:09Z</dcterms:created>
  <dcterms:modified xsi:type="dcterms:W3CDTF">2026-07-01T15:26:09Z</dcterms:modified>
</cp:coreProperties>
</file>