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Projecto completo</w:t>
      </w:r>
    </w:p>
    <w:p>
      <w:pPr>
        <w:pStyle w:val="Normal"/>
        <w:bidi w:val="0"/>
        <w:jc w:val="left"/>
        <w:rPr/>
      </w:pPr>
      <w:r>
        <w:rPr/>
        <w:t>Versão do documento:0.4.5</w:t>
      </w:r>
    </w:p>
    <w:p>
      <w:pPr>
        <w:pStyle w:val="Normal"/>
        <w:bidi w:val="0"/>
        <w:jc w:val="left"/>
        <w:rPr/>
      </w:pPr>
      <w:r>
        <w:rPr/>
      </w:r>
    </w:p>
    <w:p>
      <w:pPr>
        <w:pStyle w:val="Heading2"/>
        <w:bidi w:val="0"/>
        <w:jc w:val="left"/>
        <w:rPr/>
      </w:pPr>
      <w:r>
        <w:rPr/>
        <w:t>Capítulo 1 — Introdução</w:t>
      </w:r>
    </w:p>
    <w:p>
      <w:pPr>
        <w:pStyle w:val="Heading3"/>
        <w:bidi w:val="0"/>
        <w:jc w:val="left"/>
        <w:rPr/>
      </w:pPr>
      <w:r>
        <w:rPr/>
      </w:r>
    </w:p>
    <w:p>
      <w:pPr>
        <w:pStyle w:val="Heading3"/>
        <w:bidi w:val="0"/>
        <w:jc w:val="left"/>
        <w:rPr/>
      </w:pPr>
      <w:r>
        <w:rPr/>
        <w:t>1.1 Enquadramento geral, contexto e motivação</w:t>
      </w:r>
    </w:p>
    <w:p>
      <w:pPr>
        <w:pStyle w:val="Normal"/>
        <w:bidi w:val="0"/>
        <w:jc w:val="left"/>
        <w:rPr/>
      </w:pPr>
      <w:r>
        <w:rPr/>
      </w:r>
    </w:p>
    <w:p>
      <w:pPr>
        <w:pStyle w:val="Normal"/>
        <w:bidi w:val="0"/>
        <w:jc w:val="left"/>
        <w:rPr/>
      </w:pPr>
      <w:r>
        <w:rP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pPr>
      <w:r>
        <w:rPr/>
        <w:t xml:space="preserve">Nos últimos anos, a impressão 3D e as plataformas </w:t>
      </w:r>
      <w:r>
        <w:rPr>
          <w:i/>
        </w:rPr>
        <w:t>open source</w:t>
      </w:r>
      <w:r>
        <w:rPr/>
        <w:t xml:space="preserve"> ampliaram o acesso a dispositivos protésicos, especialmente em contextos economicamente desfavorecidos. No entanto, muitos desses modelos dependem de geometrias fixas, isto é, formas pré-definidas sem adaptação automática, ou de ajustes manuais pouco padronizados, o que resulta em alterações sem um protocolo uniforme e dificulta a escalabilidade, a reprodutibilidade e a integração robusta de dados antropométricos, ou seja, medidas corporais específicas do utilizador.</w:t>
      </w:r>
    </w:p>
    <w:p>
      <w:pPr>
        <w:pStyle w:val="Normal"/>
        <w:bidi w:val="0"/>
        <w:jc w:val="left"/>
        <w:rPr/>
      </w:pPr>
      <w:r>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pPr>
      <w:r>
        <w:rPr/>
        <w:drawing>
          <wp:inline distT="0" distB="0" distL="0" distR="0">
            <wp:extent cx="5715000" cy="3924300"/>
            <wp:effectExtent l="0" t="0" r="0" b="0"/>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a:picLocks noChangeAspect="1" noChangeArrowheads="1"/>
                    </pic:cNvPicPr>
                  </pic:nvPicPr>
                  <pic:blipFill>
                    <a:blip r:embed="rId2"/>
                    <a:stretch>
                      <a:fillRect/>
                    </a:stretch>
                  </pic:blipFill>
                  <pic:spPr bwMode="auto">
                    <a:xfrm>
                      <a:off x="0" y="0"/>
                      <a:ext cx="5715000" cy="3924300"/>
                    </a:xfrm>
                    <a:prstGeom prst="rect">
                      <a:avLst/>
                    </a:prstGeom>
                    <a:noFill/>
                  </pic:spPr>
                </pic:pic>
              </a:graphicData>
            </a:graphic>
          </wp:inline>
        </w:drawing>
      </w:r>
    </w:p>
    <w:p>
      <w:pPr>
        <w:pStyle w:val="Normal"/>
        <w:bidi w:val="0"/>
        <w:jc w:val="left"/>
        <w:rPr/>
      </w:pPr>
      <w:r>
        <w:rPr/>
        <w:t>Figura 1.1 — Exemplos de próteses e dispositivos associados à fabricação aditiva em contexto protésico.</w:t>
      </w:r>
    </w:p>
    <w:p>
      <w:pPr>
        <w:pStyle w:val="Normal"/>
        <w:bidi w:val="0"/>
        <w:jc w:val="left"/>
        <w:rPr/>
      </w:pPr>
      <w:r>
        <w:rPr/>
        <w:t>Fonte original (APA 7):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pPr>
      <w:r>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pPr>
      <w:r>
        <w:rPr/>
        <w:t>1.2 Problema de investigação</w:t>
      </w:r>
    </w:p>
    <w:p>
      <w:pPr>
        <w:pStyle w:val="Normal"/>
        <w:bidi w:val="0"/>
        <w:jc w:val="left"/>
        <w:rPr/>
      </w:pPr>
      <w:r>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pPr>
      <w:r>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pPr>
      <w:r>
        <w:rPr/>
        <w:t>1.3 Objetivos da investigação</w:t>
      </w:r>
    </w:p>
    <w:p>
      <w:pPr>
        <w:pStyle w:val="Heading3"/>
        <w:bidi w:val="0"/>
        <w:jc w:val="left"/>
        <w:rPr/>
      </w:pPr>
      <w:r>
        <w:rPr/>
        <w:t>1.3.1 Objetivo geral</w:t>
      </w:r>
    </w:p>
    <w:p>
      <w:pPr>
        <w:pStyle w:val="Normal"/>
        <w:bidi w:val="0"/>
        <w:jc w:val="left"/>
        <w:rPr/>
      </w:pPr>
      <w:r>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pPr>
      <w:r>
        <w:rPr/>
      </w:r>
    </w:p>
    <w:p>
      <w:pPr>
        <w:pStyle w:val="Heading3"/>
        <w:bidi w:val="0"/>
        <w:jc w:val="left"/>
        <w:rPr/>
      </w:pPr>
      <w:r>
        <w:rPr/>
        <w:t>1.3.2 Objetivos específicos</w:t>
      </w:r>
    </w:p>
    <w:p>
      <w:pPr>
        <w:pStyle w:val="Normal"/>
        <w:bidi w:val="0"/>
        <w:jc w:val="left"/>
        <w:rPr/>
      </w:pPr>
      <w:r>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Validar-se-á a abordagem por meio de prototipagem e de experimentação por impressão 3D, avaliando aspectos funcionais, ergonómicos e formais, bem como a viabilidade de fabricação.</w:t>
      </w:r>
    </w:p>
    <w:p>
      <w:pPr>
        <w:pStyle w:val="Normal"/>
        <w:bidi w:val="0"/>
        <w:jc w:val="left"/>
        <w:rPr/>
      </w:pPr>
      <w:r>
        <w:rPr/>
        <w:t>A investigação busca responder: como o design de produto, métodos paramétricos e inteligência artificial podem melhorar a personalização, o conforto e a adequação funcional de próteses, mantendo a acessibilidade e o controle projetual? Quais metodologias e ferramentas validam a eficácia, a usabilidade, a durabilidade e a reprodutibilidade de próteses impressas em 3D? Como o Design Industrial concilia requisitos anatómicos, funcionais, ergonómicos, estéticos e simbólicos, promovendo a aceitação, a dignidade e a autonomia?</w:t>
      </w:r>
    </w:p>
    <w:p>
      <w:pPr>
        <w:pStyle w:val="Heading3"/>
        <w:bidi w:val="0"/>
        <w:jc w:val="left"/>
        <w:rPr/>
      </w:pPr>
      <w:r>
        <w:rPr/>
      </w:r>
    </w:p>
    <w:p>
      <w:pPr>
        <w:pStyle w:val="Heading3"/>
        <w:bidi w:val="0"/>
        <w:jc w:val="left"/>
        <w:rPr/>
      </w:pPr>
      <w:r>
        <w:rPr/>
        <w:t>1.4 Abordagem metodológica geral</w:t>
      </w:r>
    </w:p>
    <w:p>
      <w:pPr>
        <w:pStyle w:val="Normal"/>
        <w:bidi w:val="0"/>
        <w:jc w:val="left"/>
        <w:rPr/>
      </w:pPr>
      <w:r>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pPr>
      <w:r>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sem utilizar dados pessoais de utilizadores.</w:t>
      </w:r>
    </w:p>
    <w:p>
      <w:pPr>
        <w:pStyle w:val="Heading3"/>
        <w:bidi w:val="0"/>
        <w:jc w:val="left"/>
        <w:rPr/>
      </w:pPr>
      <w:r>
        <w:rPr/>
      </w:r>
    </w:p>
    <w:p>
      <w:pPr>
        <w:pStyle w:val="Heading3"/>
        <w:bidi w:val="0"/>
        <w:jc w:val="left"/>
        <w:rPr/>
      </w:pPr>
      <w:r>
        <w:rPr/>
        <w:t>1.5 Estrutura da dissertação</w:t>
      </w:r>
    </w:p>
    <w:p>
      <w:pPr>
        <w:pStyle w:val="Normal"/>
        <w:bidi w:val="0"/>
        <w:jc w:val="left"/>
        <w:rPr/>
      </w:pPr>
      <w:r>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pPr>
      <w:r>
        <w:rPr/>
      </w:r>
    </w:p>
    <w:p>
      <w:pPr>
        <w:pStyle w:val="Heading2"/>
        <w:bidi w:val="0"/>
        <w:jc w:val="left"/>
        <w:rPr/>
      </w:pPr>
      <w:r>
        <w:rPr/>
        <w:t>Capítulo 2 — Enquadramento Teórico e Estado da Arte</w:t>
      </w:r>
    </w:p>
    <w:p>
      <w:pPr>
        <w:pStyle w:val="Heading3"/>
        <w:bidi w:val="0"/>
        <w:jc w:val="left"/>
        <w:rPr/>
      </w:pPr>
      <w:r>
        <w:rPr/>
      </w:r>
    </w:p>
    <w:p>
      <w:pPr>
        <w:pStyle w:val="Heading3"/>
        <w:bidi w:val="0"/>
        <w:jc w:val="left"/>
        <w:rPr/>
      </w:pPr>
      <w:r>
        <w:rPr/>
        <w:t>2.1 Prótese de membro superior e dispositivos médicos</w:t>
      </w:r>
    </w:p>
    <w:p>
      <w:pPr>
        <w:pStyle w:val="Normal"/>
        <w:bidi w:val="0"/>
        <w:jc w:val="left"/>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Quote"/>
        <w:bidi w:val="0"/>
        <w:ind w:left="720" w:right="720"/>
        <w:jc w:val="left"/>
        <w:rPr/>
      </w:pPr>
      <w:r>
        <w:rPr/>
        <w:t>[!Qual sector?] 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pPr>
      <w:r>
        <w:rPr/>
        <w:t>Tipologias de próteses de membro superior</w:t>
      </w:r>
    </w:p>
    <w:p>
      <w:pPr>
        <w:pStyle w:val="Quote"/>
        <w:bidi w:val="0"/>
        <w:ind w:left="720" w:right="720"/>
        <w:jc w:val="left"/>
        <w:rPr/>
      </w:pPr>
      <w:commentRangeStart w:id="0"/>
      <w:r>
        <w:rPr/>
        <w:t>[!Quem diz que são 4?] 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w:t>
      </w:r>
      <w:commentRangeEnd w:id="0"/>
      <w:r>
        <w:commentReference w:id="0"/>
      </w:r>
      <w:r>
        <w:rPr/>
      </w:r>
    </w:p>
    <w:p>
      <w:pPr>
        <w:pStyle w:val="Normal"/>
        <w:bidi w:val="0"/>
        <w:jc w:val="left"/>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pPr>
      <w:r>
        <w:rPr/>
        <w:t>Próteses mecânicas acionadas pelo corpo (</w:t>
      </w:r>
      <w:r>
        <w:rPr>
          <w:i/>
        </w:rPr>
        <w:t>body-powered</w:t>
      </w:r>
      <w:r>
        <w:rPr/>
        <w:t>)</w:t>
      </w:r>
    </w:p>
    <w:p>
      <w:pPr>
        <w:pStyle w:val="Normal"/>
        <w:bidi w:val="0"/>
        <w:jc w:val="left"/>
        <w:rPr/>
      </w:pPr>
      <w:r>
        <w:rPr/>
        <w:t>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 Um atributo particularmente relevante é o feedback [^1]proprioceptivo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pPr>
      <w:r>
        <w:rPr/>
        <w:t>Próteses mioelétricas</w:t>
      </w:r>
    </w:p>
    <w:p>
      <w:pPr>
        <w:pStyle w:val="Normal"/>
        <w:bidi w:val="0"/>
        <w:jc w:val="left"/>
        <w:rPr/>
      </w:pPr>
      <w:r>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pPr>
      <w:r>
        <w:rPr/>
        <w:t>Sistemas híbridos</w:t>
      </w:r>
    </w:p>
    <w:p>
      <w:pPr>
        <w:pStyle w:val="Normal"/>
        <w:bidi w:val="0"/>
        <w:jc w:val="left"/>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pPr>
      <w:r>
        <w:rPr/>
        <w:drawing>
          <wp:inline distT="0" distB="0" distL="0" distR="0">
            <wp:extent cx="5715000" cy="5467350"/>
            <wp:effectExtent l="0" t="0" r="0" b="0"/>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a:picLocks noChangeAspect="1" noChangeArrowheads="1"/>
                    </pic:cNvPicPr>
                  </pic:nvPicPr>
                  <pic:blipFill>
                    <a:blip r:embed="rId3"/>
                    <a:stretch>
                      <a:fillRect/>
                    </a:stretch>
                  </pic:blipFill>
                  <pic:spPr bwMode="auto">
                    <a:xfrm>
                      <a:off x="0" y="0"/>
                      <a:ext cx="5715000" cy="5467350"/>
                    </a:xfrm>
                    <a:prstGeom prst="rect">
                      <a:avLst/>
                    </a:prstGeom>
                    <a:noFill/>
                  </pic:spPr>
                </pic:pic>
              </a:graphicData>
            </a:graphic>
          </wp:inline>
        </w:drawing>
      </w:r>
    </w:p>
    <w:p>
      <w:pPr>
        <w:pStyle w:val="Normal"/>
        <w:bidi w:val="0"/>
        <w:jc w:val="left"/>
        <w:rPr/>
      </w:pPr>
      <w:r>
        <w:rPr/>
        <w:t>Figura 2.1 — Exemplos de próteses de membro superior impressas em 3D, ilustrando diversidade tipológica e construtiva.</w:t>
      </w:r>
    </w:p>
    <w:p>
      <w:pPr>
        <w:pStyle w:val="Normal"/>
        <w:bidi w:val="0"/>
        <w:jc w:val="left"/>
        <w:rPr/>
      </w:pPr>
      <w:r>
        <w:rPr/>
        <w:t>Fonte original: ten Kate, J., Smit, G., &amp; Breedveld, P. (2017). 3D-printed upper limb prostheses: A review. Disability and Rehabilitation: Assistive Technology, 12(3), 300-314. https://doi.org/10.1080/17483107.2016.1253117</w:t>
      </w:r>
    </w:p>
    <w:p>
      <w:pPr>
        <w:pStyle w:val="Heading3"/>
        <w:bidi w:val="0"/>
        <w:jc w:val="left"/>
        <w:rPr/>
      </w:pPr>
      <w:r>
        <w:rPr/>
        <w:t>Considerações clínicas e funcionais</w:t>
      </w:r>
    </w:p>
    <w:p>
      <w:pPr>
        <w:pStyle w:val="Normal"/>
        <w:bidi w:val="0"/>
        <w:jc w:val="left"/>
        <w:rPr/>
      </w:pPr>
      <w:r>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pPr>
      <w:r>
        <w:rPr/>
        <w:t>Entre os fatores físicos incluem-se o nível de amputação, o comprimento e a condição do coto residual, a integridade cutânea, a amplitude articular e a força muscular. Amputações de nível mais proximal implicam desafios acrescidos em termos de controlo e do peso do sistema protésico.</w:t>
      </w:r>
    </w:p>
    <w:p>
      <w:pPr>
        <w:pStyle w:val="Normal"/>
        <w:bidi w:val="0"/>
        <w:jc w:val="left"/>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pPr>
      <w:r>
        <w:rPr/>
        <w:t>Medição de resultados e abandono protésico</w:t>
      </w:r>
    </w:p>
    <w:p>
      <w:pPr>
        <w:pStyle w:val="Normal"/>
        <w:bidi w:val="0"/>
        <w:jc w:val="left"/>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pPr>
      <w:r>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pPr>
      <w:r>
        <w:rPr/>
        <w:drawing>
          <wp:inline distT="0" distB="0" distL="0" distR="0">
            <wp:extent cx="5715000" cy="4086225"/>
            <wp:effectExtent l="0" t="0" r="0" b="0"/>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a:picLocks noChangeAspect="1" noChangeArrowheads="1"/>
                    </pic:cNvPicPr>
                  </pic:nvPicPr>
                  <pic:blipFill>
                    <a:blip r:embed="rId4"/>
                    <a:stretch>
                      <a:fillRect/>
                    </a:stretch>
                  </pic:blipFill>
                  <pic:spPr bwMode="auto">
                    <a:xfrm>
                      <a:off x="0" y="0"/>
                      <a:ext cx="5715000" cy="4086225"/>
                    </a:xfrm>
                    <a:prstGeom prst="rect">
                      <a:avLst/>
                    </a:prstGeom>
                    <a:noFill/>
                  </pic:spPr>
                </pic:pic>
              </a:graphicData>
            </a:graphic>
          </wp:inline>
        </w:drawing>
      </w:r>
    </w:p>
    <w:p>
      <w:pPr>
        <w:pStyle w:val="Normal"/>
        <w:bidi w:val="0"/>
        <w:jc w:val="left"/>
        <w:rPr/>
      </w:pPr>
      <w:r>
        <w:rPr/>
        <w:t>Figura 2.2 — Utilização, rejeição primária e rejeição secundária de próteses do membro superior adquiridas.</w:t>
      </w:r>
    </w:p>
    <w:p>
      <w:pPr>
        <w:pStyle w:val="Normal"/>
        <w:bidi w:val="0"/>
        <w:jc w:val="left"/>
        <w:rPr/>
      </w:pPr>
      <w:r>
        <w:rPr/>
        <w:t xml:space="preserve">Fonte original (APA 7): Biddiss, E., Beaton, D., &amp; Chau, T. (2007). Consumer design priorities for upper limb prosthetics. Disability and Rehabilitation: Assistive Technology, 2(6), 346-357. </w:t>
      </w:r>
      <w:hyperlink r:id="rId5">
        <w:r>
          <w:rPr>
            <w:rStyle w:val="Hyperlink"/>
          </w:rPr>
          <w:t>https://doi.org/10.1080/17483100701714733</w:t>
        </w:r>
      </w:hyperlink>
    </w:p>
    <w:p>
      <w:pPr>
        <w:pStyle w:val="Normal"/>
        <w:bidi w:val="0"/>
        <w:jc w:val="left"/>
        <w:rPr/>
      </w:pPr>
      <w:r>
        <w:rPr/>
      </w:r>
    </w:p>
    <w:p>
      <w:pPr>
        <w:pStyle w:val="Heading3"/>
        <w:bidi w:val="0"/>
        <w:jc w:val="left"/>
        <w:rPr/>
      </w:pPr>
      <w:r>
        <w:rPr/>
        <w:t>Enquadramento regulatório enquanto dispositivo médico</w:t>
      </w:r>
    </w:p>
    <w:p>
      <w:pPr>
        <w:pStyle w:val="Normal"/>
        <w:bidi w:val="0"/>
        <w:jc w:val="left"/>
        <w:rPr/>
      </w:pPr>
      <w:r>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pPr>
      <w:r>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pPr>
      <w:r>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Heading3"/>
        <w:bidi w:val="0"/>
        <w:jc w:val="left"/>
        <w:rPr/>
      </w:pPr>
      <w:r>
        <w:rPr/>
        <w:t>2.2 Design Industrial, Design Inclusivo e Design Centrado no Utilizador</w:t>
      </w:r>
    </w:p>
    <w:p>
      <w:pPr>
        <w:pStyle w:val="Normal"/>
        <w:bidi w:val="0"/>
        <w:jc w:val="left"/>
        <w:rPr/>
      </w:pPr>
      <w:r>
        <w:rPr/>
        <w:t>O design industrial, no contexto da saúde e das tecnologias de apoio, é reconhecido progressivamente como uma disciplina mediadora entre as necessidades humanas, os contextos de utilização e os sistemas técnicos regulados. A literatura evidencia que o design não se limita à configuração formal de produtos, mas também desempenha um papel estruturante na promoção da inclusão, da autonomia e da participação social, ao modelar a relação entre indivíduos e ambientes por meio de artefactos e sistemas. 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pPr>
      <w:r>
        <w:rPr/>
        <w:t>Paralelamente, o design inclusivo é apresentado como um imperativo contemporâneo que visa minimizar a exclusão evitável decorrente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pPr>
      <w:r>
        <w:rPr/>
        <w:t>Design industrial em dispositivos médicos</w:t>
      </w:r>
    </w:p>
    <w:p>
      <w:pPr>
        <w:pStyle w:val="Normal"/>
        <w:bidi w:val="0"/>
        <w:jc w:val="left"/>
        <w:rPr/>
      </w:pPr>
      <w:r>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pPr>
      <w:r>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pPr>
      <w:r>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pPr>
      <w:r>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Resultados clínicos, ensaios e usabilidade</w:t>
            </w:r>
          </w:p>
        </w:tc>
      </w:tr>
    </w:tbl>
    <w:p>
      <w:pPr>
        <w:pStyle w:val="Normal"/>
        <w:bidi w:val="0"/>
        <w:jc w:val="left"/>
        <w:rPr/>
      </w:pPr>
      <w:r>
        <w:rPr/>
        <w:t xml:space="preserve">Fonte adaptada. Referência original (APA 7): Kaygan, H., &amp; Kaygan, P. (2025). Clients and carers: Healthcare professionals’ roles in medical device development processes in SMEs. The Design Journal, 28(2), 213-231. </w:t>
      </w:r>
      <w:hyperlink r:id="rId6">
        <w:r>
          <w:rPr>
            <w:rStyle w:val="Hyperlink"/>
          </w:rPr>
          <w:t>https://doi.org/10.1080/14606925.2024.2420152</w:t>
        </w:r>
      </w:hyperlink>
    </w:p>
    <w:p>
      <w:pPr>
        <w:pStyle w:val="Normal"/>
        <w:bidi w:val="0"/>
        <w:jc w:val="left"/>
        <w:rPr/>
      </w:pPr>
      <w:r>
        <w:rPr/>
      </w:r>
    </w:p>
    <w:p>
      <w:pPr>
        <w:pStyle w:val="Heading3"/>
        <w:bidi w:val="0"/>
        <w:jc w:val="left"/>
        <w:rPr/>
      </w:pPr>
      <w:r>
        <w:rPr/>
        <w:t>Design Inclusivo e Design Universal</w:t>
      </w:r>
    </w:p>
    <w:p>
      <w:pPr>
        <w:pStyle w:val="Normal"/>
        <w:bidi w:val="0"/>
        <w:jc w:val="left"/>
        <w:rPr/>
      </w:pPr>
      <w:r>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pPr>
      <w:r>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pPr>
      <w:r>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pPr>
      <w:r>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pPr>
      <w:r>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pPr>
      <w:r>
        <w:rPr/>
        <w:t>Design Centrado no Utilizador e Design Centrado no Humano</w:t>
      </w:r>
    </w:p>
    <w:p>
      <w:pPr>
        <w:pStyle w:val="Normal"/>
        <w:bidi w:val="0"/>
        <w:jc w:val="left"/>
        <w:rPr/>
      </w:pPr>
      <w:r>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pPr>
      <w:commentRangeStart w:id="1"/>
      <w:r>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estabelece requisitos específicos para a aplicação de engenharia de usabilidade em dispositivos médicos, reforçando a integração formal de testes formativos e sumativos no processo regulado (Fisher &amp; Johansen, 2020 (#ref-fisher-2020); Millet et al., 2018 (#ref-millet-2018)).</w:t>
      </w:r>
      <w:commentRangeEnd w:id="1"/>
      <w:r>
        <w:commentReference w:id="1"/>
      </w:r>
      <w:r>
        <w:rPr/>
      </w:r>
    </w:p>
    <w:p>
      <w:pPr>
        <w:pStyle w:val="Normal"/>
        <w:bidi w:val="0"/>
        <w:jc w:val="left"/>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pPr>
      <w:r>
        <w:rPr/>
        <w:t>Design Participativo e Co-design</w:t>
      </w:r>
    </w:p>
    <w:p>
      <w:pPr>
        <w:pStyle w:val="Normal"/>
        <w:bidi w:val="0"/>
        <w:jc w:val="left"/>
        <w:rPr/>
      </w:pPr>
      <w:r>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pPr>
      <w:r>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Heading3"/>
        <w:bidi w:val="0"/>
        <w:jc w:val="left"/>
        <w:rPr/>
      </w:pPr>
      <w:r>
        <w:rPr/>
        <w:t>Metodologias, instrumentos e avaliação</w:t>
      </w:r>
    </w:p>
    <w:p>
      <w:pPr>
        <w:pStyle w:val="Normal"/>
        <w:bidi w:val="0"/>
        <w:jc w:val="left"/>
        <w:rPr/>
      </w:pPr>
      <w:r>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pPr>
      <w:r>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pPr>
      <w:r>
        <w:rPr/>
        <w:t>Em contextos de tecnologias de apoio, modelos como o Matching Person and Technology (MPT)[^6]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pPr>
      <w:commentRangeStart w:id="2"/>
      <w:r>
        <w:rPr/>
        <w:t>A avaliação da evidência tem sido igualmente reforçada por meio do uso de protocolos sistemáticos, como o PRISMA, e de instrumentos de avaliação crítica, o que reflete uma crescente preocupação em fundamentar decisões de design com base empírica robusta (Chapman et al., 2025 (#ref-chapman-2025)).</w:t>
      </w:r>
      <w:commentRangeEnd w:id="2"/>
      <w:r>
        <w:commentReference w:id="2"/>
      </w:r>
      <w:r>
        <w:rPr/>
      </w:r>
    </w:p>
    <w:p>
      <w:pPr>
        <w:pStyle w:val="Heading3"/>
        <w:bidi w:val="0"/>
        <w:jc w:val="left"/>
        <w:rPr/>
      </w:pPr>
      <w:r>
        <w:rPr/>
        <w:t>Desafios e lacunas</w:t>
      </w:r>
    </w:p>
    <w:p>
      <w:pPr>
        <w:pStyle w:val="Normal"/>
        <w:bidi w:val="0"/>
        <w:jc w:val="left"/>
        <w:rPr/>
      </w:pPr>
      <w:commentRangeStart w:id="3"/>
      <w:r>
        <w:rPr/>
        <w:t>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escalabilidade; – e a necessidade de integrar dimensões interseccionais (como género e fatores socioculturais) na investigação e no desenvolvimento.</w:t>
      </w:r>
      <w:commentRangeEnd w:id="3"/>
      <w:r>
        <w:commentReference w:id="3"/>
      </w:r>
      <w:r>
        <w:rPr/>
      </w:r>
    </w:p>
    <w:p>
      <w:pPr>
        <w:pStyle w:val="Normal"/>
        <w:bidi w:val="0"/>
        <w:jc w:val="left"/>
        <w:rPr/>
      </w:pPr>
      <w:r>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Heading3"/>
        <w:bidi w:val="0"/>
        <w:jc w:val="left"/>
        <w:rPr/>
      </w:pPr>
      <w:r>
        <w:rPr/>
        <w:t>2.3 Fabricação Aditiva e parametrização no design de produto</w:t>
      </w:r>
    </w:p>
    <w:p>
      <w:pPr>
        <w:pStyle w:val="Normal"/>
        <w:bidi w:val="0"/>
        <w:jc w:val="left"/>
        <w:rPr/>
      </w:pPr>
      <w:r>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pPr>
      <w:r>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pPr>
      <w:r>
        <w:rPr/>
        <w:drawing>
          <wp:inline distT="0" distB="0" distL="0" distR="0">
            <wp:extent cx="5715000" cy="3924300"/>
            <wp:effectExtent l="0" t="0" r="0" b="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a:picLocks noChangeAspect="1" noChangeArrowheads="1"/>
                    </pic:cNvPicPr>
                  </pic:nvPicPr>
                  <pic:blipFill>
                    <a:blip r:embed="rId7"/>
                    <a:stretch>
                      <a:fillRect/>
                    </a:stretch>
                  </pic:blipFill>
                  <pic:spPr bwMode="auto">
                    <a:xfrm>
                      <a:off x="0" y="0"/>
                      <a:ext cx="5715000" cy="3924300"/>
                    </a:xfrm>
                    <a:prstGeom prst="rect">
                      <a:avLst/>
                    </a:prstGeom>
                    <a:noFill/>
                  </pic:spPr>
                </pic:pic>
              </a:graphicData>
            </a:graphic>
          </wp:inline>
        </w:drawing>
      </w:r>
    </w:p>
    <w:p>
      <w:pPr>
        <w:pStyle w:val="Normal"/>
        <w:bidi w:val="0"/>
        <w:jc w:val="left"/>
        <w:rPr/>
      </w:pPr>
      <w:r>
        <w:rPr/>
        <w:t>Figura 2.3 — Fluxo digital entre aquisição, CAD/CAM e fabricação aditiva em próteses e ortóteses.</w:t>
      </w:r>
    </w:p>
    <w:p>
      <w:pPr>
        <w:pStyle w:val="Normal"/>
        <w:bidi w:val="0"/>
        <w:jc w:val="left"/>
        <w:rPr/>
      </w:pPr>
      <w:r>
        <w:rP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pPr>
      <w:r>
        <w:rPr/>
        <w:t>Neste enquadramento, a personalização deixa de ser entendida como exceção e passa a constituir uma estratégia estruturada, operacionalizada por meio de “seed designs”[^7]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Heading3"/>
        <w:bidi w:val="0"/>
        <w:jc w:val="left"/>
        <w:rPr/>
      </w:pPr>
      <w:r>
        <w:rPr/>
        <w:t>Modelação Paramétrica e Espaços de Variação</w:t>
      </w:r>
    </w:p>
    <w:p>
      <w:pPr>
        <w:pStyle w:val="Normal"/>
        <w:bidi w:val="0"/>
        <w:jc w:val="left"/>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pPr>
      <w:commentRangeStart w:id="4"/>
      <w:r>
        <w:rPr/>
        <w:t>No contexto da adaptação ao utilizador, a literatura destaca que a parametrização torna-se particularmente eficaz quando associada a dados mensuráveis, como a antropometria ou as digitalizações tridimensionais. Em vez de um escalonamento uniforme, que pode introduzir desvios significativos, a definição de parâmetros independentes (por exemplo, comprimento e largura) permite ajustes mais precisos e controlo dimensional dentro de margens reduzidas. Em aplicações protésicas, esta abordagem revelou maior proximidade às cinemáticas naturais e melhor adequação morfológica face a modelos simplesmente [^8]escalados (Lim et al., 2018 (#ref-lim-2018)).</w:t>
      </w:r>
      <w:commentRangeEnd w:id="4"/>
      <w:r>
        <w:commentReference w:id="4"/>
      </w:r>
      <w:r>
        <w:rPr/>
      </w:r>
    </w:p>
    <w:p>
      <w:pPr>
        <w:pStyle w:val="Heading3"/>
        <w:bidi w:val="0"/>
        <w:jc w:val="left"/>
        <w:rPr/>
      </w:pPr>
      <w:r>
        <w:rPr/>
        <w:t>Integração com Fabricação Aditiva e Design for Additive Manufacturing</w:t>
      </w:r>
    </w:p>
    <w:p>
      <w:pPr>
        <w:pStyle w:val="Normal"/>
        <w:bidi w:val="0"/>
        <w:jc w:val="left"/>
        <w:rPr/>
      </w:pPr>
      <w:r>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pPr>
      <w:r>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pPr>
      <w:r>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pPr>
      <w:commentRangeStart w:id="5"/>
      <w:commentRangeStart w:id="6"/>
      <w:r>
        <w:rPr/>
        <w:t>As tecnologias de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r>
        <w:rPr/>
      </w:r>
      <w:commentRangeEnd w:id="6"/>
      <w:r>
        <w:commentReference w:id="6"/>
      </w:r>
      <w:commentRangeEnd w:id="5"/>
      <w:r>
        <w:commentReference w:id="5"/>
      </w:r>
      <w:r>
        <w:rPr/>
      </w:r>
    </w:p>
    <w:p>
      <w:pPr>
        <w:pStyle w:val="Heading3"/>
        <w:bidi w:val="0"/>
        <w:jc w:val="left"/>
        <w:rPr/>
      </w:pPr>
      <w:r>
        <w:rPr/>
        <w:t>Configuradores e Cocriação Digital</w:t>
      </w:r>
    </w:p>
    <w:p>
      <w:pPr>
        <w:pStyle w:val="Normal"/>
        <w:bidi w:val="0"/>
        <w:jc w:val="left"/>
        <w:rPr/>
      </w:pPr>
      <w:r>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pPr>
      <w:r>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pPr>
      <w:r>
        <w:rPr/>
        <w:drawing>
          <wp:inline distT="0" distB="0" distL="0" distR="0">
            <wp:extent cx="5715000" cy="3019425"/>
            <wp:effectExtent l="0" t="0" r="0" b="0"/>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a:picLocks noChangeAspect="1" noChangeArrowheads="1"/>
                    </pic:cNvPicPr>
                  </pic:nvPicPr>
                  <pic:blipFill>
                    <a:blip r:embed="rId8"/>
                    <a:stretch>
                      <a:fillRect/>
                    </a:stretch>
                  </pic:blipFill>
                  <pic:spPr bwMode="auto">
                    <a:xfrm>
                      <a:off x="0" y="0"/>
                      <a:ext cx="5715000" cy="3019425"/>
                    </a:xfrm>
                    <a:prstGeom prst="rect">
                      <a:avLst/>
                    </a:prstGeom>
                    <a:noFill/>
                  </pic:spPr>
                </pic:pic>
              </a:graphicData>
            </a:graphic>
          </wp:inline>
        </w:drawing>
      </w:r>
    </w:p>
    <w:p>
      <w:pPr>
        <w:pStyle w:val="Normal"/>
        <w:bidi w:val="0"/>
        <w:jc w:val="left"/>
        <w:rPr/>
      </w:pPr>
      <w:r>
        <w:rPr/>
        <w:t>Figura 2.4 — Exemplo de configurador digital para personalização de uma prótese impressa em 3D.</w:t>
      </w:r>
    </w:p>
    <w:p>
      <w:pPr>
        <w:pStyle w:val="Normal"/>
        <w:bidi w:val="0"/>
        <w:jc w:val="left"/>
        <w:rPr/>
      </w:pPr>
      <w:r>
        <w:rPr/>
        <w:t>Fonte original (APA 7):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pPr>
      <w:commentRangeStart w:id="7"/>
      <w:r>
        <w:rPr/>
        <w:t xml:space="preserve">Este modelo “file-to-factory” viabiliza fluxos digitais em que o ficheiro parametrizado é convertido diretamente em instruções de fabrico, seja localmente (impressão 3D descentralizada) ou através de uma encomenda online[^11]. A literatura associa esta lógica à democratização do design e à expansão de estratégias de </w:t>
      </w:r>
      <w:r>
        <w:rPr>
          <w:i/>
        </w:rPr>
        <w:t>mass customization</w:t>
      </w:r>
      <w:r>
        <w:rPr/>
        <w:t xml:space="preserve"> e </w:t>
      </w:r>
      <w:r>
        <w:rPr>
          <w:i/>
        </w:rPr>
        <w:t>mass personalization</w:t>
      </w:r>
      <w:r>
        <w:rPr/>
        <w:t>, reduzindo custos marginais ao eliminar a utilização de moldes e dispositivos específicos de [^12]fabrico (Lei et al., 2016 (#ref-lei-2016); Stralen, 2018 (#ref-stralen-2018)).</w:t>
      </w:r>
      <w:commentRangeEnd w:id="7"/>
      <w:r>
        <w:commentReference w:id="7"/>
      </w:r>
      <w:r>
        <w:rPr/>
      </w:r>
    </w:p>
    <w:p>
      <w:pPr>
        <w:pStyle w:val="Normal"/>
        <w:bidi w:val="0"/>
        <w:jc w:val="left"/>
        <w:rPr/>
      </w:pPr>
      <w:r>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pPr>
      <w:r>
        <w:rPr/>
        <w:t>Otimização, Geração e Avaliação de Desempenho</w:t>
      </w:r>
    </w:p>
    <w:p>
      <w:pPr>
        <w:pStyle w:val="Normal"/>
        <w:bidi w:val="0"/>
        <w:jc w:val="left"/>
        <w:rPr/>
      </w:pPr>
      <w:commentRangeStart w:id="8"/>
      <w:r>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 para selecionar soluções alinhadas com objetivos específicos (Lei et al., 2016 (#ref-lei-2016); Yao et al., 2016 (#ref-yao-2016)).</w:t>
      </w:r>
      <w:commentRangeEnd w:id="8"/>
      <w:r>
        <w:commentReference w:id="8"/>
      </w:r>
      <w:r>
        <w:rPr/>
      </w:r>
    </w:p>
    <w:p>
      <w:pPr>
        <w:pStyle w:val="Normal"/>
        <w:bidi w:val="0"/>
        <w:jc w:val="left"/>
        <w:rPr/>
      </w:pPr>
      <w:r>
        <w:rPr/>
        <w:t>Em contextos médicos e assistivos, estudos demonstram a integração de modelos paramétricos com análises de elementos finitos (FEM) para validar o desempenho estrutural, bem como de algoritmos generativos que adaptam padrões e estruturas superficiais a geometrias individualizadas (Lei et al., 2016 (#ref-lei-2016); Lim et al., 2018 (#ref-lim-2018)).</w:t>
      </w:r>
    </w:p>
    <w:p>
      <w:pPr>
        <w:pStyle w:val="Normal"/>
        <w:bidi w:val="0"/>
        <w:jc w:val="left"/>
        <w:rPr/>
      </w:pPr>
      <w:r>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pPr>
      <w:r>
        <w:rPr/>
        <w:t>Implicações para o Design Industrial</w:t>
      </w:r>
    </w:p>
    <w:p>
      <w:pPr>
        <w:pStyle w:val="Normal"/>
        <w:bidi w:val="0"/>
        <w:jc w:val="left"/>
        <w:rPr/>
      </w:pPr>
      <w:r>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pPr>
      <w:r>
        <w:rPr/>
        <w:t>Assim, a qualidade da definição paramétrica desempenha um papel estratégico para a viabilidade de sistemas adaptáveis (Ozdemir et al., 2022 (#ref-ozdemir-2022)).</w:t>
      </w:r>
    </w:p>
    <w:p>
      <w:pPr>
        <w:pStyle w:val="Normal"/>
        <w:bidi w:val="0"/>
        <w:jc w:val="left"/>
        <w:rPr/>
      </w:pPr>
      <w:r>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pPr>
      <w:r>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pPr>
      <w:r>
        <w:rPr/>
        <w:t>2.4 Antropometria aplicada ao design protésico</w:t>
      </w:r>
    </w:p>
    <w:p>
      <w:pPr>
        <w:pStyle w:val="Normal"/>
        <w:bidi w:val="0"/>
        <w:jc w:val="left"/>
        <w:rPr/>
      </w:pPr>
      <w:commentRangeStart w:id="9"/>
      <w:commentRangeStart w:id="10"/>
      <w:r>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r>
        <w:rPr/>
      </w:r>
      <w:commentRangeEnd w:id="10"/>
      <w:r>
        <w:commentReference w:id="10"/>
      </w:r>
      <w:commentRangeEnd w:id="9"/>
      <w:r>
        <w:commentReference w:id="9"/>
      </w:r>
      <w:r>
        <w:rPr/>
      </w:r>
    </w:p>
    <w:p>
      <w:pPr>
        <w:pStyle w:val="Heading3"/>
        <w:bidi w:val="0"/>
        <w:jc w:val="left"/>
        <w:rPr/>
      </w:pPr>
      <w:r>
        <w:rPr/>
        <w:t>Da dimensão linear à “forma” como dado de projeto</w:t>
      </w:r>
    </w:p>
    <w:p>
      <w:pPr>
        <w:pStyle w:val="Normal"/>
        <w:bidi w:val="0"/>
        <w:jc w:val="left"/>
        <w:rPr/>
      </w:pPr>
      <w:r>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pPr>
      <w:r>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pPr>
      <w:r>
        <w:rPr/>
        <w:drawing>
          <wp:inline distT="0" distB="0" distL="0" distR="0">
            <wp:extent cx="5715000" cy="4219575"/>
            <wp:effectExtent l="0" t="0" r="0" b="0"/>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a:picLocks noChangeAspect="1" noChangeArrowheads="1"/>
                    </pic:cNvPicPr>
                  </pic:nvPicPr>
                  <pic:blipFill>
                    <a:blip r:embed="rId9"/>
                    <a:stretch>
                      <a:fillRect/>
                    </a:stretch>
                  </pic:blipFill>
                  <pic:spPr bwMode="auto">
                    <a:xfrm>
                      <a:off x="0" y="0"/>
                      <a:ext cx="5715000" cy="4219575"/>
                    </a:xfrm>
                    <a:prstGeom prst="rect">
                      <a:avLst/>
                    </a:prstGeom>
                    <a:noFill/>
                  </pic:spPr>
                </pic:pic>
              </a:graphicData>
            </a:graphic>
          </wp:inline>
        </w:drawing>
      </w:r>
    </w:p>
    <w:p>
      <w:pPr>
        <w:pStyle w:val="Normal"/>
        <w:bidi w:val="0"/>
        <w:jc w:val="left"/>
        <w:rPr/>
      </w:pPr>
      <w:r>
        <w:rPr/>
        <w:t>Figura 2.5 — Marcos anatómicos e medidas de referência da mão para fins de personalização.</w:t>
      </w:r>
    </w:p>
    <w:p>
      <w:pPr>
        <w:pStyle w:val="Normal"/>
        <w:bidi w:val="0"/>
        <w:jc w:val="left"/>
        <w:rPr/>
      </w:pPr>
      <w:r>
        <w:rPr/>
        <w:t>Fonte original (APA 7): Yu, A., Yick, K. L., Ng, S. P., &amp; Yip, J. (2013). 2D and 3D anatomical analyses of hand dimensions for custom-made gloves. Applied Ergonomics, 44, 381-392.</w:t>
      </w:r>
    </w:p>
    <w:p>
      <w:pPr>
        <w:pStyle w:val="Heading3"/>
        <w:bidi w:val="0"/>
        <w:jc w:val="left"/>
        <w:rPr/>
      </w:pPr>
      <w:r>
        <w:rPr/>
        <w:t>Métodos de recolha antropométrica em próteses e tecnologias de apoio</w:t>
      </w:r>
    </w:p>
    <w:p>
      <w:pPr>
        <w:pStyle w:val="Normal"/>
        <w:bidi w:val="0"/>
        <w:jc w:val="left"/>
        <w:rPr/>
      </w:pPr>
      <w:r>
        <w:rPr/>
        <w:t>A literatura organiza os métodos de recolha em famílias, cada uma com potencialidades e limitações específicas para o design protésico:</w:t>
      </w:r>
    </w:p>
    <w:p>
      <w:pPr>
        <w:pStyle w:val="ListNumber"/>
        <w:bidi w:val="0"/>
        <w:ind w:hanging="360" w:left="720"/>
        <w:jc w:val="left"/>
        <w:rPr/>
      </w:pPr>
      <w:commentRangeStart w:id="11"/>
      <w:r>
        <w:rPr/>
        <w:t>1. A antropometria manual inclui medições em posturas normalizadas, com instrumentos clínicos e de ergonomia. Mantém relevância em contextos de acessibilidade clínica e de monitorização simples (por exemplo, circunferências para inferir variações do coto). Contudo, assinala-se que as medidas de circunferência podem ser um proxy frágil para alterações reais de volume, dependendo da geometria e da distribuição dos tecidos, o que limita a sua fiabilidade para decisões de ajuste fino (Ibrahim et al., 2024 (#ref-ibrahim-2024)).</w:t>
      </w:r>
      <w:commentRangeEnd w:id="11"/>
      <w:r>
        <w:commentReference w:id="11"/>
      </w:r>
      <w:r>
        <w:rPr/>
      </w:r>
    </w:p>
    <w:p>
      <w:pPr>
        <w:pStyle w:val="ListNumber"/>
        <w:bidi w:val="0"/>
        <w:ind w:hanging="360" w:left="720"/>
        <w:jc w:val="left"/>
        <w:rPr/>
      </w:pPr>
      <w:commentRangeStart w:id="12"/>
      <w:r>
        <w:rPr/>
        <w:t>2. Digitalização 3D (scanning óptico)capta a superfície corporal em nuvens de pontos ou malhas, que são posteriormente limpas e convertidas em modelos utilizáveis (frequentemente em STL) para CAD e fabrico. É descrita como facilitadora de fluxos de personalização e pode ser combinada com a automatização (por exemplo, correspondência de características anatómicas) para reduzir o trabalho manual. A consistência pode variar conforme a complexidade da forma, e desafios de repetibilidade são relatados quando a geometria é irregular, como em cotos complexos (Squibb et al., 2024 (#ref-squibb-2024)).</w:t>
      </w:r>
      <w:commentRangeEnd w:id="12"/>
      <w:r>
        <w:commentReference w:id="12"/>
      </w:r>
      <w:r>
        <w:rPr/>
      </w:r>
    </w:p>
    <w:p>
      <w:pPr>
        <w:pStyle w:val="ListNumber"/>
        <w:bidi w:val="0"/>
        <w:ind w:hanging="360" w:left="720"/>
        <w:jc w:val="left"/>
        <w:rPr/>
      </w:pPr>
      <w:commentRangeStart w:id="13"/>
      <w:r>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Em síntese, as ortóteses constituem uma das abordagens mais adequadas para a aquisição da geometria 3D do corpo em fluxos personalizados (Silva et al., 2024 (#ref-silva-2024)).</w:t>
      </w:r>
      <w:commentRangeEnd w:id="13"/>
      <w:r>
        <w:commentReference w:id="13"/>
      </w:r>
      <w:r>
        <w:rPr/>
      </w:r>
    </w:p>
    <w:p>
      <w:pPr>
        <w:pStyle w:val="ListNumber"/>
        <w:bidi w:val="0"/>
        <w:ind w:hanging="360" w:left="720"/>
        <w:jc w:val="left"/>
        <w:rPr/>
      </w:pPr>
      <w:commentRangeStart w:id="14"/>
      <w:commentRangeStart w:id="15"/>
      <w:r>
        <w:rPr/>
        <w:t>4. Imagens médicas (CT/MRI) permitem obter geometria externa e, em alguns casos, informação interna (por exemplo, estruturas ósseas), o que sustenta modelos mais ricos e abordagens como a modelação estatística de forma. Contudo, envolve maior custo e menor acessibilidade e, no caso do CT, implica considerações associadas à exposição à radiação e à dependência do contexto hospitalar.</w:t>
      </w:r>
      <w:r>
        <w:rPr/>
      </w:r>
      <w:commentRangeEnd w:id="15"/>
      <w:r>
        <w:commentReference w:id="15"/>
      </w:r>
      <w:commentRangeEnd w:id="14"/>
      <w:r>
        <w:commentReference w:id="14"/>
      </w:r>
      <w:r>
        <w:rPr/>
      </w:r>
    </w:p>
    <w:p>
      <w:pPr>
        <w:pStyle w:val="ListNumber"/>
        <w:bidi w:val="0"/>
        <w:ind w:hanging="360" w:left="720"/>
        <w:jc w:val="left"/>
        <w:rPr/>
      </w:pPr>
      <w:commentRangeStart w:id="16"/>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“hot spots” térmicos e flutuações de volume do coto. Estes métodos ajudam a ligar decisões de forma/retificação a desfechos de conforto e segurança, embora, em muitos casos, sejam descritos como ainda experimentais e com barreiras à adoção clínica (Ibrahim et al., 2024 (#ref-ibrahim-2024); Young et al., 2023 (#ref-young-2023)).</w:t>
      </w:r>
      <w:commentRangeEnd w:id="16"/>
      <w:r>
        <w:commentReference w:id="16"/>
      </w:r>
      <w:r>
        <w:rPr/>
      </w:r>
    </w:p>
    <w:p>
      <w:pPr>
        <w:pStyle w:val="Heading3"/>
        <w:bidi w:val="0"/>
        <w:jc w:val="left"/>
        <w:rPr/>
      </w:pPr>
      <w:r>
        <w:rPr/>
        <w:t>Interpretação e aplicação de dados antropométricos no projeto</w:t>
      </w:r>
    </w:p>
    <w:p>
      <w:pPr>
        <w:pStyle w:val="Normal"/>
        <w:bidi w:val="0"/>
        <w:jc w:val="left"/>
        <w:rPr/>
      </w:pPr>
      <w:r>
        <w:rPr/>
        <w:t>A passagem de dados antropométricos para critérios de projeto ocorre por diferentes vias analíticas:</w:t>
      </w:r>
    </w:p>
    <w:p>
      <w:pPr>
        <w:pStyle w:val="Normal"/>
        <w:bidi w:val="0"/>
        <w:jc w:val="left"/>
        <w:rPr/>
      </w:pPr>
      <w:commentRangeStart w:id="17"/>
      <w:commentRangeStart w:id="18"/>
      <w:r>
        <w:rPr/>
        <w:t xml:space="preserve">– </w:t>
      </w:r>
      <w:r>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 – Métodos multivariados e aprendizagem estatística: usados quando se trabalha com dados de alta dimensionalidade (malhas, secções, nuvens de pontos), permitindo extrair padrões de retificação ou modos de variação. – Modelos preditivos e modelação estatística de forma (SSM): aplicados para reconstruir a geometria a partir de medições reduzidas e inferir relações entre a superfície e a anatomia interna, com PCA e regressões como ferramentas frequentes, embora limitados por tamanhos amostrais reduzidos em vários estudos (Sunderland et al., 2024 (#ref-sunderland-2024)).</w:t>
      </w:r>
      <w:r>
        <w:rPr/>
      </w:r>
      <w:commentRangeEnd w:id="17"/>
      <w:r>
        <w:commentReference w:id="17"/>
      </w:r>
      <w:commentRangeEnd w:id="18"/>
      <w:r>
        <w:commentReference w:id="18"/>
      </w:r>
      <w:r>
        <w:rPr/>
      </w:r>
    </w:p>
    <w:p>
      <w:pPr>
        <w:pStyle w:val="Normal"/>
        <w:bidi w:val="0"/>
        <w:jc w:val="left"/>
        <w:rPr/>
      </w:pPr>
      <w:r>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coto como etapa decisiva para a qualidade do encaixe (Kannenberg et al., 2024 (#ref-kannenberg-2024); Young et al., 2023 (#ref-young-2023)).</w:t>
      </w:r>
    </w:p>
    <w:p>
      <w:pPr>
        <w:pStyle w:val="Heading3"/>
        <w:bidi w:val="0"/>
        <w:jc w:val="left"/>
        <w:rPr/>
      </w:pPr>
      <w:r>
        <w:rPr/>
        <w:t>Evidência por tipo de dispositivo</w:t>
      </w:r>
    </w:p>
    <w:p>
      <w:pPr>
        <w:pStyle w:val="Normal"/>
        <w:bidi w:val="0"/>
        <w:jc w:val="left"/>
        <w:rPr/>
      </w:pPr>
      <w:r>
        <w:rPr/>
        <w:t>Embora os princípios sejam transversais, a literatura evidencia diferenças por tipo de dispositivo:</w:t>
      </w:r>
    </w:p>
    <w:p>
      <w:pPr>
        <w:pStyle w:val="Normal"/>
        <w:bidi w:val="0"/>
        <w:jc w:val="left"/>
        <w:rPr/>
      </w:pPr>
      <w:r>
        <w:rPr/>
        <w:t xml:space="preserve">– </w:t>
      </w:r>
      <w:r>
        <w:rPr/>
        <w:t>Encaixes protésicos e ortóteses: forte ênfase na digitalização 3D, na análise quantitativa de malhas e na validação por meio de métricas de interface e/ou de simulação (FEA). Em workflows digitais de fabrico, verificam-se diferenças geométricas relevantes entre soluções manuais e digitais, reforçando que “digitalizar” não se limita a mudar de formato, mas também a alterar o resultado do ajuste final (Kannenberg et al., 2024 (#ref-kannenberg-2024); Silva et al., 2024 (#ref-silva-2024)). – Próteses de membro superior: coexistência de CT, scanners comerciais e fotogrametria como métodos de captura; estudos comparativos indicam que medições obtidas por 3D scanning podem ser fiáveis e repetíveis face a métodos tradicionais quando bem implementadas. Há também destaque para pipelines automatizados que adaptam modelos CAD inteligentes a dados de digitalização, encurtando o intervalo entre a captura e a obtenção de um modelo pronto para fabricação (Chainando et al., 2025 (#ref-chainando-2025); Çıklaçandır et al., 2022 (#ref-cklacandr-2022)). –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pPr>
      <w:r>
        <w:rPr/>
        <w:t>Limitações, lacunas e recomendações</w:t>
      </w:r>
    </w:p>
    <w:p>
      <w:pPr>
        <w:pStyle w:val="Normal"/>
        <w:bidi w:val="0"/>
        <w:jc w:val="left"/>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pPr>
      <w:r>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pPr>
      <w:r>
        <w:rPr/>
        <w:t>Como orientação prática, emergem recomendações claras: selecionar o método de medição em função da questão de design (captura de forma, monitorização de volume, validação de interface), garantir a repetibilidade através de posturas e de uma marcação consistente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pPr>
      <w:r>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pPr>
      <w:r>
        <w:rPr/>
        <w:t>Estruturação de dados</w:t>
      </w:r>
    </w:p>
    <w:p>
      <w:pPr>
        <w:pStyle w:val="Normal"/>
        <w:bidi w:val="0"/>
        <w:jc w:val="left"/>
        <w:rPr/>
      </w:pPr>
      <w:r>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pPr>
      <w:r>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pPr>
      <w:r>
        <w:rPr/>
        <w:t>2.5 Inteligência Artificial no processo de design</w:t>
      </w:r>
    </w:p>
    <w:p>
      <w:pPr>
        <w:pStyle w:val="Normal"/>
        <w:bidi w:val="0"/>
        <w:jc w:val="left"/>
        <w:rPr/>
      </w:pPr>
      <w:r>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pPr>
      <w:r>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pPr>
      <w:r>
        <w:rPr/>
        <w:drawing>
          <wp:inline distT="0" distB="0" distL="0" distR="0">
            <wp:extent cx="5715000" cy="2638425"/>
            <wp:effectExtent l="0" t="0" r="0" b="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a:picLocks noChangeAspect="1" noChangeArrowheads="1"/>
                    </pic:cNvPicPr>
                  </pic:nvPicPr>
                  <pic:blipFill>
                    <a:blip r:embed="rId10"/>
                    <a:stretch>
                      <a:fillRect/>
                    </a:stretch>
                  </pic:blipFill>
                  <pic:spPr bwMode="auto">
                    <a:xfrm>
                      <a:off x="0" y="0"/>
                      <a:ext cx="5715000" cy="2638425"/>
                    </a:xfrm>
                    <a:prstGeom prst="rect">
                      <a:avLst/>
                    </a:prstGeom>
                    <a:noFill/>
                  </pic:spPr>
                </pic:pic>
              </a:graphicData>
            </a:graphic>
          </wp:inline>
        </w:drawing>
      </w:r>
    </w:p>
    <w:p>
      <w:pPr>
        <w:pStyle w:val="Normal"/>
        <w:bidi w:val="0"/>
        <w:jc w:val="left"/>
        <w:rPr/>
      </w:pPr>
      <w:r>
        <w:rPr/>
        <w:t>Figura 2.6 — Enquadramento de um fluxo de CAD assistido por IA para desenvolvimento de produto.</w:t>
      </w:r>
    </w:p>
    <w:p>
      <w:pPr>
        <w:pStyle w:val="Normal"/>
        <w:bidi w:val="0"/>
        <w:jc w:val="left"/>
        <w:rPr/>
      </w:pPr>
      <w:r>
        <w:rPr/>
        <w:t>Fonte original (APA 7):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bidi w:val="0"/>
        <w:jc w:val="left"/>
        <w:rPr/>
      </w:pPr>
      <w:r>
        <w:rPr/>
        <w:t>O que é a Inteligência Artificial</w:t>
      </w:r>
    </w:p>
    <w:p>
      <w:pPr>
        <w:pStyle w:val="Normal"/>
        <w:bidi w:val="0"/>
        <w:jc w:val="left"/>
        <w:rPr/>
      </w:pPr>
      <w:r>
        <w:rPr/>
        <w:t>De forma ampla, a IA pode ser entendida como um conjunto de métodos computacionais orientados a executar tarefas que requerem aprendizagem, reconhecimento de padrões, inferência ou geração de respostas com base em dados. Esta definição é útil porque evita tratar a IA como uma entidade única ou um sinônimo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pPr>
      <w:commentRangeStart w:id="19"/>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commentRangeEnd w:id="19"/>
      <w:r>
        <w:commentReference w:id="19"/>
      </w:r>
      <w:r>
        <w:rPr/>
      </w:r>
    </w:p>
    <w:p>
      <w:pPr>
        <w:pStyle w:val="Heading3"/>
        <w:bidi w:val="0"/>
        <w:jc w:val="left"/>
        <w:rPr/>
      </w:pPr>
      <w:r>
        <w:rPr/>
        <w:t>Como funciona: dados, treino, inferência e geração</w:t>
      </w:r>
    </w:p>
    <w:p>
      <w:pPr>
        <w:pStyle w:val="Normal"/>
        <w:bidi w:val="0"/>
        <w:jc w:val="left"/>
        <w:rPr/>
      </w:pPr>
      <w:r>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pPr>
      <w:r>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pStyle w:val="Normal"/>
        <w:bidi w:val="0"/>
        <w:jc w:val="left"/>
        <w:rPr/>
      </w:pPr>
      <w:commentRangeStart w:id="20"/>
      <w:r>
        <w:rP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commentRangeEnd w:id="20"/>
      <w:r>
        <w:commentReference w:id="20"/>
      </w:r>
      <w:r>
        <w:rPr/>
      </w:r>
    </w:p>
    <w:p>
      <w:pPr>
        <w:pStyle w:val="Heading3"/>
        <w:bidi w:val="0"/>
        <w:jc w:val="left"/>
        <w:rPr/>
      </w:pPr>
      <w:r>
        <w:rPr/>
        <w:t>Formas de IA mais relevantes para o design</w:t>
      </w:r>
    </w:p>
    <w:p>
      <w:pPr>
        <w:pStyle w:val="Normal"/>
        <w:bidi w:val="0"/>
        <w:jc w:val="left"/>
        <w:rPr/>
      </w:pPr>
      <w:r>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pPr>
      <w:r>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pPr>
      <w:r>
        <w:rPr/>
        <w:t>IA ao longo do processo de design</w:t>
      </w:r>
    </w:p>
    <w:p>
      <w:pPr>
        <w:pStyle w:val="Normal"/>
        <w:bidi w:val="0"/>
        <w:jc w:val="left"/>
        <w:rPr/>
      </w:pPr>
      <w:r>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pPr>
      <w:commentRangeStart w:id="21"/>
      <w:r>
        <w:rPr/>
        <w:t>Isto não significa, porém, que a IA seja igualmente eficaz em todas as etapas. A literatura sugere que seu valor tende a ser maior em tarefas de exploração divergente, análise extensiva e automatização parcial, enquanto as etapas de convergência, enquadramento contextual, decisão ética e validação final continuam a depender fortemente do julgamento humano. A IA pode ampliar o que é possível explorar e tornar mais rápida a comparação entre alternativas, mas não elimina a necessidade de decidir o que faz sentido desenvolver, para quem, em que contexto e com que consequências (Ao et al., 2025 (#ref-ao-2025); Choudhury et al., 2025 (#ref-choudhury-2025); Virós-i-Martin &amp; Selva, 2021 (#ref-viros-i-martin-2021)).</w:t>
      </w:r>
      <w:commentRangeEnd w:id="21"/>
      <w:r>
        <w:commentReference w:id="21"/>
      </w:r>
      <w:r>
        <w:rPr/>
      </w:r>
    </w:p>
    <w:p>
      <w:pPr>
        <w:pStyle w:val="Heading3"/>
        <w:bidi w:val="0"/>
        <w:jc w:val="left"/>
        <w:rPr/>
      </w:pPr>
      <w:r>
        <w:rPr/>
        <w:t>Papel do designer, riscos e necessidade de supervisão humana</w:t>
      </w:r>
    </w:p>
    <w:p>
      <w:pPr>
        <w:pStyle w:val="Normal"/>
        <w:bidi w:val="0"/>
        <w:jc w:val="left"/>
        <w:rPr/>
      </w:pPr>
      <w:commentRangeStart w:id="22"/>
      <w:r>
        <w:rPr/>
        <w:t>Neste quadro, a questão central deixa de ser se a IA substitui o designer e passa a ser como ela redistribui a agência no processo de projeto. A literatura descreve uma deslocação do designer, enquanto gerador exclusivo de forma, para um papel mais híbrido de orientador, curador, intérprete e decisor estratégico. Em vez de desaparecer, o papel humano torna-se mais exigente em tarefas como a formulação do problema, a definição de critérios, a leitura contextual, a seleção entre alternativas e a justificação das decisões. Esta transformação é particularmente relevante em domínios sensíveis, onde a adequação ao utilizador, a responsabilidade técnica e a aceitabilidade ética não podem ser delegadas a um sistema treinado apenas com dados passados (Figoli et al., 2022 (#ref-figoli-2022); Kadenhe et al., 2025 (#ref-kadenhe-2025); Virós-i-Martin &amp; Selva, 2021 (#ref-viros-i-martin-2021)).</w:t>
      </w:r>
      <w:commentRangeEnd w:id="22"/>
      <w:r>
        <w:commentReference w:id="22"/>
      </w:r>
      <w:r>
        <w:rPr/>
      </w:r>
    </w:p>
    <w:p>
      <w:pPr>
        <w:pStyle w:val="Normal"/>
        <w:bidi w:val="0"/>
        <w:jc w:val="left"/>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pPr>
      <w:r>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pPr>
      <w:r>
        <w:rPr/>
      </w:r>
    </w:p>
    <w:p>
      <w:pPr>
        <w:pStyle w:val="Heading3"/>
        <w:bidi w:val="0"/>
        <w:jc w:val="left"/>
        <w:rPr/>
      </w:pPr>
      <w:r>
        <w:rPr/>
        <w:t>2.6 Plataformas digitais e sistemas configuráveis</w:t>
      </w:r>
    </w:p>
    <w:p>
      <w:pPr>
        <w:pStyle w:val="Normal"/>
        <w:bidi w:val="0"/>
        <w:jc w:val="left"/>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pPr>
      <w:r>
        <w:rPr/>
        <w:t>Em domínios como a reabilitação e as tecnologias de assistência,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bidi w:val="0"/>
        <w:jc w:val="left"/>
        <w:rPr/>
      </w:pPr>
      <w:r>
        <w:rPr/>
      </w:r>
    </w:p>
    <w:p>
      <w:pPr>
        <w:pStyle w:val="Heading3"/>
        <w:bidi w:val="0"/>
        <w:jc w:val="left"/>
        <w:rPr/>
      </w:pPr>
      <w:r>
        <w:rPr/>
        <w:t>Fundamentos conceptuais: toolkits, meta-design e end-user development.</w:t>
      </w:r>
    </w:p>
    <w:p>
      <w:pPr>
        <w:pStyle w:val="Normal"/>
        <w:bidi w:val="0"/>
        <w:jc w:val="left"/>
        <w:rPr>
          <w:highlight w:val="none"/>
          <w:shd w:fill="FFFF00" w:val="clear"/>
        </w:rPr>
      </w:pPr>
      <w:r>
        <w:rPr>
          <w:shd w:fill="FFFF00" w:val="clear"/>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pStyle w:val="Normal"/>
        <w:bidi w:val="0"/>
        <w:jc w:val="left"/>
        <w:rPr/>
      </w:pPr>
      <w:commentRangeStart w:id="23"/>
      <w:r>
        <w:rPr>
          <w:shd w:fill="FFFF00" w:val="clear"/>
        </w:rPr>
        <w:t>O meta-design aprofunda esta lógica ao defender a participação “em uso”,</w:t>
      </w:r>
      <w:r>
        <w:rPr>
          <w:shd w:fill="FFFF00" w:val="clear"/>
        </w:rPr>
      </w:r>
      <w:commentRangeEnd w:id="23"/>
      <w:r>
        <w:commentReference w:id="23"/>
      </w:r>
      <w:r>
        <w:rPr>
          <w:shd w:fill="FFFF00" w:val="clear"/>
        </w:rPr>
        <w:t xml:space="preserve"> estabelecendo condições técnicas e sociais para que os utilizadores se tornem co-designers e o sistema evolua ao longo do tempo. </w:t>
      </w:r>
      <w:commentRangeStart w:id="24"/>
      <w:r>
        <w:rPr>
          <w:shd w:fill="FFFF00" w:val="clear"/>
        </w:rPr>
        <w:t>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w:t>
      </w:r>
      <w:r>
        <w:rPr>
          <w:shd w:fill="FFFF00" w:val="clear"/>
        </w:rPr>
      </w:r>
      <w:commentRangeEnd w:id="24"/>
      <w:r>
        <w:commentReference w:id="24"/>
      </w:r>
      <w:r>
        <w:rPr/>
        <w:t xml:space="preserve"> (Costabile et al., 2007 (#ref-costabile-2007); Fischer et al., 2004 (#ref-fischer-2004)).</w:t>
      </w:r>
    </w:p>
    <w:p>
      <w:pPr>
        <w:pStyle w:val="Normal"/>
        <w:bidi w:val="0"/>
        <w:jc w:val="left"/>
        <w:rPr/>
      </w:pPr>
      <w:r>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pPr>
      <w:r>
        <w:rPr/>
        <w:drawing>
          <wp:inline distT="0" distB="0" distL="0" distR="0">
            <wp:extent cx="5715000" cy="2990850"/>
            <wp:effectExtent l="0" t="0" r="0" b="0"/>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a:picLocks noChangeAspect="1" noChangeArrowheads="1"/>
                    </pic:cNvPicPr>
                  </pic:nvPicPr>
                  <pic:blipFill>
                    <a:blip r:embed="rId11"/>
                    <a:stretch>
                      <a:fillRect/>
                    </a:stretch>
                  </pic:blipFill>
                  <pic:spPr bwMode="auto">
                    <a:xfrm>
                      <a:off x="0" y="0"/>
                      <a:ext cx="5715000" cy="2990850"/>
                    </a:xfrm>
                    <a:prstGeom prst="rect">
                      <a:avLst/>
                    </a:prstGeom>
                    <a:noFill/>
                  </pic:spPr>
                </pic:pic>
              </a:graphicData>
            </a:graphic>
          </wp:inline>
        </w:drawing>
      </w:r>
    </w:p>
    <w:p>
      <w:pPr>
        <w:pStyle w:val="Normal"/>
        <w:bidi w:val="0"/>
        <w:jc w:val="left"/>
        <w:rPr/>
      </w:pPr>
      <w:r>
        <w:rPr/>
        <w:t>Figura 2.7 — Modelo de processo para configurar participação em ecossistemas de inovação e cocriação.</w:t>
      </w:r>
    </w:p>
    <w:p>
      <w:pPr>
        <w:pStyle w:val="Normal"/>
        <w:bidi w:val="0"/>
        <w:jc w:val="left"/>
        <w:rPr/>
      </w:pPr>
      <w:r>
        <w:rPr/>
        <w:t>Fonte original (APA 7): Akasaka, M., Veeckman, C., Georges, A., Schuurman, D., &amp; Coorevits, L. (2022). A framework for configuring participation in living labs. https://www.semanticscholar.org/paper/305d55af5fda06b4d1b33e7d29c1f16d1b7ea488</w:t>
      </w:r>
    </w:p>
    <w:p>
      <w:pPr>
        <w:pStyle w:val="Normal"/>
        <w:bidi w:val="0"/>
        <w:jc w:val="left"/>
        <w:rPr/>
      </w:pPr>
      <w:r>
        <w:rPr/>
        <w:t xml:space="preserve">A literatura identifica, contudo, riscos como a </w:t>
      </w:r>
      <w:commentRangeStart w:id="25"/>
      <w:r>
        <w:rPr>
          <w:shd w:fill="FFFF00" w:val="clear"/>
        </w:rPr>
        <w:t>participation overload</w:t>
      </w:r>
      <w:r>
        <w:rPr>
          <w:shd w:fill="FFFF00" w:val="clear"/>
        </w:rPr>
      </w:r>
      <w:commentRangeEnd w:id="25"/>
      <w:r>
        <w:commentReference w:id="25"/>
      </w:r>
      <w:r>
        <w:rPr/>
        <w:t>, isto é, a transferência excessiva de carga de trabalho e de decisão para os utilizadores, o que requer mecanismos de apoio, curadoria e reutilização para tornar a participação sustentável (Fischer et al., 2017 (#ref-fischer-2017)).</w:t>
      </w:r>
    </w:p>
    <w:p>
      <w:pPr>
        <w:pStyle w:val="Normal"/>
        <w:bidi w:val="0"/>
        <w:jc w:val="left"/>
        <w:rPr/>
      </w:pPr>
      <w:r>
        <w:rPr/>
        <w:t xml:space="preserve">Em paralelo, o conceito de </w:t>
      </w:r>
      <w:commentRangeStart w:id="26"/>
      <w:r>
        <w:rPr>
          <w:shd w:fill="FFFF00" w:val="clear"/>
        </w:rPr>
        <w:t>Software Shaping Workshop</w:t>
      </w:r>
      <w:r>
        <w:rPr>
          <w:shd w:fill="FFFF00" w:val="clear"/>
        </w:rPr>
      </w:r>
      <w:commentRangeEnd w:id="26"/>
      <w:r>
        <w:commentReference w:id="26"/>
      </w:r>
      <w:r>
        <w:rPr/>
        <w:t xml:space="preserve"> operacionaliza o meta-design como um “workshop virtual” composto por ferramentas familiares adaptadas à cultura e às competências de uma comunidade. Em contextos de reabilitação e assistência, este paradigma manifesta-se em sistemas que fornecem a cuidadores e terapeutas interfaces do tipo editor, permitindo adaptar scripts, exercícios e conteúdos sem necessidade de programação, respondendo de forma pragmática às necessidades de personalização (Costabile et al., 2007 (#ref-costabile-2007); Fischer et al., 2017 (#ref-fischer-2017)).</w:t>
      </w:r>
    </w:p>
    <w:p>
      <w:pPr>
        <w:pStyle w:val="Normal"/>
        <w:bidi w:val="0"/>
        <w:jc w:val="left"/>
        <w:rPr/>
      </w:pPr>
      <w:r>
        <w:rPr/>
      </w:r>
    </w:p>
    <w:p>
      <w:pPr>
        <w:pStyle w:val="Normal"/>
        <w:bidi w:val="0"/>
        <w:jc w:val="left"/>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highlight w:val="none"/>
          <w:shd w:fill="FFFF00" w:val="clear"/>
        </w:rPr>
      </w:pPr>
      <w:commentRangeStart w:id="27"/>
      <w:r>
        <w:rPr>
          <w:shd w:fill="FFFF00" w:val="clear"/>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FFFF00" w:val="clear"/>
              </w:rPr>
            </w:pPr>
            <w:r>
              <w:rPr>
                <w:shd w:fill="FFFF00" w:val="clear"/>
              </w:rPr>
              <w:t>Que fatores promovem adesão e que barreiras dificultam continuidade</w:t>
            </w:r>
          </w:p>
        </w:tc>
      </w:tr>
    </w:tbl>
    <w:p>
      <w:pPr>
        <w:pStyle w:val="Normal"/>
        <w:bidi w:val="0"/>
        <w:jc w:val="left"/>
        <w:rPr>
          <w:highlight w:val="none"/>
          <w:shd w:fill="FFFF00" w:val="clear"/>
        </w:rPr>
      </w:pPr>
      <w:r>
        <w:rPr>
          <w:shd w:fill="FFFF00" w:val="clear"/>
        </w:rPr>
      </w:r>
    </w:p>
    <w:p>
      <w:pPr>
        <w:pStyle w:val="Normal"/>
        <w:bidi w:val="0"/>
        <w:jc w:val="left"/>
        <w:rPr/>
      </w:pPr>
      <w:r>
        <w:rPr>
          <w:shd w:fill="FFFF00" w:val="clear"/>
        </w:rPr>
        <w:t xml:space="preserve">Fonte adaptada. Referência original (APA 7): Akasaka, M., Veeckman, C., Georges, A., Schuurman, D., &amp; Coorevits, L. (2022). A framework for configuring participation in living labs. </w:t>
      </w:r>
      <w:hyperlink r:id="rId12">
        <w:r>
          <w:rPr>
            <w:rStyle w:val="Hyperlink"/>
            <w:shd w:fill="FFFF00" w:val="clear"/>
          </w:rPr>
          <w:t>https://www.semanticscholar.org/paper/305d55af5fda06b4d1b33e7d29c1f16d1b7ea488</w:t>
        </w:r>
        <w:commentRangeEnd w:id="27"/>
        <w:r>
          <w:commentReference w:id="27"/>
        </w:r>
        <w:r>
          <w:rPr>
            <w:rStyle w:val="Hyperlink"/>
            <w:shd w:fill="FFFF00" w:val="clear"/>
          </w:rPr>
        </w:r>
      </w:hyperlink>
    </w:p>
    <w:p>
      <w:pPr>
        <w:pStyle w:val="Normal"/>
        <w:bidi w:val="0"/>
        <w:jc w:val="left"/>
        <w:rPr/>
      </w:pPr>
      <w:r>
        <w:rPr/>
      </w:r>
    </w:p>
    <w:p>
      <w:pPr>
        <w:pStyle w:val="Heading3"/>
        <w:bidi w:val="0"/>
        <w:jc w:val="left"/>
        <w:rPr/>
      </w:pPr>
      <w:r>
        <w:rPr/>
        <w:t>Mecanismos de personalização: modularidade, parametrização e adaptação individualizada</w:t>
      </w:r>
    </w:p>
    <w:p>
      <w:pPr>
        <w:pStyle w:val="Normal"/>
        <w:bidi w:val="0"/>
        <w:jc w:val="left"/>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ListNumber"/>
        <w:bidi w:val="0"/>
        <w:ind w:hanging="360" w:left="720"/>
        <w:jc w:val="lef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escalabilidade em ecossistemas de produto (Dechev et al., 2023 (#ref-dechev-2023); Peters &amp; Richter, 2023 (#ref-peters-2023)).</w:t>
      </w:r>
    </w:p>
    <w:p>
      <w:pPr>
        <w:pStyle w:val="ListNumber"/>
        <w:bidi w:val="0"/>
        <w:ind w:hanging="360" w:left="720"/>
        <w:jc w:val="lef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ListNumber"/>
        <w:bidi w:val="0"/>
        <w:ind w:hanging="360" w:left="720"/>
        <w:jc w:val="lef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pPr>
      <w:r>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pPr>
      <w:r>
        <w:rPr/>
      </w:r>
    </w:p>
    <w:p>
      <w:pPr>
        <w:pStyle w:val="Heading3"/>
        <w:bidi w:val="0"/>
        <w:jc w:val="left"/>
        <w:rPr/>
      </w:pPr>
      <w:r>
        <w:rPr/>
        <w:t>Workflows participativos e infraestruturas remotas</w:t>
      </w:r>
    </w:p>
    <w:p>
      <w:pPr>
        <w:pStyle w:val="Normal"/>
        <w:bidi w:val="0"/>
        <w:jc w:val="left"/>
        <w:rPr/>
      </w:pPr>
      <w:r>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pPr>
      <w:r>
        <w:rPr/>
      </w:r>
    </w:p>
    <w:p>
      <w:pPr>
        <w:pStyle w:val="Heading3"/>
        <w:bidi w:val="0"/>
        <w:jc w:val="left"/>
        <w:rPr/>
      </w:pPr>
      <w:r>
        <w:rPr/>
        <w:t>Aplicações em saúde, reabilitação e próteses</w:t>
      </w:r>
    </w:p>
    <w:p>
      <w:pPr>
        <w:pStyle w:val="Normal"/>
        <w:bidi w:val="0"/>
        <w:jc w:val="left"/>
        <w:rPr/>
      </w:pPr>
      <w:r>
        <w:rPr/>
        <w:t>Em saúde, plataformas baseadas em</w:t>
      </w:r>
      <w:r>
        <w:rPr>
          <w:i/>
          <w:iCs/>
        </w:rPr>
        <w:t xml:space="preserve"> </w:t>
      </w:r>
      <w:commentRangeStart w:id="28"/>
      <w:r>
        <w:rPr>
          <w:i/>
          <w:iCs/>
        </w:rPr>
        <w:t>digital twins</w:t>
      </w:r>
      <w:r>
        <w:rPr>
          <w:i/>
          <w:iCs/>
        </w:rPr>
      </w:r>
      <w:commentRangeEnd w:id="28"/>
      <w:r>
        <w:commentReference w:id="28"/>
      </w:r>
      <w:r>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pPr>
      <w:r>
        <w:rP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pPr>
      <w:r>
        <w:rPr/>
        <w:t xml:space="preserve">No contexto protésico e assistivo, evidencia-se a relevância dos ecossistemas modulares e das cadeias de aprendizagem distribuída. Estudos sobre próteses pediátricas, serviços de reabilitação assistiva e </w:t>
      </w:r>
      <w:commentRangeStart w:id="29"/>
      <w:r>
        <w:rPr/>
        <w:t>modelos como o Victoria Hand Project</w:t>
      </w:r>
      <w:r>
        <w:rPr/>
      </w:r>
      <w:commentRangeEnd w:id="29"/>
      <w:r>
        <w:commentReference w:id="29"/>
      </w:r>
      <w:r>
        <w:rPr/>
        <w:t xml:space="preserve">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pPr>
      <w:r>
        <w:rPr/>
      </w:r>
    </w:p>
    <w:p>
      <w:pPr>
        <w:pStyle w:val="Heading3"/>
        <w:bidi w:val="0"/>
        <w:jc w:val="left"/>
        <w:rPr/>
      </w:pPr>
      <w:r>
        <w:rPr/>
        <w:t>Limitações e lacunas: sustentabilidade, adoção e equilíbrio entre normalização e improviso</w:t>
      </w:r>
    </w:p>
    <w:p>
      <w:pPr>
        <w:pStyle w:val="Heading3"/>
        <w:bidi w:val="0"/>
        <w:jc w:val="left"/>
        <w:rPr/>
      </w:pPr>
      <w:r>
        <w:rPr/>
      </w:r>
    </w:p>
    <w:p>
      <w:pPr>
        <w:pStyle w:val="BodyText"/>
        <w:bidi w:val="0"/>
        <w:spacing w:lineRule="auto" w:line="276" w:before="0" w:after="140"/>
        <w:jc w:val="left"/>
        <w:rPr/>
      </w:pPr>
      <w:r>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pPr>
      <w:r>
        <w:rPr/>
        <w:t>A segunda tensão situa-se entre normalização e personalização. Em domínios regulados, a adaptação individualizada deve preservar rastreabilidade, segurança e qualidade,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pPr>
      <w:r>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pPr>
      <w:r>
        <w:rPr/>
        <w:t>2.7 Análise crítica do estado da arte e lacunas identificadas</w:t>
      </w:r>
    </w:p>
    <w:p>
      <w:pPr>
        <w:pStyle w:val="Heading3"/>
        <w:bidi w:val="0"/>
        <w:jc w:val="left"/>
        <w:rPr/>
      </w:pPr>
      <w:r>
        <w:rPr/>
      </w:r>
    </w:p>
    <w:p>
      <w:pPr>
        <w:pStyle w:val="Normal"/>
        <w:bidi w:val="0"/>
        <w:jc w:val="left"/>
        <w:rPr/>
      </w:pPr>
      <w:r>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commentRangeStart w:id="30"/>
      <w:r>
        <w:rPr>
          <w:shd w:fill="FFFF00" w:val="clear"/>
        </w:rPr>
        <w:t>por nível de prontidão tecnológica, ou Technology Readiness Level (TRL),</w:t>
      </w:r>
      <w:r>
        <w:rPr>
          <w:shd w:fill="FFFF00" w:val="clear"/>
        </w:rPr>
      </w:r>
      <w:commentRangeEnd w:id="30"/>
      <w:r>
        <w:commentReference w:id="30"/>
      </w:r>
      <w:r>
        <w:rPr/>
        <w:t xml:space="preserve"> evidenciando que muitos contributos permanecem concentrados em fases ainda afastadas de uma adoção ampla e sustentada.</w:t>
      </w:r>
    </w:p>
    <w:p>
      <w:pPr>
        <w:pStyle w:val="Normal"/>
        <w:bidi w:val="0"/>
        <w:jc w:val="left"/>
        <w:rPr/>
      </w:pPr>
      <w:r>
        <w:rPr/>
        <w:drawing>
          <wp:inline distT="0" distB="0" distL="0" distR="0">
            <wp:extent cx="5715000" cy="4067175"/>
            <wp:effectExtent l="0" t="0" r="0" b="0"/>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a:picLocks noChangeAspect="1" noChangeArrowheads="1"/>
                    </pic:cNvPicPr>
                  </pic:nvPicPr>
                  <pic:blipFill>
                    <a:blip r:embed="rId13"/>
                    <a:stretch>
                      <a:fillRect/>
                    </a:stretch>
                  </pic:blipFill>
                  <pic:spPr bwMode="auto">
                    <a:xfrm>
                      <a:off x="0" y="0"/>
                      <a:ext cx="5715000" cy="4067175"/>
                    </a:xfrm>
                    <a:prstGeom prst="rect">
                      <a:avLst/>
                    </a:prstGeom>
                    <a:noFill/>
                  </pic:spPr>
                </pic:pic>
              </a:graphicData>
            </a:graphic>
          </wp:inline>
        </w:drawing>
      </w:r>
    </w:p>
    <w:p>
      <w:pPr>
        <w:pStyle w:val="Normal"/>
        <w:bidi w:val="0"/>
        <w:jc w:val="left"/>
        <w:rPr/>
      </w:pPr>
      <w:commentRangeStart w:id="31"/>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pPr>
      <w:r>
        <w:rP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commentRangeEnd w:id="31"/>
      <w:r>
        <w:commentReference w:id="31"/>
      </w:r>
      <w:r>
        <w:rPr/>
      </w:r>
    </w:p>
    <w:p>
      <w:pPr>
        <w:pStyle w:val="Normal"/>
        <w:bidi w:val="0"/>
        <w:jc w:val="left"/>
        <w:rPr/>
      </w:pPr>
      <w:r>
        <w:rPr/>
      </w:r>
    </w:p>
    <w:p>
      <w:pPr>
        <w:pStyle w:val="Normal"/>
        <w:bidi w:val="0"/>
        <w:jc w:val="left"/>
        <w:rPr/>
      </w:pPr>
      <w:r>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pPr>
      <w:r>
        <w:rPr/>
      </w:r>
    </w:p>
    <w:p>
      <w:pPr>
        <w:pStyle w:val="Heading3"/>
        <w:bidi w:val="0"/>
        <w:jc w:val="left"/>
        <w:rPr/>
      </w:pPr>
      <w:r>
        <w:rPr/>
        <w:t>Lacuna 1 — Validação empírica limitada e fraca transposição para contextos reais de utilização</w:t>
      </w:r>
    </w:p>
    <w:p>
      <w:pPr>
        <w:pStyle w:val="BodyText"/>
        <w:bidi w:val="0"/>
        <w:spacing w:lineRule="auto" w:line="276" w:before="0" w:after="140"/>
        <w:jc w:val="left"/>
        <w:rPr/>
      </w:pPr>
      <w:r>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pPr>
      <w:r>
        <w:rPr/>
        <w:t>Lacuna 2 — Desalinhamento entre necessidades identificadas, métricas objetivas, e qualidade de vida</w:t>
      </w:r>
    </w:p>
    <w:p>
      <w:pPr>
        <w:pStyle w:val="BodyText"/>
        <w:bidi w:val="0"/>
        <w:jc w:val="left"/>
        <w:rPr/>
      </w:pPr>
      <w:r>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pPr>
      <w:r>
        <w:rPr/>
        <w:t>Esta desarticulação tem implicações diretas para o design. Sem métricas ecologicamente válidas e sensíveis às prioridades do utilizador, torna-se difícil orientar decisões de projeto para benefícios significativos e sustentados. Como consequência, podem ocorrer melhorias técnicas que não se traduzem necessariamente em aceitação, integração funcional ou uso continuado da prótese. (Manz et al., 2022 (#ref-manz-2022); Samuelsson et al., 2012 (#ref-samuelsson-2012)).</w:t>
      </w:r>
    </w:p>
    <w:p>
      <w:pPr>
        <w:pStyle w:val="Normal"/>
        <w:bidi w:val="0"/>
        <w:jc w:val="left"/>
        <w:rPr/>
      </w:pPr>
      <w:r>
        <w:rPr/>
      </w:r>
    </w:p>
    <w:p>
      <w:pPr>
        <w:pStyle w:val="Heading3"/>
        <w:bidi w:val="0"/>
        <w:jc w:val="left"/>
        <w:rPr/>
      </w:pPr>
      <w:r>
        <w:rPr/>
        <w:t>Lacuna 3 — Persistência de problemas na interface corpo–prótese e no ajuste individualizado</w:t>
      </w:r>
    </w:p>
    <w:p>
      <w:pPr>
        <w:pStyle w:val="BodyText"/>
        <w:bidi w:val="0"/>
        <w:spacing w:lineRule="auto" w:line="276" w:before="0" w:after="140"/>
        <w:jc w:val="left"/>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pPr>
      <w:r>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pPr>
      <w:r>
        <w:rPr/>
        <w:t>Lacuna 4 — Evolução limitada das estratégias de controlo e da interação utilizador–prótese</w:t>
      </w:r>
    </w:p>
    <w:p>
      <w:pPr>
        <w:pStyle w:val="BodyText"/>
        <w:bidi w:val="0"/>
        <w:spacing w:lineRule="auto" w:line="276" w:before="0" w:after="140"/>
        <w:jc w:val="left"/>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pPr>
      <w:r>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pPr>
      <w:r>
        <w:rPr/>
      </w:r>
    </w:p>
    <w:p>
      <w:pPr>
        <w:pStyle w:val="Heading3"/>
        <w:bidi w:val="0"/>
        <w:jc w:val="left"/>
        <w:rPr/>
      </w:pPr>
      <w:r>
        <w:rPr/>
        <w:t>Lacuna 5 — Acesso, custo, manutenção e inequidades sistémicas</w:t>
      </w:r>
    </w:p>
    <w:p>
      <w:pPr>
        <w:pStyle w:val="Normal"/>
        <w:bidi w:val="0"/>
        <w:jc w:val="left"/>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pPr>
      <w:r>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pPr>
      <w:r>
        <w:rPr/>
      </w:r>
    </w:p>
    <w:p>
      <w:pPr>
        <w:pStyle w:val="Heading3"/>
        <w:bidi w:val="0"/>
        <w:jc w:val="left"/>
        <w:rPr/>
      </w:pPr>
      <w:r>
        <w:rPr/>
        <w:t>Lacuna 6 — Envolvimento do utilizador e registo metodológico insuficiente</w:t>
      </w:r>
    </w:p>
    <w:p>
      <w:pPr>
        <w:pStyle w:val="BodyText"/>
        <w:bidi w:val="0"/>
        <w:spacing w:lineRule="auto" w:line="276" w:before="0" w:after="140"/>
        <w:jc w:val="left"/>
        <w:rPr/>
      </w:pPr>
      <w:r>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pPr>
      <w:r>
        <w:rPr/>
      </w:r>
    </w:p>
    <w:p>
      <w:pPr>
        <w:pStyle w:val="Heading3"/>
        <w:bidi w:val="0"/>
        <w:jc w:val="left"/>
        <w:rPr/>
      </w:pPr>
      <w:r>
        <w:rPr/>
        <w:t>Implicações para esta investigação</w:t>
      </w:r>
    </w:p>
    <w:p>
      <w:pPr>
        <w:pStyle w:val="BodyText"/>
        <w:bidi w:val="0"/>
        <w:spacing w:lineRule="auto" w:line="276" w:before="0" w:after="140"/>
        <w:jc w:val="left"/>
        <w:rPr/>
      </w:pPr>
      <w:r>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pPr>
      <w:r>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pPr>
      <w:r>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pPr>
      <w:r>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pPr>
      <w:r>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pPr>
      <w:r>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pPr>
      <w:r>
        <w:rPr/>
      </w:r>
    </w:p>
    <w:p>
      <w:pPr>
        <w:pStyle w:val="Heading2"/>
        <w:bidi w:val="0"/>
        <w:jc w:val="left"/>
        <w:rPr/>
      </w:pPr>
      <w:r>
        <w:rPr/>
        <w:t>Capítulo 3 — Metodologia de Investigação</w:t>
      </w:r>
    </w:p>
    <w:p>
      <w:pPr>
        <w:pStyle w:val="Heading2"/>
        <w:bidi w:val="0"/>
        <w:jc w:val="left"/>
        <w:rPr/>
      </w:pPr>
      <w:r>
        <w:rPr/>
      </w:r>
    </w:p>
    <w:p>
      <w:pPr>
        <w:pStyle w:val="Heading3"/>
        <w:bidi w:val="0"/>
        <w:jc w:val="left"/>
        <w:rPr/>
      </w:pPr>
      <w:r>
        <w:rPr/>
        <w:t>3.1 Enquadramento metodológico e abordagem Research Through Design</w:t>
      </w:r>
    </w:p>
    <w:p>
      <w:pPr>
        <w:pStyle w:val="Normal"/>
        <w:bidi w:val="0"/>
        <w:jc w:val="left"/>
        <w:rPr/>
      </w:pPr>
      <w:r>
        <w:rPr/>
      </w:r>
    </w:p>
    <w:p>
      <w:pPr>
        <w:pStyle w:val="Normal"/>
        <w:bidi w:val="0"/>
        <w:jc w:val="left"/>
        <w:rPr/>
      </w:pPr>
      <w:r>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pPr>
      <w:r>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pPr>
      <w:r>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pPr>
      <w:r>
        <w:rPr/>
      </w:r>
    </w:p>
    <w:p>
      <w:pPr>
        <w:pStyle w:val="Normal"/>
        <w:bidi w:val="0"/>
        <w:jc w:val="left"/>
        <w:rPr/>
      </w:pPr>
      <w:r>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pPr>
      <w:r>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pPr>
      <w:r>
        <w:rPr/>
      </w:r>
    </w:p>
    <w:p>
      <w:pPr>
        <w:pStyle w:val="Normal"/>
        <w:bidi w:val="0"/>
        <w:jc w:val="left"/>
        <w:rPr/>
      </w:pPr>
      <w:r>
        <w:rPr/>
        <w:drawing>
          <wp:inline distT="0" distB="0" distL="0" distR="0">
            <wp:extent cx="5715000" cy="2181225"/>
            <wp:effectExtent l="0" t="0" r="0" b="0"/>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a:picLocks noChangeAspect="1" noChangeArrowheads="1"/>
                    </pic:cNvPicPr>
                  </pic:nvPicPr>
                  <pic:blipFill>
                    <a:blip r:embed="rId14"/>
                    <a:stretch>
                      <a:fillRect/>
                    </a:stretch>
                  </pic:blipFill>
                  <pic:spPr bwMode="auto">
                    <a:xfrm>
                      <a:off x="0" y="0"/>
                      <a:ext cx="5715000" cy="2181225"/>
                    </a:xfrm>
                    <a:prstGeom prst="rect">
                      <a:avLst/>
                    </a:prstGeom>
                    <a:noFill/>
                  </pic:spPr>
                </pic:pic>
              </a:graphicData>
            </a:graphic>
          </wp:inline>
        </w:drawing>
      </w:r>
    </w:p>
    <w:p>
      <w:pPr>
        <w:pStyle w:val="Normal"/>
        <w:bidi w:val="0"/>
        <w:jc w:val="left"/>
        <w:rPr/>
      </w:pPr>
      <w:r>
        <w:rPr/>
      </w:r>
    </w:p>
    <w:p>
      <w:pPr>
        <w:pStyle w:val="Normal"/>
        <w:bidi w:val="0"/>
        <w:jc w:val="left"/>
        <w:rPr/>
      </w:pPr>
      <w:r>
        <w:rPr/>
        <w:t>Figura 3.1 — Processo interdisciplinar de desenvolvimento de uma prótese de membro superior impressa em 3D.</w:t>
      </w:r>
    </w:p>
    <w:p>
      <w:pPr>
        <w:pStyle w:val="Normal"/>
        <w:bidi w:val="0"/>
        <w:jc w:val="left"/>
        <w:rPr/>
      </w:pPr>
      <w:r>
        <w:rPr/>
      </w:r>
    </w:p>
    <w:p>
      <w:pPr>
        <w:pStyle w:val="Normal"/>
        <w:bidi w:val="0"/>
        <w:jc w:val="left"/>
        <w:rPr/>
      </w:pPr>
      <w:commentRangeStart w:id="32"/>
      <w:r>
        <w:rPr/>
        <w:t>Fonte original (APA 7): Silva, L. A. da, Medola, F. O., Rodrigues, O. V., Rodrigues, A. C. T., &amp; Sandnes, F. E. (2018). Interdisciplinary-based development of user-friendly customized 3D printed upper limb prosthesis. Comunicação em conferência.</w:t>
      </w:r>
      <w:commentRangeEnd w:id="32"/>
      <w:r>
        <w:commentReference w:id="32"/>
      </w:r>
      <w:r>
        <w:rPr/>
      </w:r>
      <w:r>
        <w:br w:type="page"/>
      </w:r>
    </w:p>
    <w:p>
      <w:pPr>
        <w:pStyle w:val="Normal"/>
        <w:bidi w:val="0"/>
        <w:spacing w:before="0" w:after="0"/>
        <w:jc w:val="left"/>
        <w:rPr/>
      </w:pPr>
      <w:r>
        <w:rPr/>
      </w:r>
    </w:p>
    <w:p>
      <w:pPr>
        <w:pStyle w:val="Heading3"/>
        <w:bidi w:val="0"/>
        <w:jc w:val="left"/>
        <w:rPr/>
      </w:pPr>
      <w:r>
        <w:rPr/>
        <w:t>3.2 O design industrial como prática investigativa</w:t>
      </w:r>
    </w:p>
    <w:p>
      <w:pPr>
        <w:pStyle w:val="Heading3"/>
        <w:bidi w:val="0"/>
        <w:jc w:val="left"/>
        <w:rPr/>
      </w:pPr>
      <w:r>
        <w:rPr/>
      </w:r>
    </w:p>
    <w:p>
      <w:pPr>
        <w:pStyle w:val="Normal"/>
        <w:bidi w:val="0"/>
        <w:jc w:val="left"/>
        <w:rPr/>
      </w:pPr>
      <w:r>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t>Partindo deste enquadramento, a investigação assume o desenvolvimento de um sistema paramétrico assistido por inteligência artificial como meio para explorar formas mais configuráveis, reprodutíveis e acessíveis de personalização protésica. A dimensão investigativa do projeto não reside apenas na obtenção de uma solução funcional, mas também na explicitação dos critérios, das relações paramétricas e dos mecanismos de decisão que estruturam o processo, tornando-o analisável, criticável e potencialmente transferível para outros contextos de desenvolvimento.</w:t>
      </w:r>
    </w:p>
    <w:p>
      <w:pPr>
        <w:pStyle w:val="Normal"/>
        <w:bidi w:val="0"/>
        <w:jc w:val="left"/>
        <w:rPr/>
      </w:pPr>
      <w:r>
        <w:rPr/>
        <w:t xml:space="preserve">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w:t>
      </w:r>
      <w:commentRangeStart w:id="33"/>
      <w:r>
        <w:rPr/>
        <w:t>DfAM</w:t>
      </w:r>
      <w:r>
        <w:rPr/>
      </w:r>
      <w:commentRangeEnd w:id="33"/>
      <w:r>
        <w:commentReference w:id="33"/>
      </w:r>
      <w:r>
        <w:rPr/>
        <w:t xml:space="preserve"> e processos participativos pode melhorar a usabilidade, o conforto e a aceitação, ao mesmo tempo que reduz a dependência de especialistas.</w:t>
      </w:r>
    </w:p>
    <w:p>
      <w:pPr>
        <w:pStyle w:val="Normal"/>
        <w:bidi w:val="0"/>
        <w:jc w:val="left"/>
        <w:rPr/>
      </w:pPr>
      <w:r>
        <w:rPr/>
      </w:r>
    </w:p>
    <w:p>
      <w:pPr>
        <w:pStyle w:val="Heading3"/>
        <w:bidi w:val="0"/>
        <w:jc w:val="left"/>
        <w:rPr/>
      </w:pPr>
      <w:r>
        <w:rPr/>
        <w:t>3.3 Estrutura metodológica do projeto</w:t>
      </w:r>
    </w:p>
    <w:p>
      <w:pPr>
        <w:pStyle w:val="Heading3"/>
        <w:bidi w:val="0"/>
        <w:jc w:val="left"/>
        <w:rPr/>
      </w:pPr>
      <w:r>
        <w:rPr/>
      </w:r>
    </w:p>
    <w:p>
      <w:pPr>
        <w:pStyle w:val="Normal"/>
        <w:bidi w:val="0"/>
        <w:jc w:val="left"/>
        <w:rPr/>
      </w:pPr>
      <w:r>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pPr>
      <w:r>
        <w:rPr/>
        <w:t>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Paralelamente, realiza-se uma análise comparativa de soluções open-source existentes no domínio das próteses impressas em 3D, identificando abordagens formais, estruturais e tecnológicas, bem como limitações quanto à personalização e à reprodutibilidade. 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pPr>
      <w:r>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pPr>
      <w:r>
        <w:rPr/>
        <w:t>A fase empírica materializa a operacionalização do conhecimento gerado. Os modelos paramétricos são testados com diferentes perfis antropométricos provenientes de bases de dados públicas, e protótipos físicos são produzidos por meio de impressão 3D. Esta fase permite avaliar a integridade estrutural, a montagem, a ajustabilidade e a coerência formal, bem como verificar a consistência do sistema perante variações dimensionais.</w:t>
      </w:r>
    </w:p>
    <w:p>
      <w:pPr>
        <w:pStyle w:val="Normal"/>
        <w:bidi w:val="0"/>
        <w:jc w:val="left"/>
        <w:rPr/>
      </w:pPr>
      <w:r>
        <w:rPr/>
        <w:commentReference w:id="34"/>
      </w:r>
    </w:p>
    <w:p>
      <w:pPr>
        <w:pStyle w:val="Heading3"/>
        <w:bidi w:val="0"/>
        <w:jc w:val="left"/>
        <w:rPr/>
      </w:pPr>
      <w:r>
        <w:rPr/>
        <w:t>3.4 Métodos de recolha e análise de dados</w:t>
      </w:r>
    </w:p>
    <w:p>
      <w:pPr>
        <w:pStyle w:val="Normal"/>
        <w:bidi w:val="0"/>
        <w:jc w:val="left"/>
        <w:rPr/>
      </w:pPr>
      <w:r>
        <w:rPr/>
        <w:t xml:space="preserve">A investigação recorre a métodos qualitativos e experimentais, coerentes com a natureza prática do </w:t>
      </w:r>
      <w:r>
        <w:rPr>
          <w:i/>
          <w:iCs/>
        </w:rPr>
        <w:t>RTD</w:t>
      </w:r>
      <w:r>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pPr>
      <w:r>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pPr>
      <w:r>
        <w:rPr/>
        <w:t>Durante o desenvolvimento do sistema paramétrico, os dados assumem natureza técnica e projetual, incluindo parâmetros geométricos, relações dimensionais, tempos de fabrico</w:t>
      </w:r>
      <w:commentRangeStart w:id="35"/>
      <w:r>
        <w:rPr/>
        <w:t>, consumo de material e desempenho estrutural dos protótipos</w:t>
      </w:r>
      <w:r>
        <w:rPr/>
      </w:r>
      <w:commentRangeEnd w:id="35"/>
      <w:r>
        <w:commentReference w:id="35"/>
      </w:r>
      <w:r>
        <w:rPr/>
        <w:t>. Estes dados são analisados de forma iterativa, permitindo reformular o modelo paramétrico e otimizar o seu desempenho.</w:t>
      </w:r>
    </w:p>
    <w:p>
      <w:pPr>
        <w:pStyle w:val="Normal"/>
        <w:bidi w:val="0"/>
        <w:jc w:val="left"/>
        <w:rPr/>
      </w:pPr>
      <w:r>
        <w:rPr/>
        <w:t>Na fase de prototipagem, a análise incide sobre os critérios de exequibilidade de fabrico, robustez estrutural, coerência dimensional e facilidade de montagem.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pPr>
      <w:r>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pPr>
      <w:r>
        <w:rPr/>
      </w:r>
    </w:p>
    <w:p>
      <w:pPr>
        <w:pStyle w:val="Normal"/>
        <w:bidi w:val="0"/>
        <w:jc w:val="left"/>
        <w:rPr/>
      </w:pPr>
      <w:r>
        <w:rPr/>
        <w:drawing>
          <wp:inline distT="0" distB="0" distL="0" distR="0">
            <wp:extent cx="5715000" cy="1905000"/>
            <wp:effectExtent l="0" t="0" r="0" b="0"/>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a:picLocks noChangeAspect="1" noChangeArrowheads="1"/>
                    </pic:cNvPicPr>
                  </pic:nvPicPr>
                  <pic:blipFill>
                    <a:blip r:embed="rId15"/>
                    <a:stretch>
                      <a:fillRect/>
                    </a:stretch>
                  </pic:blipFill>
                  <pic:spPr bwMode="auto">
                    <a:xfrm>
                      <a:off x="0" y="0"/>
                      <a:ext cx="5715000" cy="1905000"/>
                    </a:xfrm>
                    <a:prstGeom prst="rect">
                      <a:avLst/>
                    </a:prstGeom>
                    <a:noFill/>
                  </pic:spPr>
                </pic:pic>
              </a:graphicData>
            </a:graphic>
          </wp:inline>
        </w:drawing>
      </w:r>
    </w:p>
    <w:p>
      <w:pPr>
        <w:pStyle w:val="Normal"/>
        <w:bidi w:val="0"/>
        <w:jc w:val="left"/>
        <w:rPr/>
      </w:pPr>
      <w:r>
        <w:rPr/>
      </w:r>
    </w:p>
    <w:p>
      <w:pPr>
        <w:pStyle w:val="Normal"/>
        <w:bidi w:val="0"/>
        <w:jc w:val="left"/>
        <w:rPr/>
      </w:pPr>
      <w:r>
        <w:rPr/>
        <w:t>Figura 3.2 — Exemplo de recolha dimensional para ajuste de prótese impressa em 3D.</w:t>
      </w:r>
    </w:p>
    <w:p>
      <w:pPr>
        <w:pStyle w:val="Normal"/>
        <w:bidi w:val="0"/>
        <w:jc w:val="left"/>
        <w:rPr/>
      </w:pPr>
      <w:r>
        <w:rPr/>
        <w:t>Fonte original (APA 7):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pPr>
      <w:r>
        <w:rPr/>
      </w:r>
    </w:p>
    <w:p>
      <w:pPr>
        <w:pStyle w:val="Heading3"/>
        <w:bidi w:val="0"/>
        <w:jc w:val="left"/>
        <w:rPr/>
      </w:pPr>
      <w:r>
        <w:rPr/>
        <w:t>3.5 Critérios de avaliação e limitações metodológicas</w:t>
      </w:r>
    </w:p>
    <w:p>
      <w:pPr>
        <w:pStyle w:val="Heading3"/>
        <w:bidi w:val="0"/>
        <w:jc w:val="left"/>
        <w:rPr/>
      </w:pPr>
      <w:r>
        <w:rPr/>
      </w:r>
    </w:p>
    <w:p>
      <w:pPr>
        <w:pStyle w:val="Normal"/>
        <w:bidi w:val="0"/>
        <w:jc w:val="left"/>
        <w:rPr/>
      </w:pPr>
      <w:r>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pPr>
      <w:r>
        <w:rPr/>
        <w:t>No caso específico da parametrização assistida por IA, a avaliação foi organizada em dois patamares. O primeiro incidiu sobre a plausibilidade numérica das sugestões, verificando conformidade com o esquema de parâmetros, respeito pelos intervalos mínimos e máximos, proporcionalidade entre dedos, adequação etária e coerência de lateralidade em amputações unilaterais. O segundo prolongou essa verificação até à geometria exportada, testando se os valores sugeridos eram efetivamente aplicados nos modelos OpenSCAD/WebAssembly e se os ficheiros 3MF e STL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pPr>
      <w:r>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pPr>
      <w:r>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pPr>
      <w:r>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pStyle w:val="Heading2"/>
        <w:bidi w:val="0"/>
        <w:jc w:val="left"/>
        <w:rPr/>
      </w:pPr>
      <w:r>
        <w:rPr/>
      </w:r>
    </w:p>
    <w:p>
      <w:pPr>
        <w:pStyle w:val="Heading2"/>
        <w:bidi w:val="0"/>
        <w:jc w:val="left"/>
        <w:rPr/>
      </w:pPr>
      <w:r>
        <w:rPr/>
        <w:t>Capítulo 4 — Desenvolvimento do Modelo Paramétrico</w:t>
      </w:r>
    </w:p>
    <w:p>
      <w:pPr>
        <w:pStyle w:val="Heading3"/>
        <w:bidi w:val="0"/>
        <w:jc w:val="left"/>
        <w:rPr/>
      </w:pPr>
      <w:r>
        <w:rPr/>
      </w:r>
    </w:p>
    <w:p>
      <w:pPr>
        <w:pStyle w:val="Heading3"/>
        <w:bidi w:val="0"/>
        <w:jc w:val="left"/>
        <w:rPr/>
      </w:pPr>
      <w:r>
        <w:rPr/>
        <w:t>4.1 Definição do problema de design e requisitos</w:t>
      </w:r>
    </w:p>
    <w:p>
      <w:pPr>
        <w:pStyle w:val="Normal"/>
        <w:bidi w:val="0"/>
        <w:jc w:val="left"/>
        <w:rPr/>
      </w:pPr>
      <w:r>
        <w:rPr/>
      </w:r>
    </w:p>
    <w:p>
      <w:pPr>
        <w:pStyle w:val="Normal"/>
        <w:bidi w:val="0"/>
        <w:jc w:val="left"/>
        <w:rPr/>
      </w:pPr>
      <w:r>
        <w:rPr/>
        <w:t>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Implica, pelo contrário, a conceção de dispositivos capazes de conciliar funcionalidade, conforto, leveza, fiabilidade, controlo inteligível, aceitabilidade estética e e custos compatíveis com a produção, adaptação, manutenção e acesso continuado à prótese, num contexto em que continuam a registar-se taxas elevadas de rejeição e abandono. 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pPr>
      <w:r>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pPr>
      <w:r>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pPr>
      <w:r>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w:t>
      </w:r>
      <w:commentRangeStart w:id="36"/>
      <w:r>
        <w:rPr/>
        <w:t xml:space="preserve">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r>
      <w:commentRangeEnd w:id="36"/>
      <w:r>
        <w:commentReference w:id="36"/>
      </w:r>
      <w:r>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pPr>
      <w:r>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pPr>
      <w:r>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escalabilidade.</w:t>
      </w:r>
    </w:p>
    <w:p>
      <w:pPr>
        <w:pStyle w:val="BodyText"/>
        <w:bidi w:val="0"/>
        <w:spacing w:lineRule="auto" w:line="276" w:before="0" w:after="140"/>
        <w:jc w:val="left"/>
        <w:rPr/>
      </w:pPr>
      <w:r>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pPr>
      <w:r>
        <w:rPr/>
      </w:r>
    </w:p>
    <w:p>
      <w:pPr>
        <w:pStyle w:val="Heading3"/>
        <w:bidi w:val="0"/>
        <w:jc w:val="left"/>
        <w:rPr/>
      </w:pPr>
      <w:r>
        <w:rPr/>
        <w:t>4.2 Parâmetros antropométricos e estrutura do modelo</w:t>
      </w:r>
    </w:p>
    <w:p>
      <w:pPr>
        <w:pStyle w:val="Heading3"/>
        <w:bidi w:val="0"/>
        <w:jc w:val="left"/>
        <w:rPr/>
      </w:pPr>
      <w:r>
        <w:rPr/>
      </w:r>
    </w:p>
    <w:p>
      <w:pPr>
        <w:pStyle w:val="Normal"/>
        <w:bidi w:val="0"/>
        <w:jc w:val="left"/>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pPr>
      <w:r>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pPr>
      <w:r>
        <w:rPr/>
      </w:r>
    </w:p>
    <w:p>
      <w:pPr>
        <w:pStyle w:val="Normal"/>
        <w:bidi w:val="0"/>
        <w:jc w:val="left"/>
        <w:rPr/>
      </w:pPr>
      <w:r>
        <w:rPr/>
        <w:drawing>
          <wp:inline distT="0" distB="0" distL="0" distR="0">
            <wp:extent cx="4667250" cy="3467100"/>
            <wp:effectExtent l="0" t="0" r="0" b="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a:picLocks noChangeAspect="1" noChangeArrowheads="1"/>
                    </pic:cNvPicPr>
                  </pic:nvPicPr>
                  <pic:blipFill>
                    <a:blip r:embed="rId16"/>
                    <a:stretch>
                      <a:fillRect/>
                    </a:stretch>
                  </pic:blipFill>
                  <pic:spPr bwMode="auto">
                    <a:xfrm>
                      <a:off x="0" y="0"/>
                      <a:ext cx="4667250" cy="3467100"/>
                    </a:xfrm>
                    <a:prstGeom prst="rect">
                      <a:avLst/>
                    </a:prstGeom>
                    <a:noFill/>
                  </pic:spPr>
                </pic:pic>
              </a:graphicData>
            </a:graphic>
          </wp:inline>
        </w:drawing>
      </w:r>
    </w:p>
    <w:p>
      <w:pPr>
        <w:pStyle w:val="Normal"/>
        <w:bidi w:val="0"/>
        <w:jc w:val="left"/>
        <w:rPr/>
      </w:pPr>
      <w:r>
        <w:rPr/>
        <w:t>Figura 4.1 — Parâmetros antropométricos utilizados na modelação paramétrica de dedos protésicos.</w:t>
      </w:r>
    </w:p>
    <w:p>
      <w:pPr>
        <w:pStyle w:val="Normal"/>
        <w:bidi w:val="0"/>
        <w:jc w:val="left"/>
        <w:rPr/>
      </w:pPr>
      <w:r>
        <w:rPr/>
        <w:t xml:space="preserve">Fonte original (APA 7):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7">
        <w:r>
          <w:rPr>
            <w:rStyle w:val="Hyperlink"/>
          </w:rPr>
          <w:t>https://doi.org/10.1109/BioRob60516.2024.10719909</w:t>
        </w:r>
      </w:hyperlink>
    </w:p>
    <w:p>
      <w:pPr>
        <w:pStyle w:val="Normal"/>
        <w:bidi w:val="0"/>
        <w:jc w:val="left"/>
        <w:rPr>
          <w:u w:val="double"/>
        </w:rPr>
      </w:pPr>
      <w:r>
        <w:rPr>
          <w:u w:val="double"/>
        </w:rPr>
      </w:r>
    </w:p>
    <w:p>
      <w:pPr>
        <w:pStyle w:val="Normal"/>
        <w:bidi w:val="0"/>
        <w:jc w:val="left"/>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do dispositivo (Chatzioglou et al., 2024 (#ref-chatzioglou-2024); Nag et al., 2003 (#ref-nag-2003)).</w:t>
      </w:r>
    </w:p>
    <w:p>
      <w:pPr>
        <w:pStyle w:val="Normal"/>
        <w:bidi w:val="0"/>
        <w:jc w:val="left"/>
        <w:rPr/>
      </w:pPr>
      <w:r>
        <w:rPr/>
        <w:t>Tabela 4.1 — Principais parâmetros antropométricos da mão e do membro superior relevantes para modelação paramétrica</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Ajuste do encaixe</w:t>
            </w:r>
          </w:p>
        </w:tc>
      </w:tr>
    </w:tbl>
    <w:p>
      <w:pPr>
        <w:pStyle w:val="Heading3"/>
        <w:bidi w:val="0"/>
        <w:jc w:val="left"/>
        <w:rPr/>
      </w:pPr>
      <w:r>
        <w:rPr/>
      </w:r>
    </w:p>
    <w:p>
      <w:pPr>
        <w:pStyle w:val="Heading3"/>
        <w:bidi w:val="0"/>
        <w:jc w:val="left"/>
        <w:rPr/>
      </w:pPr>
      <w:r>
        <w:rPr/>
        <w:t>Conjuntos mínimos de parâmetros por nível de amputação</w:t>
      </w:r>
    </w:p>
    <w:p>
      <w:pPr>
        <w:pStyle w:val="Normal"/>
        <w:bidi w:val="0"/>
        <w:jc w:val="left"/>
        <w:rPr/>
      </w:pPr>
      <w:r>
        <w:rPr/>
      </w:r>
    </w:p>
    <w:p>
      <w:pPr>
        <w:pStyle w:val="Normal"/>
        <w:bidi w:val="0"/>
        <w:jc w:val="left"/>
        <w:rPr/>
      </w:pPr>
      <w:r>
        <w:rPr/>
        <w:t>A definição de um conjunto mínimo de parâmetros antropométricos depende diretamente do nível de amputação, uma vez que diferentes configurações protésicas exigem graus distintos de detalhe. Em termos práticos, reduzir o número de medições necessárias é importante para viabilizar processos de personalização mais escaláveis, sobretudo quando a recolha de dados ocorre fora de contextos clínicos altamente especializados (Moreo, 2016 (#ref-moreo-2016); Romero et al., 2025 (#ref-da-silveira-romero-2025)).</w:t>
      </w:r>
    </w:p>
    <w:p>
      <w:pPr>
        <w:pStyle w:val="Normal"/>
        <w:bidi w:val="0"/>
        <w:jc w:val="left"/>
        <w:rPr/>
      </w:pPr>
      <w:r>
        <w:rPr/>
      </w:r>
    </w:p>
    <w:p>
      <w:pPr>
        <w:pStyle w:val="Normal"/>
        <w:bidi w:val="0"/>
        <w:jc w:val="left"/>
        <w:rPr/>
      </w:pPr>
      <w:r>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 largura da palma, comprimento dos dedos</w:t>
            </w:r>
          </w:p>
        </w:tc>
      </w:tr>
    </w:tbl>
    <w:p>
      <w:pPr>
        <w:pStyle w:val="Normal"/>
        <w:bidi w:val="0"/>
        <w:jc w:val="left"/>
        <w:rPr/>
      </w:pPr>
      <w:r>
        <w:rPr/>
      </w:r>
    </w:p>
    <w:p>
      <w:pPr>
        <w:pStyle w:val="Normal"/>
        <w:bidi w:val="0"/>
        <w:jc w:val="left"/>
        <w:rPr/>
      </w:pPr>
      <w:r>
        <w:rPr/>
        <w:t>Esta abordagem permite estruturar o sistema paramétrico com base em entradas essenciais, reduzindo a complexidade sem comprometer a funcionalidade.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pPr>
      <w:r>
        <w:rPr/>
      </w:r>
    </w:p>
    <w:p>
      <w:pPr>
        <w:pStyle w:val="Heading3"/>
        <w:bidi w:val="0"/>
        <w:jc w:val="left"/>
        <w:rPr/>
      </w:pPr>
      <w:r>
        <w:rPr/>
        <w:t>Limitações do redimensionamento proporcional</w:t>
      </w:r>
    </w:p>
    <w:p>
      <w:pPr>
        <w:pStyle w:val="Heading3"/>
        <w:bidi w:val="0"/>
        <w:jc w:val="left"/>
        <w:rPr/>
      </w:pPr>
      <w:r>
        <w:rPr/>
      </w:r>
    </w:p>
    <w:p>
      <w:pPr>
        <w:pStyle w:val="Normal"/>
        <w:bidi w:val="0"/>
        <w:jc w:val="left"/>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pPr>
      <w:r>
        <w:rPr/>
      </w:r>
    </w:p>
    <w:p>
      <w:pPr>
        <w:pStyle w:val="Normal"/>
        <w:bidi w:val="0"/>
        <w:jc w:val="left"/>
        <w:rPr/>
      </w:pPr>
      <w:r>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pPr>
      <w:r>
        <w:rPr/>
      </w:r>
    </w:p>
    <w:p>
      <w:pPr>
        <w:pStyle w:val="Normal"/>
        <w:bidi w:val="0"/>
        <w:jc w:val="left"/>
        <w:rPr/>
      </w:pPr>
      <w:r>
        <w:rPr/>
        <w:drawing>
          <wp:inline distT="0" distB="0" distL="0" distR="0">
            <wp:extent cx="5715000" cy="2705100"/>
            <wp:effectExtent l="0" t="0" r="0" b="0"/>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a:picLocks noChangeAspect="1" noChangeArrowheads="1"/>
                    </pic:cNvPicPr>
                  </pic:nvPicPr>
                  <pic:blipFill>
                    <a:blip r:embed="rId18"/>
                    <a:stretch>
                      <a:fillRect/>
                    </a:stretch>
                  </pic:blipFill>
                  <pic:spPr bwMode="auto">
                    <a:xfrm>
                      <a:off x="0" y="0"/>
                      <a:ext cx="5715000" cy="2705100"/>
                    </a:xfrm>
                    <a:prstGeom prst="rect">
                      <a:avLst/>
                    </a:prstGeom>
                    <a:noFill/>
                  </pic:spPr>
                </pic:pic>
              </a:graphicData>
            </a:graphic>
          </wp:inline>
        </w:drawing>
      </w:r>
    </w:p>
    <w:p>
      <w:pPr>
        <w:pStyle w:val="Normal"/>
        <w:bidi w:val="0"/>
        <w:jc w:val="left"/>
        <w:rPr/>
      </w:pPr>
      <w:r>
        <w:rPr/>
        <w:t>Figura 4.2 — Comparação entre o escalonamento uniforme e a modelação paramétrica de dedo protésico.</w:t>
      </w:r>
    </w:p>
    <w:p>
      <w:pPr>
        <w:pStyle w:val="Normal"/>
        <w:bidi w:val="0"/>
        <w:jc w:val="left"/>
        <w:rPr/>
      </w:pPr>
      <w:r>
        <w:rPr/>
        <w:t>Adaptado de f</w:t>
      </w:r>
      <w:r>
        <w:rPr/>
        <w:t xml:space="preserve">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r:id="rId19">
        <w:r>
          <w:rPr>
            <w:rStyle w:val="Hyperlink"/>
          </w:rPr>
          <w:t>https://doi.org/10.1115/DETC2018-85645</w:t>
        </w:r>
      </w:hyperlink>
    </w:p>
    <w:p>
      <w:pPr>
        <w:pStyle w:val="Normal"/>
        <w:bidi w:val="0"/>
        <w:jc w:val="left"/>
        <w:rPr/>
      </w:pPr>
      <w:r>
        <w:rPr/>
      </w:r>
    </w:p>
    <w:p>
      <w:pPr>
        <w:pStyle w:val="Heading3"/>
        <w:bidi w:val="0"/>
        <w:jc w:val="left"/>
        <w:rPr/>
      </w:pPr>
      <w:r>
        <w:rPr/>
        <w:t>Métodos de recolha de dados antropométricos</w:t>
      </w:r>
    </w:p>
    <w:p>
      <w:pPr>
        <w:pStyle w:val="Heading3"/>
        <w:bidi w:val="0"/>
        <w:jc w:val="left"/>
        <w:rPr/>
      </w:pPr>
      <w:r>
        <w:rPr/>
      </w:r>
    </w:p>
    <w:p>
      <w:pPr>
        <w:pStyle w:val="Normal"/>
        <w:bidi w:val="0"/>
        <w:jc w:val="left"/>
        <w:rPr/>
      </w:pPr>
      <w:r>
        <w:rPr/>
        <w:t>A recolha de dados pode ser realizada por diferentes métodos, com implicações diretas na precisão e na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pPr>
      <w:r>
        <w:rPr/>
      </w:r>
    </w:p>
    <w:p>
      <w:pPr>
        <w:pStyle w:val="Normal"/>
        <w:bidi w:val="0"/>
        <w:jc w:val="left"/>
        <w:rPr/>
      </w:pPr>
      <w:r>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4"/>
        <w:gridCol w:w="1805"/>
        <w:gridCol w:w="1807"/>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Dimensões lineares</w:t>
            </w:r>
          </w:p>
        </w:tc>
        <w:tc>
          <w:tcPr>
            <w:tcW w:w="180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Simplicidade, baixo custo</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Representação geométrica limitada</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Geometria superficial</w:t>
            </w:r>
          </w:p>
        </w:tc>
        <w:tc>
          <w:tcPr>
            <w:tcW w:w="180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Elevada precisão, rapidez</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Equipamento e processamento necessários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Estrutura interna e externa</w:t>
            </w:r>
          </w:p>
        </w:tc>
        <w:tc>
          <w:tcPr>
            <w:tcW w:w="180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Dados anatómicos detalhados</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Alto custo e menor acessibilidade</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Geometria aproximada</w:t>
            </w:r>
          </w:p>
        </w:tc>
        <w:tc>
          <w:tcPr>
            <w:tcW w:w="180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Acessível, potencial remoto</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Precisão variável</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Aquisição preliminar</w:t>
            </w:r>
          </w:p>
        </w:tc>
      </w:tr>
    </w:tbl>
    <w:p>
      <w:pPr>
        <w:pStyle w:val="Heading3"/>
        <w:bidi w:val="0"/>
        <w:jc w:val="left"/>
        <w:rPr/>
      </w:pPr>
      <w:r>
        <w:rPr/>
      </w:r>
    </w:p>
    <w:p>
      <w:pPr>
        <w:pStyle w:val="Heading3"/>
        <w:bidi w:val="0"/>
        <w:jc w:val="left"/>
        <w:rPr/>
      </w:pPr>
      <w:r>
        <w:rPr/>
        <w:t>Bases de dados antropométricas, extração e normalização</w:t>
      </w:r>
    </w:p>
    <w:p>
      <w:pPr>
        <w:pStyle w:val="Normal"/>
        <w:bidi w:val="0"/>
        <w:jc w:val="left"/>
        <w:rPr/>
      </w:pPr>
      <w:r>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pPr>
      <w:r>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pPr>
      <w:r>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legível.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pPr>
      <w:r>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6"/>
        <w:gridCol w:w="2259"/>
        <w:gridCol w:w="2259"/>
        <w:gridCol w:w="2262"/>
      </w:tblGrid>
      <w:tr>
        <w:trPr>
          <w:tblHeader w:val="true"/>
        </w:trPr>
        <w:tc>
          <w:tcPr>
            <w:tcW w:w="224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Fonte</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População e cobertura</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Dados extraídos</w:t>
            </w:r>
          </w:p>
        </w:tc>
        <w:tc>
          <w:tcPr>
            <w:tcW w:w="226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Registos</w:t>
            </w:r>
          </w:p>
        </w:tc>
      </w:tr>
      <w:tr>
        <w:trPr/>
        <w:tc>
          <w:tcPr>
            <w:tcW w:w="224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DINED kima1993, TU Delft</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Crianças neerlandesas, 2–12 anos</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Médias e desvios-padrão de medições da mão por idade e sexo</w:t>
            </w:r>
          </w:p>
        </w:tc>
        <w:tc>
          <w:tcPr>
            <w:tcW w:w="226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528</w:t>
            </w:r>
          </w:p>
        </w:tc>
      </w:tr>
      <w:tr>
        <w:trPr/>
        <w:tc>
          <w:tcPr>
            <w:tcW w:w="224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DINED geron1998, TU Delft</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Idosos neerlandeses, 50–80+ anos</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Médias e desvios-padrão de medições da mão por grupos etários</w:t>
            </w:r>
          </w:p>
        </w:tc>
        <w:tc>
          <w:tcPr>
            <w:tcW w:w="226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210</w:t>
            </w:r>
          </w:p>
        </w:tc>
      </w:tr>
      <w:tr>
        <w:trPr/>
        <w:tc>
          <w:tcPr>
            <w:tcW w:w="224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DINED dined2004, TU Delft</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Adultos neerlandeses, 20–60+ anos</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Médias e desvios-padrão de medições da mão por sexo e idade</w:t>
            </w:r>
          </w:p>
        </w:tc>
        <w:tc>
          <w:tcPr>
            <w:tcW w:w="226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114</w:t>
            </w:r>
          </w:p>
        </w:tc>
      </w:tr>
      <w:tr>
        <w:trPr/>
        <w:tc>
          <w:tcPr>
            <w:tcW w:w="224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Rodríguez-Vega e Rodríguez-Vega (2024)</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População mexicana, 15–59 anos</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 comprimento da palma, largura da mão e diâmetro de preensão, com valores gerais e por grupos etários</w:t>
            </w:r>
          </w:p>
        </w:tc>
        <w:tc>
          <w:tcPr>
            <w:tcW w:w="226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360</w:t>
            </w:r>
          </w:p>
        </w:tc>
      </w:tr>
      <w:tr>
        <w:trPr/>
        <w:tc>
          <w:tcPr>
            <w:tcW w:w="224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Nag et al. (2003)</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Mulheres indianas trabalhadoras</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51 dimensões da mão, incluindo comprimentos, larguras, circunferências, profundidades e aberturas</w:t>
            </w:r>
          </w:p>
        </w:tc>
        <w:tc>
          <w:tcPr>
            <w:tcW w:w="226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255</w:t>
            </w:r>
          </w:p>
        </w:tc>
      </w:tr>
      <w:tr>
        <w:trPr/>
        <w:tc>
          <w:tcPr>
            <w:tcW w:w="224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Gordon et al. (2015)</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Militares norte-americanos do ANSUR II</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Medições da mão, punho e antebraço extraídas das estatísticas públicas do inquérito</w:t>
            </w:r>
          </w:p>
        </w:tc>
        <w:tc>
          <w:tcPr>
            <w:tcW w:w="226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154</w:t>
            </w:r>
          </w:p>
        </w:tc>
      </w:tr>
      <w:tr>
        <w:trPr/>
        <w:tc>
          <w:tcPr>
            <w:tcW w:w="224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Chatzioglou et al. (2024)</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Jovens adultos da Turquia</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Comprimentos dos cinco dedos da mão direita, por sexo e combinado</w:t>
            </w:r>
          </w:p>
        </w:tc>
        <w:tc>
          <w:tcPr>
            <w:tcW w:w="226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56</w:t>
            </w:r>
          </w:p>
        </w:tc>
      </w:tr>
      <w:tr>
        <w:trPr/>
        <w:tc>
          <w:tcPr>
            <w:tcW w:w="224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Hu et al. (2007)</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Idosos chineses da área de Pequim</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Larguras, comprimento da mão, comprimento do dedo e comprimento antebraço-ponta dos dedos</w:t>
            </w:r>
          </w:p>
        </w:tc>
        <w:tc>
          <w:tcPr>
            <w:tcW w:w="226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50</w:t>
            </w:r>
          </w:p>
        </w:tc>
      </w:tr>
      <w:tr>
        <w:trPr/>
        <w:tc>
          <w:tcPr>
            <w:tcW w:w="224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Ibiwari et al. (2025)</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Atletas universitários da Nigéria</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 largura da mão, comprimento palmar e 3.º dedo, por modalidade e sexo</w:t>
            </w:r>
          </w:p>
        </w:tc>
        <w:tc>
          <w:tcPr>
            <w:tcW w:w="226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32</w:t>
            </w:r>
          </w:p>
        </w:tc>
      </w:tr>
      <w:tr>
        <w:trPr/>
        <w:tc>
          <w:tcPr>
            <w:tcW w:w="224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Anacleto Filho et al. (2023)</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Trabalhadores industriais portugueses</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e largura da mão, por sexo</w:t>
            </w:r>
          </w:p>
        </w:tc>
        <w:tc>
          <w:tcPr>
            <w:tcW w:w="226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20</w:t>
            </w:r>
          </w:p>
        </w:tc>
      </w:tr>
      <w:tr>
        <w:trPr/>
        <w:tc>
          <w:tcPr>
            <w:tcW w:w="224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Mistarihi (2020)</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Trabalhadores com deficiência física na Jordânia</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 largura da mão e comprimento cotovelo-ponta dos dedos</w:t>
            </w:r>
          </w:p>
        </w:tc>
        <w:tc>
          <w:tcPr>
            <w:tcW w:w="226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9</w:t>
            </w:r>
          </w:p>
        </w:tc>
      </w:tr>
      <w:tr>
        <w:trPr/>
        <w:tc>
          <w:tcPr>
            <w:tcW w:w="224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Lim et al. (2018)</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Adultos jovens nos EUA</w:t>
            </w:r>
          </w:p>
        </w:tc>
        <w:tc>
          <w:tcPr>
            <w:tcW w:w="225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e largura do dedo indicador para customização de dedo protésico</w:t>
            </w:r>
          </w:p>
        </w:tc>
        <w:tc>
          <w:tcPr>
            <w:tcW w:w="226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2</w:t>
            </w:r>
          </w:p>
        </w:tc>
      </w:tr>
    </w:tbl>
    <w:p>
      <w:pPr>
        <w:pStyle w:val="Normal"/>
        <w:bidi w:val="0"/>
        <w:jc w:val="left"/>
        <w:rPr/>
      </w:pPr>
      <w:r>
        <w:rPr/>
      </w:r>
    </w:p>
    <w:p>
      <w:pPr>
        <w:pStyle w:val="Normal"/>
        <w:bidi w:val="0"/>
        <w:jc w:val="left"/>
        <w:rPr/>
      </w:pPr>
      <w:r>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pPr>
      <w:r>
        <w:rPr/>
        <w:t>A opção pelo formato longo foi deliberada. Em vez de criar uma linha por dimensão com colunas fixas para média, desvio-padrão e percentis, cada estatística foi registada como uma linha própria. Assim, uma mesma dimensão pode originar várias linhas para média, desvio-padrão, P5, P50, P95, mínimo ou máximo. Este formato facilita a integração de fontes incompletas, porque nem todos os estudos reportam o mesmo conjunto de estatísticas. Na base atual, existem 612 médias, 609 desvios-padrão, 513 percentis, 28 mínimos e 28 máximos. Esta assimetria é metodologicamente relevante: os datasets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pPr>
      <w:r>
        <w:rPr/>
        <w:t>As principais dificuldades encontradas dizem respeito à heterogeneidade dos protocolos. A expressão “comprimento da mão”, por exemplo, nem sempre corresponde ao mesmo trajeto anatómico: alguns estudos usam a prega do punho, outros o processo estilóide, e outros definem o comprimento a partir de marcos funcionais da palma. Do mesmo modo, há estudos que medem a mão direita, outros a mão dominante, e o estudo português mede a mão esquerda por constrangimentos de recolha (Anacleto Filho et al., 2023 (#ref-anacleto-filho-2023)). Estas diferenças impedem tratar todas as entradas como equivalentes diretas e justificam o registo explícito do protocolo de medição. A base não apaga a heterogeneidade; torna-a explícita para que o modelo paramétrico possa usar os dados de forma informada.</w:t>
      </w:r>
    </w:p>
    <w:p>
      <w:pPr>
        <w:pStyle w:val="Normal"/>
        <w:bidi w:val="0"/>
        <w:jc w:val="left"/>
        <w:rPr/>
      </w:pPr>
      <w:r>
        <w:rPr/>
        <w:t>Houve também dificuldades de granularidade e representatividade. Algumas fontes são estatisticamente fortes, mas pouco específicas para a mão; outras são ricas em medidas da mão, mas limitadas a uma população muito particular. Nag et al. (2003), por exemplo, fornece uma cobertura dimensional muito detalhada, mas apenas para mulheres indianas trabalhadoras. Rodríguez-Vega e Rodríguez-Vega (2024) oferecem uma amostra mexicana numerosa e grupos etários úteis, mas concentram-se em quatro dimensões principais. Ibiwari et al. (2025) acrescenta dados africanos, mas a amostra é composta por atletas universitários, não por população geral. Mistarihi (2020) é relevante por incluir trabalhadores com deficiência física, mas apresenta poucos registos, sem desagregação suficiente por sexo. Estes casos foram mantidos porque aumentam a diversidade de referência, mas as suas limitações foram registadas nos metadados da população, da dimensão amostral e da qualidade do dado.</w:t>
      </w:r>
    </w:p>
    <w:p>
      <w:pPr>
        <w:pStyle w:val="Normal"/>
        <w:bidi w:val="0"/>
        <w:jc w:val="left"/>
        <w:rPr/>
      </w:pPr>
      <w:r>
        <w:rPr/>
        <w:t>Em sentido inverso, algumas fontes facilitaram a extração. As tabelas com percentis claros, unidades explícitas e separação por sexo ou idade permitiram codificação direta e maior confiança. A estrutura HTML da DINED facilitou a recuperação sistemática de médias e desvios-padrão por sub-base, sexo e grupo etário, embora não disponibilize percentis na mesma interface. 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militares, crianças neerlandesas ou idosos chineses não representam automaticamente utilizadores com amputação de membro superior.</w:t>
      </w:r>
    </w:p>
    <w:p>
      <w:pPr>
        <w:pStyle w:val="Normal"/>
        <w:bidi w:val="0"/>
        <w:jc w:val="left"/>
        <w:rPr/>
      </w:pPr>
      <w:r>
        <w:rPr/>
        <w:t>As decisões de normalização seguiram quatro princípios. Primeiro, todas as unidades foram convertidas para milímetros, centímetros e polegadas, mantendo uma unidade-fonte única para evitar conversões ambíguas no momento de utilização. Segundo, valores provenientes de subgrupos muito pequenos, figuras em vez de tabelas, desvios-padrão atípicos ou definições anatómicas incertas foram preservados, mas assinalados em notas de qualidade, em vez de serem eliminados sem rasto. Terceiro, as medidas foram agrupadas por região corporal, para distinguir dimensões diretamente ligadas à geometria da mão de dimensões úteis apenas para a interface com o punho ou antebraço. Quarto, os dados foram tratados como referências paramétricas e não como prescrições dimensionais finais.</w:t>
      </w:r>
    </w:p>
    <w:p>
      <w:pPr>
        <w:pStyle w:val="Normal"/>
        <w:bidi w:val="0"/>
        <w:jc w:val="left"/>
        <w:rPr/>
      </w:pPr>
      <w:r>
        <w:rPr/>
        <w:t>Esta base faz sentido para o projeto porque responde a uma necessidade específica do modelo desenvolvido: transformar uma discussão genérica sobre personalização em intervalos, relações e restrições utilizáveis. O modelo precisa de saber que medidas são recorrentes na literatura, que variações são plausíveis entre populações, que dimensões podem servir como entradas mínimas e onde o escalonamento uniforme se torna arriscado. A base local permite comparar comprimento da mão, largura da palma, comprimentos digitais, dimensões do punho e relações com o antebraço de forma rastreável. Por isso, ela sustenta a passagem entre o enquadramento antropométrico e a modelação em OpenSCAD: os dados não geram a prótese por si só, mas delimitam o espaço de variação no qual o modelo pode operar com maior coerência.</w:t>
      </w:r>
    </w:p>
    <w:p>
      <w:pPr>
        <w:pStyle w:val="Normal"/>
        <w:bidi w:val="0"/>
        <w:jc w:val="left"/>
        <w:rPr/>
      </w:pPr>
      <w:r>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pPr>
      <w:r>
        <w:rPr/>
        <w:t>Estrutura paramétrica e mapeamento de parâmetros</w:t>
      </w:r>
    </w:p>
    <w:p>
      <w:pPr>
        <w:pStyle w:val="Normal"/>
        <w:bidi w:val="0"/>
        <w:jc w:val="left"/>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pPr>
      <w:r>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Ajuste técnico</w:t>
            </w:r>
          </w:p>
        </w:tc>
      </w:tr>
    </w:tbl>
    <w:p>
      <w:pPr>
        <w:pStyle w:val="Normal"/>
        <w:bidi w:val="0"/>
        <w:jc w:val="left"/>
        <w:rPr/>
      </w:pPr>
      <w:r>
        <w:rPr/>
        <w:t>A tradução destes parâmetros em geometria é realizada por meio de relações explícitas entre medições e componentes do modelo.</w:t>
      </w:r>
    </w:p>
    <w:p>
      <w:pPr>
        <w:pStyle w:val="Normal"/>
        <w:bidi w:val="0"/>
        <w:jc w:val="left"/>
        <w:rPr/>
      </w:pPr>
      <w:r>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Relações cinemáticas dos mecanismos digitais</w:t>
            </w:r>
          </w:p>
        </w:tc>
      </w:tr>
    </w:tbl>
    <w:p>
      <w:pPr>
        <w:pStyle w:val="Normal"/>
        <w:bidi w:val="0"/>
        <w:jc w:val="left"/>
        <w:rPr/>
      </w:pPr>
      <w:r>
        <w:rPr/>
        <w:t>Este mapeamento constitui a base da modelação paramétrica, permitindo converter dados antropométricos em configurações geométricas e funcionais. Em termos práticos, a passagem de medição para geometria não deve ser entendida como uma transposição linear, mas como a definição de relações controladas: certos parâmetros regulam a escala geral, outros definem proporções locais e outros ainda atuam como restrições de consistência ou de fabricabilidade. Antes de qualquer implementação em código, torna-se necessário estabilizar três níveis: os dados de entrada, as relações entre parâmetros e os limites técnicos que condicionam a sua transformação em forma.</w:t>
      </w:r>
    </w:p>
    <w:p>
      <w:pPr>
        <w:pStyle w:val="Normal"/>
        <w:bidi w:val="0"/>
        <w:jc w:val="left"/>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pPr>
      <w:r>
        <w:rPr/>
        <w:t>4.3 Modelação paramétrica em OpenSCAD</w:t>
      </w:r>
    </w:p>
    <w:p>
      <w:pPr>
        <w:pStyle w:val="Normal"/>
        <w:bidi w:val="0"/>
        <w:jc w:val="left"/>
        <w:rPr/>
      </w:pPr>
      <w:r>
        <w:rPr/>
        <w:t>A modelação paramétrica em OpenSCAD corresponde, nesta investigação, ao momento em que a estrutura definida na secção anterior passa de um quadro conceptual a um sistema operativo.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pPr>
      <w:r>
        <w:rPr/>
        <w:t>A modelação paramétrica em OpenSCAD é, por isso, aqui entendida como uma abordagem em que a geometria resulta de regras explícitas, parâmetros definidos em código e relações de dependência entre componentes, em vez de edição manual isolada de formas. Para o desenvolvimento de próteses personalizadas de membro superior, esta lógica é particularmente relevante, pois permite tratar a prótese como uma família configurável de soluções, regenerável com base em novos dados antropométricos, requisitos funcionais e limites de fabrico. A literatura sobre modelação paramétrica aplicada a próteses e sobre CAD baseado em código converge precisamente nesta direção, associando este tipo de abordagem a maior rastreabilidade, repetibilidade e capacidade de automatização em fluxos de personalização digital (Machado et al., 2019 (#ref-machado-2019); Moreo, 2016 (#ref-moreo-2016); Romero et al., 2025 (#ref-da-silveira-romero-2025)).</w:t>
      </w:r>
    </w:p>
    <w:p>
      <w:pPr>
        <w:pStyle w:val="Normal"/>
        <w:bidi w:val="0"/>
        <w:jc w:val="left"/>
        <w:rPr/>
      </w:pPr>
      <w:r>
        <w:rPr/>
        <w:t>Ao contrário de ambientes centrados na manipulação gráfica direta, o OpenSCAD opera como uma especificação computacional do objeto. Essa característica é metodologicamente relevante para a presente investigação porque torna o modelo não apenas um resultado geométrico, mas também um artefacto explícito de projeto: um sistema em que se registam as relações entre entradas antropométricas, módulos geométricos, restrições construtivas e decisões formais. Neste sentido, a modelação baseada em código articula-se bem com uma perspetiva de Research Through Design, na medida em que o próprio modelo pode ser lido, revisto, testado e documentado como uma estrutura de conhecimento técnico.</w:t>
      </w:r>
    </w:p>
    <w:p>
      <w:pPr>
        <w:pStyle w:val="Normal"/>
        <w:bidi w:val="0"/>
        <w:jc w:val="left"/>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pPr>
      <w:r>
        <w:rPr/>
        <w:drawing>
          <wp:inline distT="0" distB="0" distL="0" distR="0">
            <wp:extent cx="5715000" cy="3324225"/>
            <wp:effectExtent l="0" t="0" r="0" b="0"/>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a:picLocks noChangeAspect="1" noChangeArrowheads="1"/>
                    </pic:cNvPicPr>
                  </pic:nvPicPr>
                  <pic:blipFill>
                    <a:blip r:embed="rId20"/>
                    <a:stretch>
                      <a:fillRect/>
                    </a:stretch>
                  </pic:blipFill>
                  <pic:spPr bwMode="auto">
                    <a:xfrm>
                      <a:off x="0" y="0"/>
                      <a:ext cx="5715000" cy="3324225"/>
                    </a:xfrm>
                    <a:prstGeom prst="rect">
                      <a:avLst/>
                    </a:prstGeom>
                    <a:noFill/>
                  </pic:spPr>
                </pic:pic>
              </a:graphicData>
            </a:graphic>
          </wp:inline>
        </w:drawing>
      </w:r>
    </w:p>
    <w:p>
      <w:pPr>
        <w:pStyle w:val="Normal"/>
        <w:bidi w:val="0"/>
        <w:jc w:val="left"/>
        <w:rPr/>
      </w:pPr>
      <w:r>
        <w:rPr/>
        <w:t>Figura 4.3 — Relação entre modelo paramétrico digital, prototipagem e verificação de um dedo protésico.</w:t>
      </w:r>
    </w:p>
    <w:p>
      <w:pPr>
        <w:pStyle w:val="Normal"/>
        <w:bidi w:val="0"/>
        <w:jc w:val="left"/>
        <w:rPr/>
      </w:pPr>
      <w:r>
        <w:rPr/>
        <w:t>Fonte original (APA 7):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Heading3"/>
        <w:bidi w:val="0"/>
        <w:jc w:val="left"/>
        <w:rPr/>
      </w:pPr>
      <w:r>
        <w:rPr/>
        <w:t>4.3.1 Estrutura técnica, parâmetros e restrições</w:t>
      </w:r>
    </w:p>
    <w:p>
      <w:pPr>
        <w:pStyle w:val="Normal"/>
        <w:bidi w:val="0"/>
        <w:jc w:val="left"/>
        <w:rPr/>
      </w:pPr>
      <w:r>
        <w:rPr/>
        <w:t>A estrutura técnica de um modelo paramétrico baseado em OpenSCAD pode ser compreendida como uma arquitetura em camadas. 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fabricabilidade. Esta organização permite controlar a personalização sem comprometer a coerência interna do sistema (Moreo, 2016 (#ref-moreo-2016); Nini et al., 2024 (#ref-nini-2024); Saldarriaga et al., 2024 (#ref-saldarriaga-2024)).</w:t>
      </w:r>
    </w:p>
    <w:p>
      <w:pPr>
        <w:pStyle w:val="Normal"/>
        <w:bidi w:val="0"/>
        <w:jc w:val="left"/>
        <w:rPr/>
      </w:pPr>
      <w:r>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da palma, comprimentos digitais, perímetro do coto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Amplitude articular, espaço para tendões, eixos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Garantir fabricabilidade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Espessura mínima, folgas, raios mínimos</w:t>
            </w:r>
          </w:p>
        </w:tc>
      </w:tr>
    </w:tbl>
    <w:p>
      <w:pPr>
        <w:pStyle w:val="Normal"/>
        <w:bidi w:val="0"/>
        <w:jc w:val="left"/>
        <w:rPr/>
      </w:pPr>
      <w:r>
        <w:rPr/>
        <w:t>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de encaixe. A modularidade tem aqui duas vantagens diretas: reduz a opacidade do sistema e facilita a regeneração controlada de variantes. Num contexto protésico, isto permite que alterações nos parâmetros de entrada não se propaguem de forma arbitrária a todo o modelo, mas sim segundo relações previamente explícitas e localizáveis (Machado et al., 2019 (#ref-machado-2019); Romero et al., 2025 (#ref-da-silveira-romero-2025)).</w:t>
      </w:r>
    </w:p>
    <w:p>
      <w:pPr>
        <w:pStyle w:val="Normal"/>
        <w:bidi w:val="0"/>
        <w:jc w:val="left"/>
        <w:rPr/>
      </w:pPr>
      <w:r>
        <w:rPr/>
        <w:t>Outro aspeto central é a integração de restrições diretamente na lógica paramétrica. Em vez de tratar a verificação de fabricabilidade como etapa exclusivamente posterior, o modelo pode incorporar, desde o início, limites mínimos de espessura, folgas entre elementos móveis, margens de tolerância e verificações condicionais para evitar combinações inválidas. Este princípio é particularmente relevante em próteses produzidas por fabrico aditivo, nas quais pequenas alterações dimensionais podem comprometer a montagem, a resistência ou a imprimibilidade. Estudos sobre modelação paramétrica de dedos protésicos e sockets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pPr>
      <w:r>
        <w:rPr/>
        <w:t>Finalmente, 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contemporânea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Heading3"/>
        <w:bidi w:val="0"/>
        <w:jc w:val="left"/>
        <w:rPr/>
      </w:pPr>
      <w:r>
        <w:rPr/>
        <w:t>4.3.2 Análise crítica da abordagem</w:t>
      </w:r>
    </w:p>
    <w:p>
      <w:pPr>
        <w:pStyle w:val="Normal"/>
        <w:bidi w:val="0"/>
        <w:jc w:val="left"/>
        <w:rPr/>
      </w:pPr>
      <w:r>
        <w:rPr/>
        <w:t>A adoção do OpenSCAD apresenta vantagens metodológicas claras para este projeto. A primeira é a transparência. Como o modelo é definido por código, as relações entre variáveis, dependências e restrições ficam mais explícitas do que em muitos fluxos CAD baseados apenas em operações gráficas. Esta condição favorece a rastreabilidade, a revisão crítica e a reprodutibilidade, qualidades particularmente importantes num trabalho académico em que o modelo paramétrico não é apenas um instrumento de produção formal, mas também um objeto de análise (Machado et al., 2019 (#ref-machado-2019)).</w:t>
      </w:r>
    </w:p>
    <w:p>
      <w:pPr>
        <w:pStyle w:val="Normal"/>
        <w:bidi w:val="0"/>
        <w:jc w:val="left"/>
        <w:rPr/>
      </w:pPr>
      <w:r>
        <w:rPr/>
        <w:t>Uma segunda vantagem reside na afinidade entre a modelação baseada em código, a automação e a partilha aberta. A literatura mostra que sistemas como o OpenSCAD articulam-se bem com lógicas de configuração web, de geração repetida de variantes e de circulação de ficheiros-fonte em comunidades distribuídas. O facto de um modelo poder ser exposto por meio de parâmetros, ligado a interfaces HTML e convertido em resultados fabricáveis, sem exigir edição direta do código a cada iteração, constitui um argumento forte para a sua utilização em contextos de personalização acessível (Nilsiam &amp; Pearce, 2017 (#ref-nilsiam-2017)). Para um projeto que pretende aproximar parametrização, interface e apoio computacional, esta característica é especialmente relevante.</w:t>
      </w:r>
    </w:p>
    <w:p>
      <w:pPr>
        <w:pStyle w:val="Normal"/>
        <w:bidi w:val="0"/>
        <w:jc w:val="left"/>
        <w:rPr/>
      </w:pPr>
      <w:r>
        <w:rPr/>
        <w:t>Contudo, a abordagem apresenta limitações importantes. A primeira é a barreira cognitiva associada à programação. Mesmo quando o modelo é modular e bem estruturado, a edição direta em OpenSCAD exige raciocínio abstrato sobre transformações geométricas, dependências paramétricas e operações booleanas. Por essa razão, a utilidade do OpenSCAD aumenta quando o sistema é mediado por camadas intermediárias de interface ou por procedimentos que exponham apenas os parâmetros realmente necessários à configuração. A segunda limitação é geométrica: a lógica de Constructive Solid Geometry favorece peças mecânicas, modulares e relativamente discretas, mas tende a ser menos fluida para superfícies orgânicas complexas ou interfaces anatómicas altamente irregulares, sobretudo quando comparada com ferramentas mais orientadas para superfícies livres.</w:t>
      </w:r>
    </w:p>
    <w:p>
      <w:pPr>
        <w:pStyle w:val="Normal"/>
        <w:bidi w:val="0"/>
        <w:jc w:val="left"/>
        <w:rPr/>
      </w:pPr>
      <w:r>
        <w:rPr/>
        <w:t>Há ainda uma limitação na interoperabilidade. A literatura comparativa sobre OpenSCAD sublinha que o ecossistema está fortemente orientado para formatos tesselados e para fluxos de fabrico baseados em malhas, o que pode dificultar a integração com certos circuitos CAD industriais ou com ambientes que exijam preservação completa da informação paramétrica em formatos normalizados (Machado et al., 2019 (#ref-machado-2019)). 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pPr>
      <w:r>
        <w:rPr/>
        <w:t>Por fim, importa reconhecer que a robustez da abordagem não se esgota na geração da geometria. Mesmo quando a lógica paramétrica é clara e as restrições estão integradas, a validação continua a depender da verificação no slicer, do controlo dimensional, de eventual simulação estrutural e da observação do comportamento da peça em protótipo. 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criticabilidade que justifica a sua escolha como base para a modelação paramétrica aqui desenvolvida.</w:t>
      </w:r>
    </w:p>
    <w:p>
      <w:pPr>
        <w:pStyle w:val="Heading3"/>
        <w:bidi w:val="0"/>
        <w:jc w:val="left"/>
        <w:rPr/>
      </w:pPr>
      <w:r>
        <w:rPr/>
        <w:t>4.4 Iterações, refinamento e discussão intermédia</w:t>
      </w:r>
    </w:p>
    <w:p>
      <w:pPr>
        <w:pStyle w:val="Normal"/>
        <w:bidi w:val="0"/>
        <w:jc w:val="left"/>
        <w:rPr/>
      </w:pPr>
      <w:r>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pPr>
      <w:r>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pPr>
      <w:r>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t>À medida que a estrutura geral se consolidou, o trabalho iterativo deslocou-se para a decomposição do sistema em módulos relativamente autónomos. Esta modularização permitiu isolar problemas, testar componentes localmente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Mais do que uma escolha organizativa do código, a modularização funcionou como uma clarificação progressiva da lógica do objeto, aproximando o modelo de uma estrutura configurável, mais disciplinada e compatível com futuros contextos de interface ou de configuração assistida (Nilsiam &amp; Pearce, 2017 (#ref-nilsiam-2017)).</w:t>
      </w:r>
    </w:p>
    <w:p>
      <w:pPr>
        <w:pStyle w:val="Normal"/>
        <w:bidi w:val="0"/>
        <w:jc w:val="left"/>
        <w:rPr/>
      </w:pPr>
      <w:r>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t>Outro eixo central do processo prendeu-se à relação entre personalização e fabricabilidade. Nem toda a variação admissível do ponto de vista formal mostrou-se viável do ponto de vista produtivo. Certas configurações geravam geometrias demasiado finas, folgas inadequadas, transições abruptas ou zonas vulneráveis no contexto da impressão 3D.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pPr>
      <w:r>
        <w:rPr/>
        <w:t>A dimensão funcional introduziu um nível adicional de exigência. Em sistemas configuráveis para próteses, a coerência geométrica e a imprimibilidade não bastam para assegurar a adequação ao uso. A articulação entre segmentos, o posicionamento relativo dos mecanismos, a distribuição de massa, as zonas de esforço e a amplitude de movimento influenciam diretamente o desempenho esperado do objeto. Por essa razão, várias revisões do modelo implicaram reajustes que não se limitavam a problemas formais, mas também à necessidade de manter um equilíbrio plausível entre adaptação dimensional, comportamento funcional e viabilidade material. O refinamento correspondeu, assim, a uma negociação contínua entre a simplificação paramétrica e a exigência prototípica.</w:t>
      </w:r>
    </w:p>
    <w:p>
      <w:pPr>
        <w:pStyle w:val="Normal"/>
        <w:bidi w:val="0"/>
        <w:jc w:val="left"/>
        <w:rPr/>
      </w:pPr>
      <w:r>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pPr>
      <w:r>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Normal"/>
        <w:pBdr>
          <w:bottom w:val="single" w:sz="6" w:space="1" w:color="808080"/>
        </w:pBdr>
        <w:bidi w:val="0"/>
        <w:jc w:val="left"/>
        <w:rPr/>
      </w:pPr>
      <w:r>
        <w:rPr/>
      </w:r>
    </w:p>
    <w:p>
      <w:pPr>
        <w:pStyle w:val="Heading2"/>
        <w:bidi w:val="0"/>
        <w:jc w:val="left"/>
        <w:rPr/>
      </w:pPr>
      <w:r>
        <w:rPr/>
        <w:t>Capítulo 5 — Plataforma Web e Integração Digital</w:t>
      </w:r>
    </w:p>
    <w:p>
      <w:pPr>
        <w:pStyle w:val="Heading3"/>
        <w:bidi w:val="0"/>
        <w:jc w:val="left"/>
        <w:rPr/>
      </w:pPr>
      <w:r>
        <w:rPr/>
        <w:t>5.1 Enquadramento conceptual e perfis de utilizador</w:t>
      </w:r>
    </w:p>
    <w:p>
      <w:pPr>
        <w:pStyle w:val="Normal"/>
        <w:bidi w:val="0"/>
        <w:jc w:val="left"/>
        <w:rPr/>
      </w:pPr>
      <w:r>
        <w:rPr/>
        <w:t>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Esta leitura é coerente com a literatura sobre personalização digital e mass personalisation, que descreve os configuradores como infraestruturas que expõem uma parte controlada do espaço de variação, permitindo adaptar produtos sem comprometer a coerência interna do modelo-base (Ozdemir, Verlinden, &amp; Cascini, 2022; Stralen, 2018 (#ref-stralen-2018)).</w:t>
      </w:r>
    </w:p>
    <w:p>
      <w:pPr>
        <w:pStyle w:val="Normal"/>
        <w:bidi w:val="0"/>
        <w:jc w:val="left"/>
        <w:rPr/>
      </w:pPr>
      <w:r>
        <w:rPr/>
        <w:t>Do ponto de vista funcional, a plataforma foi concebida para suportar um processo de personalização progressiva,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projetual ou experimental. Em vez de exigir que cada interveniente compreenda a estrutura interna do ficheiro OpenSCAD, o sistema disponibiliza uma camada de interação mais acessível, baseada em controlos paramétricos, pré-visualização tridimensional e gestão de configurações. Tal opção aproxima-se de abordagens recentes em plataformas de personalização protésica, nas quais a interface funciona como meio de tornar observável, configurável e progressivamente verificável um processo que, de outro modo, permaneceria dependente de software especializado ou de mediação exclusivamente técnica (Peixoto et al., 2025 (#ref-peixoto-2025)).</w:t>
      </w:r>
    </w:p>
    <w:p>
      <w:pPr>
        <w:pStyle w:val="Normal"/>
        <w:bidi w:val="0"/>
        <w:jc w:val="left"/>
        <w:rPr/>
      </w:pPr>
      <w:r>
        <w:rPr/>
        <w:t>Neste sentido, a plataforma deve ser entendida como um sistema sociotécnico, e não apenas como um artefacto de software. A personalização deixa de ser concebida como um ato individual e isolado e passa a ser enquadrada como um processo distribuído, no qual diferentes agentes intervêm com graus distintos de responsabilidade e de controlo. 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pPr>
      <w:r>
        <w:rPr/>
        <w:t>A definição dos perfis de utilizador corresponde, por isso, a uma opção conceptual central. O sistema organiza-se em três perfis principais: administrador, técnico e utilizador. O perfil de administrador assegura a gestão global da plataforma, incluindo a criação de contas, a definição de permissões e a supervisão do ecossistema de configurações. O perfil técnico, pensado para profissionais intermédios, como protésicos,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interações delimitadas pelo sistema. Esta segmentação traduz uma lógica de controlo de acesso baseada em papéis, procurando equilibrar autonomia, segurança, inteligibilidade e responsabilidade distribuída.</w:t>
      </w:r>
    </w:p>
    <w:p>
      <w:pPr>
        <w:pStyle w:val="Normal"/>
        <w:bidi w:val="0"/>
        <w:jc w:val="left"/>
        <w:rPr/>
      </w:pPr>
      <w:r>
        <w:rPr/>
        <w:t>Importa sublinhar que esta diferenciação não se limita a uma decisão administrativa. Ela participa diretamente na forma como a plataforma enquadra a personalização. 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t>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mas também em reconfigurar o próprio processo de personalização como uma sequência assistida, rastreável e criticável. É nessa articulação entre configurabilidade, mediação da interface e organização por perfis que a secção seguinte, dedicada à arquitetura geral do sistema, encontra a sua base conceptual.</w:t>
      </w:r>
    </w:p>
    <w:p>
      <w:pPr>
        <w:pStyle w:val="Heading3"/>
        <w:bidi w:val="0"/>
        <w:jc w:val="left"/>
        <w:rPr/>
      </w:pPr>
      <w:r>
        <w:rPr/>
        <w:t>5.2 Arquitetura geral do sistema</w:t>
      </w:r>
    </w:p>
    <w:p>
      <w:pPr>
        <w:pStyle w:val="Normal"/>
        <w:bidi w:val="0"/>
        <w:jc w:val="left"/>
        <w:rPr/>
      </w:pPr>
      <w:r>
        <w:rPr/>
        <w:t>A arquitetura geral do sistema foi concebida como uma estrutura em camadas, organizada para separar a interface, a lógica de aplicação, a persistência de dados e os serviços complementares de apoio à configuração.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a variação, mas também suficientemente disciplinados para preservar a coerência, a rastreabilidade e a capacidade de manutenção (Ozdemir et al., 2022 (#ref-ozdemir-2022); Lei et al., 2016 (#ref-lei-2016)).</w:t>
      </w:r>
    </w:p>
    <w:p>
      <w:pPr>
        <w:pStyle w:val="Normal"/>
        <w:bidi w:val="0"/>
        <w:jc w:val="left"/>
        <w:rPr/>
      </w:pPr>
      <w:r>
        <w:rPr/>
        <w:t>A Figura 5.1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pPr>
      <w:r>
        <w:rPr/>
        <w:drawing>
          <wp:inline distT="0" distB="0" distL="0" distR="0">
            <wp:extent cx="5715000" cy="3238500"/>
            <wp:effectExtent l="0" t="0" r="0" b="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a:picLocks noChangeAspect="1" noChangeArrowheads="1"/>
                    </pic:cNvPicPr>
                  </pic:nvPicPr>
                  <pic:blipFill>
                    <a:blip r:embed="rId21"/>
                    <a:stretch>
                      <a:fillRect/>
                    </a:stretch>
                  </pic:blipFill>
                  <pic:spPr bwMode="auto">
                    <a:xfrm>
                      <a:off x="0" y="0"/>
                      <a:ext cx="5715000" cy="3238500"/>
                    </a:xfrm>
                    <a:prstGeom prst="rect">
                      <a:avLst/>
                    </a:prstGeom>
                    <a:noFill/>
                  </pic:spPr>
                </pic:pic>
              </a:graphicData>
            </a:graphic>
          </wp:inline>
        </w:drawing>
      </w:r>
    </w:p>
    <w:p>
      <w:pPr>
        <w:pStyle w:val="Normal"/>
        <w:bidi w:val="0"/>
        <w:jc w:val="left"/>
        <w:rPr/>
      </w:pPr>
      <w:r>
        <w:rPr/>
        <w:t>Figura 5.1 — Fluxo geral de produção personalizada de próteses a partir de digitalização, CAD adaptativo e fabrico aditivo.</w:t>
      </w:r>
    </w:p>
    <w:p>
      <w:pPr>
        <w:pStyle w:val="Normal"/>
        <w:bidi w:val="0"/>
        <w:jc w:val="left"/>
        <w:rPr/>
      </w:pPr>
      <w:r>
        <w:rPr/>
        <w:t>Fonte original (APA 7):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pPr>
      <w:r>
        <w:rPr/>
        <w:t>No lado do cliente, a aplicação funciona no navegador e integra os componentes responsáveis pela interface, pela recolha e edição de parâmetros, pela gestão do estado da sessão e pela visualização local dos modelos. No lado do servidor, um serviço desenvolvido em Node.js com Express assegura o fornecimento de ficheiros estáticos, o processamento de pedidos à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e “retaguarda”, mas sim a uma estratégia de contenção da complexidade e de delimitação explícita de responsabilidades.</w:t>
      </w:r>
    </w:p>
    <w:p>
      <w:pPr>
        <w:pStyle w:val="Normal"/>
        <w:bidi w:val="0"/>
        <w:jc w:val="left"/>
        <w:rPr/>
      </w:pPr>
      <w:r>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projetual. Deste modo, a base de dados não funciona apenas como repositório administrativo, mas também como infraestrutura que sustenta a continuidade, o versionamento prático e a rastreabilidade das variantes produzidas.</w:t>
      </w:r>
    </w:p>
    <w:p>
      <w:pPr>
        <w:pStyle w:val="Normal"/>
        <w:bidi w:val="0"/>
        <w:jc w:val="left"/>
        <w:rPr/>
      </w:pPr>
      <w:r>
        <w:rPr/>
        <w:t>Um dos aspetos mais relevantes da arquitetura é que a renderização geométrica não é executada no servidor. Em vez disso, o cálculo e a geração da geometria tridimensional ocorrem localmente no navegador, por meio de um processo baseado em OpenSCAD, compilado para WebAssembly e executado em um Web Worker. Esta decisão reduz a carga computacional do backend,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pPr>
      <w:r>
        <w:rPr/>
        <w:t>No plano da segurança e do controlo de acesso, a arquitetura incorpora autenticação baseada em JWT, utilização de tokens de atualização em cookies HttpOnly, validação de dados, limitação de pedidos e bloqueio explícito de ficheiros sensíveis. 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bidi w:val="0"/>
        <w:jc w:val="left"/>
        <w:rPr/>
      </w:pPr>
      <w:r>
        <w:rPr/>
        <w:t>5.3 Integração OpenSCAD via WebAssembly (WASM)</w:t>
      </w:r>
    </w:p>
    <w:p>
      <w:pPr>
        <w:pStyle w:val="Normal"/>
        <w:bidi w:val="0"/>
        <w:jc w:val="left"/>
        <w:rPr/>
      </w:pPr>
      <w:r>
        <w:rPr/>
        <w:t>A integração do OpenSCAD por meio de WebAssembly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pPr>
      <w:r>
        <w:rPr/>
        <w:t>Em termos operacionais, o processo organiza-se em uma cadeia relativamente clara. Os ficheiros .scad, que contêm a definição algorítmica do modelo, e os conjuntos de parâmetros produzidos pela interface são carregados no frontend. Esses elementos são depois encaminhados para um Web Worker, isto é, um processo separado da interface principal, capaz de executar tarefas pesadas em segundo plano. Nesse worker, a versão compilada do OpenSCAD em WASM interpreta o código, aplica os parâmetros recebidos e gera a geometria tridimensional correspondente. O resultado é então devolvido ao ambiente de visualização no navegador, onde o utilizador pode observar os efeitos das alterações introduzidas sem sair da plataforma nem recorrer a software CAD instalado localmente. Esta cadeia de parâmetros -&gt; worker -&gt; OpenSCAD em WASM -&gt; geometria visível é central para o funcionamento do sistema, pois liga a edição, o cálculo e o feedback formal numa sequência rastreável.</w:t>
      </w:r>
    </w:p>
    <w:p>
      <w:pPr>
        <w:pStyle w:val="Normal"/>
        <w:bidi w:val="0"/>
        <w:jc w:val="left"/>
        <w:rPr/>
      </w:pPr>
      <w:r>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pPr>
      <w:r>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pPr>
      <w:r>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protésicos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t>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o faz dentro dos limites computacionais e operacionais do navegador. O valor da solução reside, por isso, menos numa promessa de desempenho absoluto e mais na capacidade de tornar executável, em ambiente web, um núcleo paramétrico explícito e criticável.</w:t>
      </w:r>
    </w:p>
    <w:p>
      <w:pPr>
        <w:pStyle w:val="Heading3"/>
        <w:bidi w:val="0"/>
        <w:jc w:val="left"/>
        <w:rPr/>
      </w:pPr>
      <w:r>
        <w:rPr/>
        <w:t>5.4 Estrutura funcional da plataforma</w:t>
      </w:r>
    </w:p>
    <w:p>
      <w:pPr>
        <w:pStyle w:val="Normal"/>
        <w:bidi w:val="0"/>
        <w:jc w:val="left"/>
        <w:rPr/>
      </w:pPr>
      <w:r>
        <w:rPr/>
        <w:t>A estrutura funcional da plataforma organiza-se em um conjunto de módulos interligados que suportam o ciclo completo de configuração paramétrica: seleção do modelo, introdução e edição de parâmetros, visualização tridimensional, sugestões assistidas por IA, gestão de configurações e administração multiutilizador. Esta organização modular não serve apenas para distribuir funcionalidades; também torna o processo de personalização legível e sequencial. 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feedback com decisão (Ozdemir et al., 2022 (#ref-ozdemir-2022); Peixoto et al., 2025 (#ref-peixoto-2025)).</w:t>
      </w:r>
    </w:p>
    <w:p>
      <w:pPr>
        <w:pStyle w:val="Normal"/>
        <w:bidi w:val="0"/>
        <w:jc w:val="left"/>
        <w:rPr/>
      </w:pPr>
      <w:r>
        <w:rPr/>
        <w:t>A Figura 5.2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está na demonstração de que a parametrização ganha valor quando é mediada por uma interface capaz de ser usada por profissionais que não são necessariamente modeladores CAD avançados (Li &amp; Aflatoony, 2025 (#ref-li-aflatoony-2025)).</w:t>
      </w:r>
    </w:p>
    <w:p>
      <w:pPr>
        <w:pStyle w:val="Normal"/>
        <w:bidi w:val="0"/>
        <w:jc w:val="left"/>
        <w:rPr/>
      </w:pPr>
      <w:r>
        <w:rPr/>
        <w:drawing>
          <wp:inline distT="0" distB="0" distL="0" distR="0">
            <wp:extent cx="5715000" cy="4657725"/>
            <wp:effectExtent l="0" t="0" r="0" b="0"/>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a:picLocks noChangeAspect="1" noChangeArrowheads="1"/>
                    </pic:cNvPicPr>
                  </pic:nvPicPr>
                  <pic:blipFill>
                    <a:blip r:embed="rId22"/>
                    <a:stretch>
                      <a:fillRect/>
                    </a:stretch>
                  </pic:blipFill>
                  <pic:spPr bwMode="auto">
                    <a:xfrm>
                      <a:off x="0" y="0"/>
                      <a:ext cx="5715000" cy="4657725"/>
                    </a:xfrm>
                    <a:prstGeom prst="rect">
                      <a:avLst/>
                    </a:prstGeom>
                    <a:noFill/>
                  </pic:spPr>
                </pic:pic>
              </a:graphicData>
            </a:graphic>
          </wp:inline>
        </w:drawing>
      </w:r>
    </w:p>
    <w:p>
      <w:pPr>
        <w:pStyle w:val="Normal"/>
        <w:bidi w:val="0"/>
        <w:jc w:val="left"/>
        <w:rPr/>
      </w:pPr>
      <w:r>
        <w:rPr/>
        <w:t>Figura 5.2 — Ferramenta paramétrica para configuração de ajudas técnicas com variação de dimensões, materiais e peso.</w:t>
      </w:r>
    </w:p>
    <w:p>
      <w:pPr>
        <w:pStyle w:val="Normal"/>
        <w:bidi w:val="0"/>
        <w:jc w:val="left"/>
        <w:rPr/>
      </w:pPr>
      <w:r>
        <w:rPr/>
        <w:t>Fonte original (APA 7):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pPr>
      <w:r>
        <w:rPr/>
        <w:t>O ponto de entrada do sistema é o módulo de seleção de modelos. Cada modelo é descrito por um ficheiro de configuração que inclui o identificador, a descrição, o ficheiro OpenSCAD associado e a lista de parâmetros editáveis. A partir dessa estrutura, a interface consegue gerar dinamicamente os controlos de edição necessários, como sliders, campos numéricos, caixas de seleção ou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STL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pPr>
      <w:r>
        <w:rPr/>
        <w:t>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human-in-the-loop assumida no projeto.</w:t>
      </w:r>
    </w:p>
    <w:p>
      <w:pPr>
        <w:pStyle w:val="Normal"/>
        <w:bidi w:val="0"/>
        <w:jc w:val="left"/>
        <w:rPr/>
      </w:pPr>
      <w:r>
        <w:rPr/>
        <w:t>A evolução posterior do módulo acrescentou uma ancoragem opcional em dados populacionais. Quando o frontend envia a descrição do paciente e o identificador do modelo, o servidor procura o perfil antropométrico populacional mais próximo, considerando atributos como sexo, idade aproximada e país, e projeta as médias desse perfil sobre os parâmetros disponíveis no modelo ativo. O bloco de referência é então anexado ao pedido enviado à IA como prior mensurável, sem se sobrepor a medições diretamente fornecidas pelo utilizador. Esta solução reforça a continuidade entre três caminhos da plataforma: seleção manual de uma baseline populacional, importação de perfis antropométricos e sugestão assistida por IA.</w:t>
      </w:r>
    </w:p>
    <w:p>
      <w:pPr>
        <w:pStyle w:val="Normal"/>
        <w:bidi w:val="0"/>
        <w:jc w:val="left"/>
        <w:rPr/>
      </w:pPr>
      <w:r>
        <w:rPr/>
        <w:t>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Funcionalmente, este módulo transforma a configuração de um ato momentâneo numa sequência acumulativa e rastreável,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pPr>
      <w:r>
        <w:rP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 A sua presença confirma que a estrutura funcional da plataforma não se esgota na manipulação de parâmetros e na visualização de formas; inclui também a gestão das relações entre agentes, das responsabilidades e dos níveis de intervenção. Neste sentido, a aplicação obtém sugestões paramétricas através do servidor, que se comunica com serviços externos por intermédio de um proxy seguro¹, mas enquadra essa capacidade dentro de uma estrutura funcional mais ampla, em que configuração, supervisão e persistência coexistem como partes de um mesmo sistema operativo.</w:t>
      </w:r>
    </w:p>
    <w:p>
      <w:pPr>
        <w:pStyle w:val="Normal"/>
        <w:bidi w:val="0"/>
        <w:jc w:val="left"/>
        <w:rPr/>
      </w:pPr>
      <w:r>
        <w:rPr/>
        <w:t xml:space="preserve">¹ </w:t>
      </w:r>
      <w:r>
        <w:rPr/>
        <w:t>Entende-se por proxy seguro uma camada intermédia de comunicação que permite ao servidor gerir os pedidos enviados a serviços externos, protegendo credenciais sensíveis, controlando o acesso e reduzindo a exposição direta da aplicação a sistemas externos.</w:t>
      </w:r>
    </w:p>
    <w:p>
      <w:pPr>
        <w:pStyle w:val="Normal"/>
        <w:bidi w:val="0"/>
        <w:jc w:val="left"/>
        <w:rPr/>
      </w:pPr>
      <w:r>
        <w:rPr/>
        <w:t>A biblioteca de modelos integrada na plataforma confirma esta lógica modular. Em vez de tratar a prótese como um único ficheiro estático, o sistema organiza diferentes famílias de mãos protésicas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pPr>
      <w:r>
        <w:rPr/>
        <w:t>No caso do Paraglider Hand, também conhecido como Flexible Flyer, a integração partiu de uma mão mecânica acionada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pPr>
      <w:r>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pPr>
      <w:r>
        <w:rP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pPr>
      <w:r>
        <w:rPr/>
        <w:t>Em conjunto, estes casos mostram que a escalabilidade da plataforma depende menos da quantidade de modelos disponíveis e mais da existência de uma gramática comum de integração. Cada nova mão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Heading3"/>
        <w:bidi w:val="0"/>
        <w:jc w:val="left"/>
        <w:rPr/>
      </w:pPr>
      <w:r>
        <w:rPr/>
        <w:t>5.5 Gestão de parâmetros, versões e escalabilidade</w:t>
      </w:r>
    </w:p>
    <w:p>
      <w:pPr>
        <w:pStyle w:val="Normal"/>
        <w:bidi w:val="0"/>
        <w:jc w:val="left"/>
        <w:rPr/>
      </w:pPr>
      <w:r>
        <w:rPr/>
        <w:t>A gestão de parâmetros constitui uma das condições centrais para transformar um modelo paramétrico em 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t>Ao descrever os parâmetros em estruturas independentes do código geométrico principal, a plataforma obtém duas vantagens. A primeira é a rastreabilidade: torna-se possível saber quais variáveis são editáveis, quais são os seus intervalos válidos e como se articulam com a interface. A segunda é a reconfigurabilidade do próprio sistema: a adição, remoção ou ajuste de parâmetros pode ser realizada sem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w:t>
      </w:r>
    </w:p>
    <w:p>
      <w:pPr>
        <w:pStyle w:val="Normal"/>
        <w:bidi w:val="0"/>
        <w:jc w:val="left"/>
        <w:rPr/>
      </w:pPr>
      <w:r>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Embora esta solução ainda não corresponda a um sistema de versionamento completo nos moldes tradicionais do desenvolvimento de software, já suporta uma função projetualmente relevante: acompanhar o processo iterativo de configuração, preservar variantes e permitir a comparação entre estados sucessivos do mesmo artefacto. Cada configuração registada pode, assim, ser entendida como uma instância rastreável do processo de personalização, e não apenas como um ficheiro transitório. Esta capacidade é particularmente importante num contexto em que a personalização não é um ato único, mas uma sequência de aproximações, testes e revisões.</w:t>
      </w:r>
    </w:p>
    <w:p>
      <w:pPr>
        <w:pStyle w:val="Normal"/>
        <w:bidi w:val="0"/>
        <w:jc w:val="left"/>
        <w:rPr/>
      </w:pPr>
      <w:r>
        <w:rPr/>
        <w:t>Do ponto de vista funcional, a persistência dessas configurações em estruturas JSON associadas a modelos e utilizadores reforça a continuidade entre interação, revisão e reutilização. O sistema deixa de operar apenas em tempo real e passa a acumular histórico operativo, possibilitando retomar soluções anteriores, documentar alternativas exploradas e preparar comparações futuras entre versões. Esta forma de versionamento prático é coerente com o caráter prototípico da plataforma: ainda não pretende substituir mecanismos mais sofisticados de gestão de revisões, mas fornece uma base suficiente para sustentar o acompanhamento iterativo do desenvolvimento e a análise reflexiva do processo.</w:t>
      </w:r>
    </w:p>
    <w:p>
      <w:pPr>
        <w:pStyle w:val="Normal"/>
        <w:bidi w:val="0"/>
        <w:jc w:val="left"/>
        <w:rPr/>
      </w:pPr>
      <w:r>
        <w:rPr/>
        <w:t>Quanto à escalabilidade, a plataforma beneficia de uma arquitetura modular e orientada para configuração. A separação entre modelos, parâmetros, interface, autenticação e persistência permite acrescentar novos modelos em OpenSCAD, novos tipos de parâmetros ou novas rotinas de apoio sem reestruturar integralmente a aplicação. Na prática, a introdução de um novo modelo exige sobretudo a adição do ficheiro .scad correspondente e o respetivo registo em models-config.json, o que evidencia uma forma de escalabilidade baseada menos na duplicação de código e mais na extensão configurável.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pPr>
      <w:r>
        <w:rPr/>
        <w:t>Todavia, esta escalabilidade deve ser analisada criticamente. O recurso ao SQLite é adequado a um protótipo funcional com baixa ou média concorrência, mas poderá revelar limitações em cenários de utilização mais intensiva, com múltiplos utilizadores simultâneos, maior volume de configurações ou necessidades mais exigentes de auditoria e sincronização. De forma semelhante, a renderização local via WASM, embora eficaz em muitos contextos, depende do desempenho do dispositivo do utilizador, o que introduz variabilidade na experiência e impõe limites ao crescimento indiscriminado da complexidade geométrica. Assim, a escalabilidade da plataforma não pode ser reduzida à possibilidade de adicionar funcionalidades ou modelos; envolve também a capacidade de sustentar esse crescimento sem perder legibilidade, desempenho, segurança e manutenibilidade.</w:t>
      </w:r>
    </w:p>
    <w:p>
      <w:pPr>
        <w:pStyle w:val="Normal"/>
        <w:bidi w:val="0"/>
        <w:jc w:val="left"/>
        <w:rPr/>
      </w:pPr>
      <w:r>
        <w:rPr/>
        <w:t>Neste sentido, a secção confirma uma conclusão importante para o projeto: a gestão de parâmetros, de configurações e de expansão futura deve ser entendida como parte integrante da própria lógica de design da plataforma. Não se trata apenas de resolver problemas infraestruturais posteriores, mas de reconhecer que a configurabilidade, a persistência e o crescimento controlado são condições para que a personalização paramétrica permaneça tecnicamente viável e metodologicamente rastreável ao longo do desenvolvimento.</w:t>
      </w:r>
    </w:p>
    <w:p>
      <w:pPr>
        <w:pStyle w:val="Normal"/>
        <w:pBdr>
          <w:bottom w:val="single" w:sz="6" w:space="1" w:color="808080"/>
        </w:pBdr>
        <w:bidi w:val="0"/>
        <w:jc w:val="left"/>
        <w:rPr/>
      </w:pPr>
      <w:r>
        <w:rPr/>
      </w:r>
    </w:p>
    <w:p>
      <w:pPr>
        <w:pStyle w:val="Heading2"/>
        <w:bidi w:val="0"/>
        <w:jc w:val="left"/>
        <w:rPr/>
      </w:pPr>
      <w:r>
        <w:rPr/>
        <w:t>Capítulo 6 — Integração da Inteligência Artificial</w:t>
      </w:r>
    </w:p>
    <w:p>
      <w:pPr>
        <w:pStyle w:val="Heading3"/>
        <w:bidi w:val="0"/>
        <w:jc w:val="left"/>
        <w:rPr/>
      </w:pPr>
      <w:r>
        <w:rPr/>
        <w:t>6.1 Papel da IA no sistema proposto</w:t>
      </w:r>
    </w:p>
    <w:p>
      <w:pPr>
        <w:pStyle w:val="Normal"/>
        <w:bidi w:val="0"/>
        <w:jc w:val="left"/>
        <w:rPr/>
      </w:pPr>
      <w:r>
        <w:rPr/>
        <w:t>A integração da inteligência artificial no sistema proposto deve ser enquadrada com precisão. A literatura recente mostra que a IA já ocupa um lugar relevante no domínio das próteses, mas esse lugar permanece concentrado sobretudo em tarefas de controlo, interpretação de biosinais, reconhecimento de gestos e adaptação funcional, e menos na estruturação integral de fluxos de personalização paramétrica. Revisões sobre próteses de membro superior e sobre próteses e ortóteses indicam que a aprendizagem automática é aplicada principalmente à classificação de sinais EMG, à inferência de intenção motora e à melhoria do desempenho operativo do dispositivo (Choo e Chang, 2023; Terrazas-Rodas e Carrión-Pérez, 2022; Hachoumi, Laabidi e Eddabbah, 2026; Batista, Vieira e Gaspar, 2025). Em contrapartida, continuam pouco consolidadas as abordagens que articulam, no mesmo sistema, a entrada antropométrica, o modelo paramétrico explícito, a sugestão assistida de parâmetros e a supervisão técnica. Esta lacuna é central para a presente investigação, pois permite situar a proposta não como repetição do estado da arte, mas como tentativa de ligação entre componentes que a literatura tende a desenvolver de forma fragmentada.</w:t>
      </w:r>
    </w:p>
    <w:p>
      <w:pPr>
        <w:pStyle w:val="Normal"/>
        <w:bidi w:val="0"/>
        <w:jc w:val="left"/>
        <w:rPr/>
      </w:pPr>
      <w:r>
        <w:rPr/>
        <w:t>Neste enquadramento, o papel da IA não consiste em substituir o processo de projeto, a lógica geométrica nem a validação técnica. A sua função é a de uma camada complementar de apoio à configuração, operando sobre uma base paramétrica já definida.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Estudos sobre próteses paramétricas para diferentes níveis de amputação da mão, sobre customização de dedos protésicos por modelação paramétrica e sobre sockets personalizados para próteses transradiais demonstram que a personalização pode ser estruturada por meio de modelos explícitos e fluxos CAD/CAM ajustáveis (da Silveira Romero et al., 2025 (#ref-da-silveira-romero-2025); Lim et al., 2018 (#ref-lim-2018); Saldarriaga et al., 2024 (#ref-saldarriaga-2024)). O sistema aqui proposto parte precisamente desta premissa: a geometria não é gerada de forma opaca por um modelo autónomo, mas sim por um modelo paramétrico explícito, definido em OpenSCAD e manipulável por meio de parâmetros rastreáveis.</w:t>
      </w:r>
    </w:p>
    <w:p>
      <w:pPr>
        <w:pStyle w:val="Normal"/>
        <w:bidi w:val="0"/>
        <w:jc w:val="left"/>
        <w:rPr/>
      </w:pPr>
      <w:r>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abordagens data-driven orientadas a melhorar a adaptação, o conforto e a adequação estrutural, sem eliminar a necessidade de interpretação humana (Gu et al., 2024 (#ref-gu-2024)). Em termos projetuais, a IA funciona como instrumento de apoio à decisão e à iteração: propõe pontos de partida, ajuda a comparar cenários e acelera os ciclos de teste, sem substituir a estrutura técnica do sistema. Entre os antecedentes mais próximos desta lógica encontram-se trabalhos que combinam personalização anatómica, modelação paramétrica, fabrico aditivo e componentes inteligentes, como o estudo de Romero et al. (2025) (#ref-da-silveira-romero-2025), bem como quadros de otimização estrutural orientados por dados anatómicos e constrangimentos de adaptação, como o proposto por Gu et al. (2024) (#ref-gu-2024).</w:t>
      </w:r>
    </w:p>
    <w:p>
      <w:pPr>
        <w:pStyle w:val="Normal"/>
        <w:bidi w:val="0"/>
        <w:jc w:val="left"/>
        <w:rPr/>
      </w:pPr>
      <w:r>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a rastreabilidade entre a entrada, a sugestão e o resultado geométrico. Em vez de encerrar o processo num modelo generativo pouco transparente, o sistema mantém a IA numa posição assistiva e supervisionada: sugere, mas não determina autonomamente; apoia, mas não valida; acelera, mas não substitui o julgamento técnico. Esta opção é particularmente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assim, menos na promessa de automatização total e mais na sua capacidade de reforçar um processo de personalização já estruturado por lógica paramétrica explícita, por requisitos de fabrico e por responsabilidade humana.</w:t>
      </w:r>
    </w:p>
    <w:p>
      <w:pPr>
        <w:pStyle w:val="Heading3"/>
        <w:bidi w:val="0"/>
        <w:jc w:val="left"/>
        <w:rPr/>
      </w:pPr>
      <w:r>
        <w:rPr/>
        <w:t>6.2 IA na parametrização, personalização e apoio à decisão</w:t>
      </w:r>
    </w:p>
    <w:p>
      <w:pPr>
        <w:pStyle w:val="Normal"/>
        <w:bidi w:val="0"/>
        <w:jc w:val="left"/>
        <w:rPr/>
      </w:pPr>
      <w:r>
        <w:rPr/>
        <w:t>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Neste enquadramento, a IA não elimina a lógica determinística do modelo paramétrico; antes, aumenta a sua operabilidade, ajudando a propor intervalos plausíveis, combinações coerentes entre variáveis e pontos de partida mais ajustados ao caso específico.</w:t>
      </w:r>
    </w:p>
    <w:p>
      <w:pPr>
        <w:pStyle w:val="Normal"/>
        <w:bidi w:val="0"/>
        <w:jc w:val="left"/>
        <w:rPr/>
      </w:pPr>
      <w:r>
        <w:rPr/>
        <w:t>No plano da personalização, esta mediação é importante porque a adaptação de uma prótese não se reduz ao escalonamento uniforme da forma. A literatura indica que diferentes parâmetros podem ter de ser controlados de forma independente para respeitar as proporções anatómicas, o conforto, a mobilidade e os requisitos de montagem. O estudo de Lim et al. (2018) (#ref-lim-2018), por exemplo, demonstra que o comprimento e a largura de um dedo protésico não devem ser ajustados como se fossem variáveis que variam de forma linear e proporcional, reforçando a necessidade de parametrizações mais finas do que simples operações de escala. De forma convergente, Gu et al. (2024) (#ref-gu-2024) mostram que abordagens data-driven podem apoiar a adaptação estrutural e a melhoria da vestibilidade, sugerindo que métodos inteligentes podem ser úteis para antecipar as relações entre geometria, desempenho e conforto. Para o sistema proposto, isto significa que a IA pode funcionar como uma camada de inferência preliminar sobre um espaço paramétrico já estruturado, e não como um gerador autónomo de soluções.</w:t>
      </w:r>
    </w:p>
    <w:p>
      <w:pPr>
        <w:pStyle w:val="Normal"/>
        <w:bidi w:val="0"/>
        <w:jc w:val="left"/>
        <w:rPr/>
      </w:pPr>
      <w:r>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pPr>
      <w:r>
        <w:rPr/>
        <w:t>No protótipo implementado, esta separação é materializada pela construção dinâmica do pedido enviado ao modelo de linguagem. O pedido inclui a descrição livre do paciente,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bidi w:val="0"/>
        <w:jc w:val="left"/>
        <w:rPr/>
      </w:pPr>
      <w:r>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pPr>
      <w:r>
        <w:rPr/>
        <w:t>É por isso que, nesta investigação, a personalização assistida por IA deve ser entendida como uma prática de human-in-the-loop. O sistema não procura substituir o protésico, o designer ou o utilizador informado, mas sim ampliar a sua capacidade de análise e de exploração. A IA pode sugerir configurações iniciais, organizar alternativas, sinalizar dependências entre parâmetros e tornar mais legíveis certas consequências projetuais; a aceitação final, porém, continua dependente de verificação técnica e de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Heading3"/>
        <w:bidi w:val="0"/>
        <w:jc w:val="left"/>
        <w:rPr/>
      </w:pPr>
      <w:r>
        <w:rPr/>
        <w:t>6.3 Validação antropométrica assistida por IA no sistema</w:t>
      </w:r>
    </w:p>
    <w:p>
      <w:pPr>
        <w:pStyle w:val="Normal"/>
        <w:bidi w:val="0"/>
        <w:jc w:val="left"/>
        <w:rPr/>
      </w:pPr>
      <w:r>
        <w:rPr/>
        <w:t>A validação antropométrica assistida por IA realizada no sistema deve ser entendida como validação interna de plausibilidade e de coerência paramétrica, não como validação clínica da prótese final. O objetivo foi verificar se uma pessoa sem conhecimento técnico de medições da mão poderia descrever um caso em linguagem comum e obter, como ponto de partida, um conjunto de parâmetros anatómica e tecnicamente plausível para o modelo Flexy Beast. Esta distinção é metodologicamente essencial: a plataforma consegue testar conformidade com o esquema, intervalos declarados, proporcionalidade digital e coerência de lateralidade, mas não consegue, por si só, provar conforto, segurança, desempenho funcional ou adequação terapêutica.</w:t>
      </w:r>
    </w:p>
    <w:p>
      <w:pPr>
        <w:pStyle w:val="Normal"/>
        <w:bidi w:val="0"/>
        <w:jc w:val="left"/>
        <w:rPr/>
      </w:pPr>
      <w:r>
        <w:rPr/>
        <w:t>O ensaio foi estruturado a partir da cadeia funcional implementada na plataforma: descrição livre do caso, construção do pedido no frontend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pPr>
      <w:r>
        <w:rPr/>
        <w:t>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O terceiro foi a plausibilidade adulta, usando como referência os intervalos antropométricos canónicos já adotados no sistema. O quarto foi a adequação etária, sobretudo em perfis infantis ou adolescentes. O quinto foi a lateralidade em casos de amputação unilateral, verificando se o parâmetro de espelhamento produzia a mão do lado amputado e não uma cópia do lado medido.</w:t>
      </w:r>
    </w:p>
    <w:p>
      <w:pPr>
        <w:pStyle w:val="Normal"/>
        <w:bidi w:val="0"/>
        <w:jc w:val="left"/>
        <w:rPr/>
      </w:pPr>
      <w:r>
        <w:rPr/>
        <w:t>O primeiro conjunto experimental usou cinco perfis sintéticos descritos apenas por indicadores populacionais indiretos, como idade, sexo, altura, peso, país, envergadura ou constituição física, sem qualquer medição direta da mão. Este cenário é relevante porque corresponde ao caso de menor literacia técnica: o utilizador não sabe medir a mão com rigor, mas consegue fornecer informação demográfica geral. Nas cinco situações, a IA produziu valores dentro dos limites do modelo, manteve a ordem anatómica dos dedos e gerou dimensões compatíveis com a idade e a constituição descritas. A redução espontânea de parâmetros de hardware num perfil infantil também mostrou que o modelo de linguagem usou as legendas do esquema, e não apenas os nomes técnicos dos parâmetros.</w:t>
      </w:r>
    </w:p>
    <w:p>
      <w:pPr>
        <w:pStyle w:val="Normal"/>
        <w:bidi w:val="0"/>
        <w:jc w:val="left"/>
        <w:rPr/>
      </w:pPr>
      <w:r>
        <w:rPr/>
        <w:t>O segundo conjunto experimental avaliou três níveis de riqueza de entrada em cenários de amputação unilateral. Num caso com medições completas da mão intacta, os valores fornecidos foram preservados de forma literal e o sistema sugeriu a mão oposta. 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Este resultado é relevante porque mostra que a IA consegue degradar o comportamento de forma gradual: usa medições diretas quando existem, ancora estimativas em dados parciais e recorre a normas populacionais quando só há descrição geral.</w:t>
      </w:r>
    </w:p>
    <w:p>
      <w:pPr>
        <w:pStyle w:val="Normal"/>
        <w:bidi w:val="0"/>
        <w:jc w:val="left"/>
        <w:rPr/>
      </w:pPr>
      <w:r>
        <w:rPr/>
        <w:t>Numa etapa posterior, a validação foi prolongada para além da resposta numérica, acompanhando o percurso completo até à exportação STL. Esta verificação intermodelos aplicou descrições de pacientes a três mãos ativas na plataforma — Flexy Beast, Paraglider Hand e UnLimbited Phoenix —, acionou o fluxo real de sugestão por IA, aplicou os parâmetros, exportou as geometrias e mediu as malhas resultantes. O objetivo desta etapa foi confirmar se a coerência paramétrica observada no JSON chegava efetivamente à geometria imprimível e se diferentes modelos respondiam de forma previsível aos mesmos perfis antropométricos.</w:t>
      </w:r>
    </w:p>
    <w:p>
      <w:pPr>
        <w:pStyle w:val="Normal"/>
        <w:bidi w:val="0"/>
        <w:jc w:val="left"/>
        <w:rPr/>
      </w:pPr>
      <w:r>
        <w:rPr/>
        <w:t>Os resultados devem, contudo, ser lidos com cautela. A execução documentada corresponde a uma amostra representativa, não a uma caracterização estatística completa da distribuição de saídas. A repetição do mesmo perfil produziu variações pequenas, na ordem de poucos milímetros, preservando os invariantes anatómicos e os limites do modelo; ainda assim, essa variabilidade confirma que a componente de IA é estocástica. Também se observou uma forma de variabilidade estrutural: em algumas execuções, certos parâmetros de hardware foram emitidos explicitamente; noutras, foram omitidos, deixando o valor corrente do modelo. Ambas as respostas são aceitáveis no contrato atual, mas reforçam a necessidade de avaliar propriedades invariantes, e não valores exatos isolados.</w:t>
      </w:r>
    </w:p>
    <w:p>
      <w:pPr>
        <w:pStyle w:val="Normal"/>
        <w:bidi w:val="0"/>
        <w:jc w:val="left"/>
        <w:rPr/>
      </w:pPr>
      <w:r>
        <w:rPr/>
        <w:t xml:space="preserve">A principal fragilidade identificada nas validações posteriores prende-se com a lateralidade. Embora os primeiros ensaios de amputação unilateral tenham produzido o lado correto, a verificação UCD com pedidos explícitos de mão esquerda mostrou que a IA tendia a emitir sistematicamente o valor correspondente à mão direita. Esta falha foi tratada como risco de segurança e corrigida na arquitetura: a lateralidade passou a ser uma escolha determinística da interface, marcada nos parâmetros com </w:t>
      </w:r>
      <w:r>
        <w:rPr>
          <w:rFonts w:ascii="Consolas" w:hAnsi="Consolas"/>
          <w:sz w:val="20"/>
        </w:rPr>
        <w:t>role: "laterality"</w:t>
      </w:r>
      <w:r>
        <w:rPr/>
        <w:t>, excluída da lista de valores sugeridos pela IA, injetada no pedido como facto fixo e descartada defensivamente caso surja na resposta do modelo. Assim, o lado da prótese deixa de depender de inferência linguística e passa a ser uma restrição controlada pelo sistema.</w:t>
      </w:r>
    </w:p>
    <w:p>
      <w:pPr>
        <w:pStyle w:val="Normal"/>
        <w:bidi w:val="0"/>
        <w:jc w:val="left"/>
        <w:rPr/>
      </w:pPr>
      <w:r>
        <w:rPr/>
        <w:t>A principal conclusão desta validação é que a IA pode cumprir uma função útil de acessibilidade paramétrica: transformar descrições incompletas e não técnicas em pontos de partida editáveis, coerentes e auditáveis. No entanto, a sua utilidade depende da arquitetura que a contém. A sugestão só é metodologicamente defensável porque está ancorada no esquema do modelo, limitada por intervalos, filtrada pela interface e sujeita a revisão humana. 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Heading3"/>
        <w:bidi w:val="0"/>
        <w:jc w:val="left"/>
        <w:rPr/>
      </w:pPr>
      <w:r>
        <w:rPr/>
        <w:t>6.4 Ajuste, validação e limitações éticas e técnicas</w:t>
      </w:r>
    </w:p>
    <w:p>
      <w:pPr>
        <w:pStyle w:val="Normal"/>
        <w:bidi w:val="0"/>
        <w:jc w:val="left"/>
        <w:rPr/>
      </w:pPr>
      <w:r>
        <w:rPr/>
        <w:t>A introdução de IA num sistema deste tipo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Por essa razão, as saídas da IA devem ser entendidas como hipóteses operativas sujeitas a validação posterior, e não como prescrições definitivas.</w:t>
      </w:r>
    </w:p>
    <w:p>
      <w:pPr>
        <w:pStyle w:val="Normal"/>
        <w:bidi w:val="0"/>
        <w:jc w:val="left"/>
        <w:rPr/>
      </w:pPr>
      <w:r>
        <w:rPr/>
        <w:t>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Assim, a integração robusta da IA depende da existência de salvaguardas no próprio sistema: limites paramétricos, validação de intervalos, verificação de coerência entre módulos, comparação entre alternativas e supervisão humana capaz de identificar quando uma sugestão é tecnicamente infundada ou insuficientemente justificada. Esta necessidade de enquadramento crítico é coerente com a literatura sobre explicabilidade e responsabilidade no design assistido por IA, que sublinha a importância de não tratar o modelo algorítmico como uma caixa-preta autojustificada (Panchal et al., 2019 (#ref-panchal-2019); Yüksel et al., 2023 (#ref-yuksel-2023)).</w:t>
      </w:r>
    </w:p>
    <w:p>
      <w:pPr>
        <w:pStyle w:val="Normal"/>
        <w:bidi w:val="0"/>
        <w:jc w:val="left"/>
        <w:rPr/>
      </w:pPr>
      <w:r>
        <w:rPr/>
        <w:t>A Figura 6.1 sintetiza esta tensão entre desafios de explicabilidade e princípios de IA responsável. No contexto desta investigação, a figura é útil porque torna explícito que a responsabilidade não depende apenas de desempenho preditivo, mas de condições como transparência, auditabilidade, privacidade, justiça e prestação de contas. Estes princípios reforçam a opção do sistema por uma IA assistiva, limitada por regras e sujeita a revisão humana (Barredo Arrieta et al., 2020 (#ref-arrieta-2020)).</w:t>
      </w:r>
    </w:p>
    <w:p>
      <w:pPr>
        <w:pStyle w:val="Normal"/>
        <w:bidi w:val="0"/>
        <w:jc w:val="left"/>
        <w:rPr/>
      </w:pPr>
      <w:r>
        <w:rPr/>
        <w:drawing>
          <wp:inline distT="0" distB="0" distL="0" distR="0">
            <wp:extent cx="5715000" cy="2000250"/>
            <wp:effectExtent l="0" t="0" r="0" b="0"/>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a:picLocks noChangeAspect="1" noChangeArrowheads="1"/>
                    </pic:cNvPicPr>
                  </pic:nvPicPr>
                  <pic:blipFill>
                    <a:blip r:embed="rId23"/>
                    <a:stretch>
                      <a:fillRect/>
                    </a:stretch>
                  </pic:blipFill>
                  <pic:spPr bwMode="auto">
                    <a:xfrm>
                      <a:off x="0" y="0"/>
                      <a:ext cx="5715000" cy="2000250"/>
                    </a:xfrm>
                    <a:prstGeom prst="rect">
                      <a:avLst/>
                    </a:prstGeom>
                    <a:noFill/>
                  </pic:spPr>
                </pic:pic>
              </a:graphicData>
            </a:graphic>
          </wp:inline>
        </w:drawing>
      </w:r>
    </w:p>
    <w:p>
      <w:pPr>
        <w:pStyle w:val="Normal"/>
        <w:bidi w:val="0"/>
        <w:jc w:val="left"/>
        <w:rPr/>
      </w:pPr>
      <w:r>
        <w:rPr/>
        <w:t>Figura 6.1 — Relação entre desafios de explicabilidade e princípios de IA responsável.</w:t>
      </w:r>
    </w:p>
    <w:p>
      <w:pPr>
        <w:pStyle w:val="Normal"/>
        <w:bidi w:val="0"/>
        <w:jc w:val="left"/>
        <w:rPr/>
      </w:pPr>
      <w:r>
        <w:rPr/>
        <w:t>Fonte original (APA 7):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pPr>
      <w:r>
        <w:rPr/>
        <w:t>As limitações éticas são igualmente centrais. Num domínio associado a dispositivos personalizados e potencialmente sensíveis, importa evitar a recolha excessiva de dados, a exposição desnecessária de informação pessoal e a falsa perceção de objetividade algorítmica. Mesmo quando o sistema trabalha com dados antropométricos não clínicos ou em cenários experimentais, a sua arquitetura deve assumir princípios de minimização de dados, controlo de acesso e transparência quanto ao papel efetivo da IA. O utilizador deve compreender que está perante um sistema de apoio à decisão e não perante uma autoridade clínica autónoma. Esta clareza é essencial para evitar deslocamentos indevidos de responsabilidade e definir corretamente o escopo da ferramenta.</w:t>
      </w:r>
    </w:p>
    <w:p>
      <w:pPr>
        <w:pStyle w:val="Normal"/>
        <w:bidi w:val="0"/>
        <w:jc w:val="left"/>
        <w:rPr/>
      </w:pPr>
      <w:r>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Normal"/>
        <w:pBdr>
          <w:bottom w:val="single" w:sz="6" w:space="1" w:color="808080"/>
        </w:pBdr>
        <w:bidi w:val="0"/>
        <w:jc w:val="left"/>
        <w:rPr/>
      </w:pPr>
      <w:r>
        <w:rPr/>
      </w:r>
    </w:p>
    <w:p>
      <w:pPr>
        <w:pStyle w:val="Heading2"/>
        <w:bidi w:val="0"/>
        <w:jc w:val="left"/>
        <w:rPr/>
      </w:pPr>
      <w:r>
        <w:rPr/>
        <w:t>Capítulo 7 — Interface, Interação e Experiência de Utilização</w:t>
      </w:r>
    </w:p>
    <w:p>
      <w:pPr>
        <w:pStyle w:val="Heading3"/>
        <w:bidi w:val="0"/>
        <w:jc w:val="left"/>
        <w:rPr/>
      </w:pPr>
      <w:r>
        <w:rPr/>
        <w:t>7.1 Estratégia de interação e decisões de UI/UX</w:t>
      </w:r>
    </w:p>
    <w:p>
      <w:pPr>
        <w:pStyle w:val="Normal"/>
        <w:bidi w:val="0"/>
        <w:jc w:val="left"/>
        <w:rPr/>
      </w:pPr>
      <w:r>
        <w:rPr/>
        <w:t>A estratégia de interação da plataforma foi definida a partir de um problema central: tornar utilizável um sistema de modelação paramétrica baseado em código sem expor o utilizador à complexidade direta do OpenSCAD. Em vez de apresentar a lógica algorítmica do modelo como interface principal, a aplicação organiza a interação em torno de ações reconhecíveis e progressivas, como selecionar um modelo, introduzir dados antropométricos, ajustar parâmetros, observar o resultado e guardar versões. Esta opção traduz uma decisão de UI/UX deliberada: a interface não procura ocultar a natureza técnica do sistema, mas reconfigurá-la em operações compreensíveis, sequenciais e verificáveis, em linha com abordagens que privilegiam a clareza do onboarding, a navegação guiada e a redução da carga interpretativa em plataformas de personalização protésica (Colombo et al., 2015 (#ref-colombo-2015); Peixoto et al., 2025 (#ref-peixoto-2025)).</w:t>
      </w:r>
    </w:p>
    <w:p>
      <w:pPr>
        <w:pStyle w:val="Normal"/>
        <w:bidi w:val="0"/>
        <w:jc w:val="left"/>
        <w:rPr/>
      </w:pPr>
      <w:r>
        <w:rPr/>
        <w:t>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feedback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A literatura revisada sugere precisamente que sistemas de configuração mais eficazes tendem a separar a visualização, o ajuste e a validação em camadas de interação mais inteligíveis, quer em plataformas web orientadas ao utilizador final, quer em interfaces destinadas a profissionais de ajuste protésico (Peixoto et al., 2025 (#ref-peixoto-2025); Quintero et al., 2018 (#ref-quintero-2018)).</w:t>
      </w:r>
    </w:p>
    <w:p>
      <w:pPr>
        <w:pStyle w:val="Normal"/>
        <w:bidi w:val="0"/>
        <w:jc w:val="left"/>
        <w:rPr/>
      </w:pPr>
      <w:r>
        <w:rPr/>
        <w:t>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UI/UX,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pPr>
      <w:r>
        <w:rPr/>
        <w:t>Outra decisão relevante diz respeito à articulação entre a edição paramétrica e a pré-visualização. A renderização local via WebAssembly permite que a resposta visual decorra da própria lógica geométrica do sistema, e não de imagens estáticas ou de simplificações visuais desconexas do modelo. 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pPr>
      <w:r>
        <w:rPr/>
        <w:t>Em termos de linguagem visual e de uso, a plataforma privilegia a clareza funcional em relação à exuberância formal. Isto é coerente com o contexto do projeto: trata-se de uma ferramenta de configuração protésica, não de um configurador lúdico ou promocional. Assim, as decisões de UI/UX visam favorecer a legibilidade, a consistência entre os controlos, a previsibilidade das ações e a rastreabilidade das alterações. O valor da interface não reside apenas na aparência, mas na sua capacidade de mediar, com o mínimo de ambiguidade possível, a passagem entre os dados do utilizador, as regras paramétricas, a assistência algorítmica e o resultado tridimensional. Essa necessidade de clareza torna-se ainda mais evidente quando a literatura sobre próteses inteligentes sublinha a importância de equilibrar a autonomia do utilizador, os mecanismos de supervisão e a diferenciação de permissões entre utilizadores e profissionais (Bai et al., 2024 (#ref-bai-2024); Quintero et al., 2018 (#ref-quintero-2018)).</w:t>
      </w:r>
    </w:p>
    <w:p>
      <w:pPr>
        <w:pStyle w:val="Normal"/>
        <w:bidi w:val="0"/>
        <w:jc w:val="left"/>
        <w:rPr/>
      </w:pPr>
      <w:r>
        <w:rPr/>
        <w:t>Deste modo, a estratégia de interação adotada não deve ser lida apenas como um conjunto de escolhas de interface, mas como uma decisão metodológica sobre a forma de tornar o processo de personalização observável, configurável e criticável. A UI/UX participa diretamente na construção do sistema, atuando como infraestrutura de mediação entre o conhecimento técnico, os dados individuais e a decisão projetual. O seu objetivo não é simplificar artificialmente o problema, mas organizar a complexidade de forma inteligível, preservando continuidade com a lógica paramétrica do modelo e com o enquadramento assistivo da IA discutido no capítulo anterior.</w:t>
      </w:r>
    </w:p>
    <w:p>
      <w:pPr>
        <w:pStyle w:val="Heading3"/>
        <w:bidi w:val="0"/>
        <w:jc w:val="left"/>
        <w:rPr/>
      </w:pPr>
      <w:r>
        <w:rPr/>
        <w:t>7.2 Experiência do designer e do utilizador final</w:t>
      </w:r>
    </w:p>
    <w:p>
      <w:pPr>
        <w:pStyle w:val="Normal"/>
        <w:bidi w:val="0"/>
        <w:jc w:val="left"/>
        <w:rPr/>
      </w:pPr>
      <w:r>
        <w:rPr/>
        <w:t>A experiência do designer, técnico ou clínico que utiliza a plataforma distingue-se estruturalmente da do utilizador final, embora ambas se desenvolvam sobre a mesma infraestrutura digital. A literatura analisada sugere que esta diferença não decorre apenas de níveis distintos de literacia técnica, mas também do próprio tipo de decisão que cada agente é chamado a tomar. 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Em contrapartida, quando a configuração incide sobre preferências de controlo, inteligibilidade do sistema ou aspetos estéticos mais diretamente experienciados pelo utilizador, a participação deste torna-se mais substantiva. 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pPr>
      <w:r>
        <w:rPr/>
        <w:t>Para o designer, protésico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Contudo, essa mesma literatura mostra também que a digitalização não aumenta automaticamente a confiança profissional: quando o sistema elimina pistas tácteis, empíricas ou processuais importantes, pode igualmente restringir certas formas de saber prático, como sugere a literatura sobre retificação digital e workflows CAD/CAM.</w:t>
      </w:r>
    </w:p>
    <w:p>
      <w:pPr>
        <w:pStyle w:val="Normal"/>
        <w:bidi w:val="0"/>
        <w:jc w:val="left"/>
        <w:rPr/>
      </w:pPr>
      <w:r>
        <w:rPr/>
        <w:t>Para o utilizador final, por outro lado, a experiência tende a ser mais centrada na compreensibilidade, na confiança e na perceção de participação. Mesmo quando a pessoa não manipula diretamente todos os parâmetros, a possibilidade de visualizar o modelo, reconhecer alterações e acompanhar o processo de personalização torna a configuração menos opaca. A interface ajuda, assim, a transformar essa adaptação de uma decisão técnica distante em um processo parcialmente observável e inteligível. Este aspeto é particularmente relevante num domínio em que a aceitação de uma prótese não depende apenas do desempenho funcional, mas também da perceção de adequação, de participação e de controlo sobre o resultado. A literatura revisada sugere, de forma consistente, que a inteligibilidade da lógica do sistema influencia a experiência de uso: quando o sistema torna mais visíveis os efeitos das ações, os limites das escolhas ou a relação entre input e comportamento, tende a aumentar tanto a capacidade de uso quanto a confiança subjetiva. Plataformas de personalização estética e sistemas com uma visualização mais explícita do espaço de decisão sugerem, precisamente, que a agência do utilizador cresce quando o domínio editável é legível e de baixo risco (Peixoto et al., 2025 (#ref-peixoto-2025)).</w:t>
      </w:r>
    </w:p>
    <w:p>
      <w:pPr>
        <w:pStyle w:val="Normal"/>
        <w:bidi w:val="0"/>
        <w:jc w:val="left"/>
        <w:rPr/>
      </w:pPr>
      <w:r>
        <w:rPr/>
        <w:t>Esta diferenciação torna-se mais clara quando se distinguem três domínios de personalização que a literatura tende a tratar de forma distinta. No primeiro, correspondente à geometria do encaixe e ao ajustamento biomecânico, predomina uma lógica clínica: a pessoa fornece feedback sobre conforto, tolerância ou preferência, mas a decisão permanece concentrada em quem detém competência técnica e responsabilidade pela validação. No segundo, correspondente à personalização do controlo e à afinação de sistemas interativos, a autoridade do utilizador tende a aumentar, porque só ele pode avaliar de forma imediata a sensação de controlo, a carga cognitiva ou a adequação do comportamento do sistema em uso. No terceiro, ligado à personalização estética e identitária, a literatura sugere que a autonomia dessa participação pode ser mais ampla, precisamente porque o risco clínico e biomecânico é menor e o critério de adequação é mais diretamente experienciado pelo próprio. Esta distinção é importante porque impede tratar a “participação do utilizador” como uma categoria homogénea.</w:t>
      </w:r>
    </w:p>
    <w:p>
      <w:pPr>
        <w:pStyle w:val="Normal"/>
        <w:bidi w:val="0"/>
        <w:jc w:val="left"/>
        <w:rPr/>
      </w:pPr>
      <w:r>
        <w:rPr/>
        <w:t>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A literatura recente sobre próteses inteligentes e interfaces configuráveis aponta no mesmo sentido, defendendo modelos de controlo em que parâmetros críticos permanecem sob supervisão profissional, enquanto ajustes mais circunscritos podem tornar-se acessíveis ao utilizador final (Bai et al., 2024 (#ref-bai-2024); Quintero et al., 2018 (#ref-quintero-2018)).</w:t>
      </w:r>
    </w:p>
    <w:p>
      <w:pPr>
        <w:pStyle w:val="Normal"/>
        <w:bidi w:val="0"/>
        <w:jc w:val="left"/>
        <w:rPr/>
      </w:pPr>
      <w:r>
        <w:rPr/>
        <w:t>A Figura 7.1 ilustra a importância de observar a experiência em uso, e não apenas a configuração abstrata do dispositivo. O teste com utilizador permite identificar problemas de acoplamento, ativação, conforto e adequação funcional que não emergem de forma suficiente no modelo digital. Para esta investigação, a imagem funciona como lembrete metodológico: a plataforma pode tornar o processo mais legível e configurável, mas a experiência situada continua a ser indispensável para validação futura (Silva et al., 2018 (#ref-silva-alcara-2018)).</w:t>
      </w:r>
    </w:p>
    <w:p>
      <w:pPr>
        <w:pStyle w:val="Normal"/>
        <w:bidi w:val="0"/>
        <w:jc w:val="left"/>
        <w:rPr/>
      </w:pPr>
      <w:r>
        <w:rPr/>
        <w:drawing>
          <wp:inline distT="0" distB="0" distL="0" distR="0">
            <wp:extent cx="5038725" cy="4724400"/>
            <wp:effectExtent l="0" t="0" r="0" b="0"/>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a:picLocks noChangeAspect="1" noChangeArrowheads="1"/>
                    </pic:cNvPicPr>
                  </pic:nvPicPr>
                  <pic:blipFill>
                    <a:blip r:embed="rId24"/>
                    <a:stretch>
                      <a:fillRect/>
                    </a:stretch>
                  </pic:blipFill>
                  <pic:spPr bwMode="auto">
                    <a:xfrm>
                      <a:off x="0" y="0"/>
                      <a:ext cx="5038725" cy="4724400"/>
                    </a:xfrm>
                    <a:prstGeom prst="rect">
                      <a:avLst/>
                    </a:prstGeom>
                    <a:noFill/>
                  </pic:spPr>
                </pic:pic>
              </a:graphicData>
            </a:graphic>
          </wp:inline>
        </w:drawing>
      </w:r>
    </w:p>
    <w:p>
      <w:pPr>
        <w:pStyle w:val="Normal"/>
        <w:bidi w:val="0"/>
        <w:jc w:val="left"/>
        <w:rPr/>
      </w:pPr>
      <w:r>
        <w:rPr/>
        <w:t>Figura 7.1 — Teste de uma prótese impressa em 3D com utilizador em contexto aplicado.</w:t>
      </w:r>
    </w:p>
    <w:p>
      <w:pPr>
        <w:pStyle w:val="Normal"/>
        <w:bidi w:val="0"/>
        <w:jc w:val="left"/>
        <w:rPr/>
      </w:pPr>
      <w:r>
        <w:rPr/>
        <w:t>Fonte original (APA 7): Silva, L. A. da, Medola, F. O., Rodrigues, O. V., Rodrigues, A. C. T., &amp; Sandnes, F. E. (2018). Interdisciplinary-based development of user-friendly customized 3D printed upper limb prosthesis. Comunicação em conferência.</w:t>
      </w:r>
    </w:p>
    <w:p>
      <w:pPr>
        <w:pStyle w:val="Normal"/>
        <w:bidi w:val="0"/>
        <w:jc w:val="left"/>
        <w:rPr/>
      </w:pPr>
      <w:r>
        <w:rPr/>
        <w:t>Do ponto de vista da experiência global, a plataforma revela-se mais forte quando entendida como um espaço de colaboração assimétrica. O designer ou técnico dispõe de uma ferramenta que acelera iterações, estrutura a exploração paramétrica e apoia decisões de maior responsabilidade; o utilizador final ganha maior transparência, inteligibilidade e possibilidade de acompanhamento; e o sistema, no seu conjunto, passa a oferecer uma cadeia de interação mais clara entre o conhecimento especializado e a necessidade individual. A utilização da plataforma não se resume, por isso, à ergonomia dos ecrãs, mas à forma como distribui a agência entre diferentes participantes no processo de personalização.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É precisamente essa distribuição desigual, mas intencional, de acesso, interpretação e decisão que prepara a questão seguinte: não apenas quem usa a plataforma, mas também de que modo ela própria medeia o processo de design.</w:t>
      </w:r>
    </w:p>
    <w:p>
      <w:pPr>
        <w:pStyle w:val="Heading3"/>
        <w:bidi w:val="0"/>
        <w:jc w:val="left"/>
        <w:rPr/>
      </w:pPr>
      <w:r>
        <w:rPr/>
        <w:t>7.3 Mediação do processo de design e reflexão crítica</w:t>
      </w:r>
    </w:p>
    <w:p>
      <w:pPr>
        <w:pStyle w:val="Normal"/>
        <w:bidi w:val="0"/>
        <w:jc w:val="left"/>
        <w:rPr/>
      </w:pPr>
      <w:r>
        <w:rPr/>
        <w:t>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mas também porque explicita que a personalização não é um ato instantâneo: trata-se de uma dinâmica iterativa de leitura de dados, proposta de configuração, avaliação visual, revisão crítica e eventual exportação para fabrico. A literatura revisada reforça que esta dimensão processual não constitui mero efeito secundário da interface, mas sim parte central do modo como sistemas digitais desta natureza distribuem trabalho, autoridade e visibilidade entre diferentes agentes. Em vez de apenas executar decisões previamente tomadas, a plataforma ajuda a estruturar quando, como e por quem essas decisões se tornam possíveis.</w:t>
      </w:r>
    </w:p>
    <w:p>
      <w:pPr>
        <w:pStyle w:val="Normal"/>
        <w:bidi w:val="0"/>
        <w:jc w:val="left"/>
        <w:rPr/>
      </w:pPr>
      <w:r>
        <w:rPr/>
        <w:t>Neste sentido, a interface funciona como um dispositivo epistemológico, e não apenas operacional. Ela condiciona a forma como o problema é visto, como as alternativas são exploradas e como as decisões são justificadas. Ao disponibilizar parâmetros editáveis, visualização tridimensional, sugestões assistidas por IA e gestão de versões, a plataforma torna o trabalho projetual mais estruturado e rastreável. Contudo, essa mesma estrutura também estabelece limites: o utilizador explora o espaço de soluções que o modelo e a interface permitem. A mediação digital aumenta a capacidade de ação, mas também enquadra e delimita o campo do possível. A literatura revisada sugere precisamente que as plataformas mais relevantes neste domínio operam por mecanismos concretos de mediação: controlo diferenciado de permissões, exposição seletiva de variáveis, pontos de partida algorítmicos, visualização orientada por problema e formas de supervisão embutidas na própria interface. Tal tensão entre a ampliação da capacidade e o enquadramento do campo de decisão torna-se particularmente visível em sistemas que diferenciam deliberadamente entre parâmetros acessíveis ao utilizador e parâmetros reservados a profissionais ou a rotinas automáticas de afinação (Bai et al., 2024 (#ref-bai-2024); Alili et al., 2023 (#ref-alili-2023)).</w:t>
      </w:r>
    </w:p>
    <w:p>
      <w:pPr>
        <w:pStyle w:val="Normal"/>
        <w:bidi w:val="0"/>
        <w:jc w:val="left"/>
        <w:rPr/>
      </w:pPr>
      <w:r>
        <w:rPr/>
        <w:t>Uma implicação decisiva desta leitura é que a plataforma não medeia apenas “quem usa”, mas também “o que pode ser visto”. A visualização tridimensional, os indicadores de estado, os limites paramétricos e os mecanismos de feedback não são elementos neutros de apresentação; organizam a inteligibilidade do problema. 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 Nesta perspetiva, a mediação digital não é mera facilitação; é também uma tecnologia de enquadramento do juízo projetual.</w:t>
      </w:r>
    </w:p>
    <w:p>
      <w:pPr>
        <w:pStyle w:val="Normal"/>
        <w:bidi w:val="0"/>
        <w:jc w:val="left"/>
        <w:rPr/>
      </w:pPr>
      <w:r>
        <w:rPr/>
        <w:t>Esta observação conduz a uma importante reflexão crítica. Uma interface bem desenhada pode criar a sensação de evidência ou de neutralidade em decisões que continuam contingentes e projetuais. O facto de um parâmetro ser apresentado como controlo disponível, ou de uma sugestão surgir com aparência de plausibilidade técnica, não significa que a solução esteja validada ou que represente a melhor opção em todos os contextos. 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pPr>
      <w:r>
        <w:rPr/>
        <w:t>Deste ponto de vista, o sistema proposto assume uma posição produtiva: utiliza a interface para ampliar a acessibilidade, a inteligibilidade e a capacidade iterativa, sem dissolver a necessidade de julgamento humano. A mediação do processo de design não elimina a autoria projetual nem substitui a validação técnica; reorganiza-as num ambiente digital mais controlado e explícito. A plataforma redistribui a agência, mas não o faz de forma uniforme: concentra certas decisões em agentes tecnicamente qualificados, abre outras à participação informada do utilizador e deixa outras sob enquadramento assistido por lógica algorítmica. 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Normal"/>
        <w:pBdr>
          <w:bottom w:val="single" w:sz="6" w:space="1" w:color="808080"/>
        </w:pBdr>
        <w:bidi w:val="0"/>
        <w:jc w:val="left"/>
        <w:rPr/>
      </w:pPr>
      <w:r>
        <w:rPr/>
      </w:r>
    </w:p>
    <w:p>
      <w:pPr>
        <w:pStyle w:val="Heading2"/>
        <w:bidi w:val="0"/>
        <w:jc w:val="left"/>
        <w:rPr/>
      </w:pPr>
      <w:r>
        <w:rPr/>
        <w:t>Capítulo 8 — Avaliação e Discussão</w:t>
      </w:r>
    </w:p>
    <w:p>
      <w:pPr>
        <w:pStyle w:val="Heading3"/>
        <w:bidi w:val="0"/>
        <w:jc w:val="left"/>
        <w:rPr/>
      </w:pPr>
      <w:r>
        <w:rPr/>
        <w:t>8.1 Estratégia e critérios de avaliação</w:t>
      </w:r>
    </w:p>
    <w:p>
      <w:pPr>
        <w:pStyle w:val="Normal"/>
        <w:bidi w:val="0"/>
        <w:jc w:val="left"/>
        <w:rPr/>
      </w:pPr>
      <w:r>
        <w:rPr/>
        <w:t>A avaliação do sistema foi organizada em torno de três níveis complementares: coerência técnica do modelo paramétrico, funcionamento da plataforma digital e plausibilidade das sugestões assistidas por IA. Esta separação é necessária porque o projeto combina componentes de natureza distinta. Um modelo OpenSCAD pode ser parametricamente consistente e, ainda assim, a interface pode não tornar essa consistência compreensível; do mesmo modo, uma sugestão de IA pode ser plausível como ponto de partida e continuar insuficiente como validação final da prótese. Assim, os critérios usados procuram avaliar o encadeamento entre dados, parâmetros, renderização, exportação e revisão humana, em vez de tratar qualquer componente como solução autónoma.</w:t>
      </w:r>
    </w:p>
    <w:p>
      <w:pPr>
        <w:pStyle w:val="Normal"/>
        <w:bidi w:val="0"/>
        <w:jc w:val="left"/>
        <w:rPr/>
      </w:pPr>
      <w:r>
        <w:rPr/>
        <w:t>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Estes critérios foram escolhidos porque são verificáveis dentro do sistema e correspondem a riscos diretamente relacionados com a personalização inicial. Não avaliam conforto, desempenho funcional nem segurança clínica, mas permitem identificar se a cadeia descrição livre, sugestão paramétrica e modelo renderizado preserva condições mínimas de plausibilidade antes de qualquer prototipagem.</w:t>
      </w:r>
    </w:p>
    <w:p>
      <w:pPr>
        <w:pStyle w:val="Normal"/>
        <w:bidi w:val="0"/>
        <w:jc w:val="left"/>
        <w:rPr/>
      </w:pPr>
      <w:r>
        <w:rPr/>
        <w:t>A avaliação geométrica prolongou estes critérios até à saída fabricável. Para isso, foram executados fluxos de ponta a ponta com a interface real: autenticação, introdução de descrição de paciente, chamada ao serviço de IA, aplicação dos valores sugeridos, renderização por OpenSCAD/WebAssembly, exportação STL e medição das malhas resultantes. Esta etapa foi importante porque uma resposta numérica correta não garante, por si só, que a geometria final escale da forma esperada. Ao medir as peças exportadas, tornou-se possível verificar se as relações paramétricas declaradas atravessavam efetivamente toda a arquitetura da plataforma.</w:t>
      </w:r>
    </w:p>
    <w:p>
      <w:pPr>
        <w:pStyle w:val="Normal"/>
        <w:bidi w:val="0"/>
        <w:jc w:val="left"/>
        <w:rPr/>
      </w:pPr>
      <w:r>
        <w:rP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pPr>
        <w:pStyle w:val="Normal"/>
        <w:bidi w:val="0"/>
        <w:jc w:val="left"/>
        <w:rPr/>
      </w:pPr>
      <w:r>
        <w:rPr/>
        <w:drawing>
          <wp:inline distT="0" distB="0" distL="0" distR="0">
            <wp:extent cx="5715000" cy="3571875"/>
            <wp:effectExtent l="0" t="0" r="0" b="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a:picLocks noChangeAspect="1" noChangeArrowheads="1"/>
                    </pic:cNvPicPr>
                  </pic:nvPicPr>
                  <pic:blipFill>
                    <a:blip r:embed="rId25"/>
                    <a:stretch>
                      <a:fillRect/>
                    </a:stretch>
                  </pic:blipFill>
                  <pic:spPr bwMode="auto">
                    <a:xfrm>
                      <a:off x="0" y="0"/>
                      <a:ext cx="5715000" cy="3571875"/>
                    </a:xfrm>
                    <a:prstGeom prst="rect">
                      <a:avLst/>
                    </a:prstGeom>
                    <a:noFill/>
                  </pic:spPr>
                </pic:pic>
              </a:graphicData>
            </a:graphic>
          </wp:inline>
        </w:drawing>
      </w:r>
    </w:p>
    <w:p>
      <w:pPr>
        <w:pStyle w:val="Normal"/>
        <w:bidi w:val="0"/>
        <w:jc w:val="left"/>
        <w:rPr/>
      </w:pPr>
      <w:r>
        <w:rPr/>
        <w:t>Figura 8.1 — Tarefas funcionais usadas em avaliação de prótese personalizada de membro superior.</w:t>
      </w:r>
    </w:p>
    <w:p>
      <w:pPr>
        <w:pStyle w:val="Normal"/>
        <w:bidi w:val="0"/>
        <w:jc w:val="left"/>
        <w:rPr/>
      </w:pPr>
      <w:r>
        <w:rPr/>
        <w:t>Fonte original (APA 7):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pPr>
      <w:r>
        <w:rPr/>
        <w:t>8.2 Validação antropométrica das sugestões de IA</w:t>
      </w:r>
    </w:p>
    <w:p>
      <w:pPr>
        <w:pStyle w:val="Normal"/>
        <w:bidi w:val="0"/>
        <w:jc w:val="left"/>
        <w:rPr/>
      </w:pPr>
      <w:r>
        <w:rPr/>
        <w:t>O primeiro conjunto experimental incidiu sobre cinco perfis descritos apenas por indicadores populacionais indiretos, como idade, sexo, altura, peso, país, comprimento do braço e constituição física. Não foram fornecidas medições diretas da mão. Este é o cenário de maior relevância para a acessibilidade do sistema, pois corresponde ao utilizador que consegue descrever o paciente em linguagem comum, mas não domina os procedimentos de medição antropométrica. Nas cinco situações, a IA produziu JSON válido, usou apenas parâmetros existentes, respeitou os limites declarados do modelo e manteve a ordenação anatómica esperada entre os dedos.</w:t>
      </w:r>
    </w:p>
    <w:p>
      <w:pPr>
        <w:pStyle w:val="Normal"/>
        <w:bidi w:val="0"/>
        <w:jc w:val="left"/>
        <w:rPr/>
      </w:pPr>
      <w:r>
        <w:rPr/>
        <w:t>A leitura dos resultados mostra uma degradação graciosa da informação disponível. Em adultos, as dimensões sugeridas permaneceram dentro dos intervalos antropométricos canónicos usados como referência no sistema. No perfil infantil, as dimensões foram reduzidas de forma coerente e o modelo diminuiu espontaneamente parâmetros de hardware das articulações flexíveis, usando informação presente nas legendas do esquema. No perfil adolescente, uma heurística inicial do teste assinalou a palma como potencialmente excessiva, mas a análise posterior mostrou que o valor era compatível com um adolescente alto de meia-adolescência. A falha, neste caso, estava na regra de teste demasiado rígida, e não na sugestão da IA.</w:t>
      </w:r>
    </w:p>
    <w:p>
      <w:pPr>
        <w:pStyle w:val="Normal"/>
        <w:bidi w:val="0"/>
        <w:jc w:val="left"/>
        <w:rPr/>
      </w:pPr>
      <w:r>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pPr>
      <w:r>
        <w:rPr/>
        <w:t>Tabela 8.1 — Síntese da validação antropométrica assistida por IA</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Eixo avaliado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Resultado observado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Interpretação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Conformidade com o esquema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Saídas parseáveis, chaves conhecidas e valores dentro dos limites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O esquema vivo do modelo reduziu sugestões inválidas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Proporcionalidade digital</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Dedo médio mais longo, mindinho mais curto e polegar abaixo do dedo médio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As relações anatómicas principais foram preservadas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Entradas ricas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Medições fornecidas mantidas literalmente</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 IA não reestimou valores diretamente declarados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Entradas parciais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Campos em falta estimados em torno da medida fornecida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O sistema combinou dados explícitos e priors populacionais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Entradas apenas demográficas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Conjunto completo e plausível de parâmetros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O fluxo oferece um ponto de partida para utilizadores não especialistas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Lateralidade</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Correta nos cenários iniciais, mas falhou em pedidos explícitos de mão esquerda na avaliação UCD</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Corrigida por controlo determinístico da interface e exclusão da lateralidade das sugestões da IA</w:t>
            </w:r>
          </w:p>
        </w:tc>
      </w:tr>
    </w:tbl>
    <w:p>
      <w:pPr>
        <w:pStyle w:val="Normal"/>
        <w:bidi w:val="0"/>
        <w:jc w:val="left"/>
        <w:rPr/>
      </w:pPr>
      <w:r>
        <w:rPr/>
        <w:t>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Esta variabilidade confirma que a avaliação deve privilegiar propriedades invariantes, taxas de aprovação e comportamento em cenários de baixo conhecimento, e não valores absolutos isolados.</w:t>
      </w:r>
    </w:p>
    <w:p>
      <w:pPr>
        <w:pStyle w:val="Heading3"/>
        <w:bidi w:val="0"/>
        <w:jc w:val="left"/>
        <w:rPr/>
      </w:pPr>
      <w:r>
        <w:rPr/>
        <w:t>8.3 Validação geométrica intermodelos</w:t>
      </w:r>
    </w:p>
    <w:p>
      <w:pPr>
        <w:pStyle w:val="Normal"/>
        <w:bidi w:val="0"/>
        <w:jc w:val="left"/>
        <w:rPr/>
      </w:pPr>
      <w:r>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pPr>
      <w:r>
        <w:rPr/>
        <w:t>Tabela 8.2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Fiel ao modelo original, mas inadequado para mãos pequenas</w:t>
            </w:r>
          </w:p>
        </w:tc>
      </w:tr>
    </w:tbl>
    <w:p>
      <w:pPr>
        <w:pStyle w:val="Normal"/>
        <w:bidi w:val="0"/>
        <w:jc w:val="left"/>
        <w:rPr/>
      </w:pPr>
      <w:r>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pPr>
      <w:r>
        <w:rPr/>
        <w:t>Tabela 8.3 — Rácio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pPr>
            <w:r>
              <w:rPr/>
              <w:t>1,171</w:t>
            </w:r>
          </w:p>
        </w:tc>
      </w:tr>
    </w:tbl>
    <w:p>
      <w:pPr>
        <w:pStyle w:val="Normal"/>
        <w:bidi w:val="0"/>
        <w:jc w:val="left"/>
        <w:rPr/>
      </w:pPr>
      <w:r>
        <w:rPr/>
        <w:t>Esta validação revelou três fragilidades técnicas que não eram visíveis na análise numérica isolada. A primeira estava no mecanismo de correspondência populacional: a análise inicial de género e idade era demasiado frágil, e certos tokens abreviados confundiam unidades de medida com indicação de sexo masculino. A correção passou por análise multilingue com fronteiras de palavra e classificação mais robusta de grupos etários. A segunda fragilidade estava no Paraglider, cuja palma permanecia congelada numa escala interna herdada da biblioteca original; a correção reaplicou a escala no ponto de chamada relevante. A terceira surgiu no Phoenix, onde um parâmetro de override permitia contornar o piso mínimo de escala; a correção passou por aplicar o mesmo limite ao ramo alternativo.</w:t>
      </w:r>
    </w:p>
    <w:p>
      <w:pPr>
        <w:pStyle w:val="Normal"/>
        <w:bidi w:val="0"/>
        <w:jc w:val="left"/>
        <w:rPr/>
      </w:pPr>
      <w:r>
        <w:rPr/>
        <w:t>O contributo desta etapa é duplo. Por um lado, confirma que a validação de IA não deve terminar no JSON, pois a geometria pode esconder acoplamentos, limites e heranças de código que só se tornam visíveis na exportação. Por outro lado, mostra que os modelos integrados não são intercambiáveis: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pPr>
      <w:r>
        <w:rPr/>
        <w:t>8.4 Discussão dos resultados face aos objetivos</w:t>
      </w:r>
    </w:p>
    <w:p>
      <w:pPr>
        <w:pStyle w:val="Normal"/>
        <w:bidi w:val="0"/>
        <w:jc w:val="left"/>
        <w:rPr/>
      </w:pPr>
      <w:r>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dimensionalmente plausível, editável, visualizável e criticável. 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pPr>
      <w:r>
        <w:rPr/>
        <w:t>A avaliação também delimita com clareza os limites do sistema. A variabilidade estocástica da IA impede tratar uma saída isolada como prescrição fixa; a ausência de uma referência clínica direta impede afirmar precisão individual; e a lateralidade revelou-se um parâmetro crítico que não deve ser delegado à inferência do modelo. 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pStyle w:val="Normal"/>
        <w:bidi w:val="0"/>
        <w:jc w:val="left"/>
        <w:rPr/>
      </w:pPr>
      <w:r>
        <w:rPr/>
        <w:t>A principal aprendizagem metodológica é que a robustez do sistema depende menos da presença isolada de IA e mais da qualidade das fronteiras que a enquadram. O esquema vivo do modelo, os limites declarados, a filtragem de chaves, a ancoragem em dados populacionais, a renderização por OpenSCAD/WebAssembly e a exportação STL formam uma cadeia de verificações sucessivas. 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Heading2"/>
        <w:bidi w:val="0"/>
        <w:jc w:val="left"/>
        <w:rPr/>
      </w:pPr>
      <w:r>
        <w:rPr/>
        <w:t>Capítulo 9 — Conclusões e Trabalhos Futuros</w:t>
      </w:r>
    </w:p>
    <w:p>
      <w:pPr>
        <w:pStyle w:val="Heading3"/>
        <w:bidi w:val="0"/>
        <w:jc w:val="left"/>
        <w:rPr/>
      </w:pPr>
      <w:r>
        <w:rPr/>
        <w:t>9.1 Síntese dos principais contributos</w:t>
      </w:r>
    </w:p>
    <w:p>
      <w:pPr>
        <w:pStyle w:val="Normal"/>
        <w:bidi w:val="0"/>
        <w:jc w:val="left"/>
        <w:rPr/>
      </w:pPr>
      <w:r>
        <w:rPr/>
        <w:t>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O contributo central não é uma prótese clinicamente validada, mas uma infraestrutura projetual que torna mais explícita, rastreável e acessível a passagem entre dados do utilizador, parâmetros geométricos e geometria exportável.</w:t>
      </w:r>
    </w:p>
    <w:p>
      <w:pPr>
        <w:pStyle w:val="Normal"/>
        <w:bidi w:val="0"/>
        <w:jc w:val="left"/>
        <w:rPr/>
      </w:pPr>
      <w:r>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A integração da IA acrescentou uma camada de apoio à decisão, capaz de transformar descrições incompletas em pontos de partida plausíveis, desde que as sugestões permaneçam limitadas pelo esquema vivo do modelo e sujeitas a validação posterior.</w:t>
      </w:r>
    </w:p>
    <w:p>
      <w:pPr>
        <w:pStyle w:val="Normal"/>
        <w:bidi w:val="0"/>
        <w:jc w:val="left"/>
        <w:rPr/>
      </w:pPr>
      <w:r>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 Terceiro, a validação geométrica intermodelos demonstrou que a exportação STL é indispensável para revelar constrangimentos que não aparecem na resposta numérica, como pisos de escala, dependências herdadas e diferenças reais entre modelos. Quarto, a avaliação centrada no utilizador revelou que a acessibilidade paramétrica depende tanto da qualidade da inferência como das salvaguardas de interface: entradas vagas e multilingues foram absorvidas com robustez, mas a lateralidade, a adequação do modelo escolhido e a proveniência das estimativas exigem controlos explícitos para evitar confiança excessiva no resultado.</w:t>
      </w:r>
    </w:p>
    <w:p>
      <w:pPr>
        <w:pStyle w:val="Normal"/>
        <w:bidi w:val="0"/>
        <w:jc w:val="left"/>
        <w:rPr/>
      </w:pPr>
      <w:r>
        <w:rPr/>
        <w:t>A mesma lógica abre uma via de universalização para outros membros. A arquitetura deixa de depender apenas de pressupostos específicos da mão quando propriedades como lateralidade, tipo de membro e orientação antropométrica passam a ser declaradas no ficheiro de configuração do modelo. Este passo não torna automaticamente a plataforma válida para pé, perna ou braço, pois seriam necessários novos datasets, novos mapeamentos antropométricos e nova validação geométrica; contudo, mostra que a estrutura técnica pode evoluir de um configurador de mãos para uma plataforma paramétrica por tipo de membro, desde que cada modelo declare a sua gramática dimensional e os seus limites de fabrico.</w:t>
      </w:r>
    </w:p>
    <w:p>
      <w:pPr>
        <w:pStyle w:val="Heading3"/>
        <w:bidi w:val="0"/>
        <w:jc w:val="left"/>
        <w:rPr/>
      </w:pPr>
      <w:r>
        <w:rPr/>
        <w:t>9.2 Contributos para o Design Industrial</w:t>
      </w:r>
    </w:p>
    <w:p>
      <w:pPr>
        <w:pStyle w:val="Normal"/>
        <w:bidi w:val="0"/>
        <w:jc w:val="left"/>
        <w:rPr/>
      </w:pPr>
      <w:r>
        <w:rPr/>
        <w:t>Para o Design Industrial, o principal contributo está na demonstração de um processo em que o artefacto, a interface e a lógica paramétrica funcionam como instrumentos de investigação. O projeto não trata a prótese apenas como objeto formal, mas como sistema configurável em que requisitos anatómicos, funcionais, produtivos e experienciais são traduzidos em parâmetros criticáveis. Esta abordagem reforça o papel do designer como mediador entre dados, tecnologia, fabrico e experiência humana.</w:t>
      </w:r>
    </w:p>
    <w:p>
      <w:pPr>
        <w:pStyle w:val="Normal"/>
        <w:bidi w:val="0"/>
        <w:jc w:val="left"/>
        <w:rPr/>
      </w:pPr>
      <w:r>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assistivos, nos quais a acessibilidade da configuração deve ser equilibrada com responsabilidade, segurança e coerência funcional.</w:t>
      </w:r>
    </w:p>
    <w:p>
      <w:pPr>
        <w:pStyle w:val="Normal"/>
        <w:bidi w:val="0"/>
        <w:jc w:val="left"/>
        <w:rPr/>
      </w:pPr>
      <w:r>
        <w:rPr/>
        <w:t>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human-in-the-loop, articulada com regras explícitas, dados antropométricos, visualização, exportação e revisão técnica.</w:t>
      </w:r>
    </w:p>
    <w:p>
      <w:pPr>
        <w:pStyle w:val="Heading3"/>
        <w:bidi w:val="0"/>
        <w:jc w:val="left"/>
        <w:rPr/>
      </w:pPr>
      <w:r>
        <w:rPr/>
        <w:t>9.3 Limitações e perspetivas de desenvolvimento futuro</w:t>
      </w:r>
    </w:p>
    <w:p>
      <w:pPr>
        <w:pStyle w:val="Normal"/>
        <w:bidi w:val="0"/>
        <w:jc w:val="left"/>
        <w:rPr/>
      </w:pPr>
      <w:r>
        <w:rPr/>
        <w:t>As limitações do estudo são relevantes e delimitam o alcance das conclusões. Não foram realizados testes com utilizadores reais, avaliações clínicas, medições diretas de conforto, ensaios funcionais prolongados nem validação biomecânica completa. A avaliação antropométrica baseou-se em perfis simulados, dados secundários e critérios internos de plausibilidade. Por isso, os resultados devem ser interpretados como validação metodológica e técnica do fluxo de personalização, não como prova de eficácia protésica em contexto de uso.</w:t>
      </w:r>
    </w:p>
    <w:p>
      <w:pPr>
        <w:pStyle w:val="Normal"/>
        <w:bidi w:val="0"/>
        <w:jc w:val="left"/>
        <w:rPr/>
      </w:pPr>
      <w:r>
        <w:rPr/>
        <w:t>A componente de IA exige desenvolvimento adicional, mesmo após a correção determinística da lateralidade. A saída deve ser validada por esquema JSON no servidor, com repetição automática do pedido quando a resposta violar o contrato esperado. A variabilidade estocástica deve ser quantificada com múltiplas extrações por perfil, reportando médias, dispersão e taxas de aprovação dos invariantes. A comparação com bases de dados antropométricas ou medições reais permitiria passar da plausibilidade para uma estimativa mais rigorosa de erro. 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pPr>
      <w:r>
        <w:rPr/>
        <w:t>Do ponto de vista geométrico e produtivo, o trabalho futuro deve aprofundar a validação por impressão física, montagem, tolerâncias, resistência, desgaste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e ao objetivo de fabrico.</w:t>
      </w:r>
    </w:p>
    <w:p>
      <w:pPr>
        <w:pStyle w:val="Normal"/>
        <w:bidi w:val="0"/>
        <w:jc w:val="left"/>
        <w:rPr/>
      </w:pPr>
      <w:r>
        <w:rP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pPr>
      <w:r>
        <w:rPr/>
      </w:r>
    </w:p>
    <w:p>
      <w:pPr>
        <w:pStyle w:val="Heading2"/>
        <w:bidi w:val="0"/>
        <w:jc w:val="left"/>
        <w:rPr/>
      </w:pPr>
      <w:r>
        <w:rPr/>
        <w:br/>
      </w:r>
      <w:r>
        <w:br w:type="page"/>
      </w:r>
    </w:p>
    <w:p>
      <w:pPr>
        <w:pStyle w:val="Heading2"/>
        <w:bidi w:val="0"/>
        <w:spacing w:before="0" w:after="0"/>
        <w:jc w:val="left"/>
        <w:rPr/>
      </w:pPr>
      <w:r>
        <w:rPr/>
        <w:t>Bibliografia</w:t>
      </w:r>
    </w:p>
    <w:p>
      <w:pPr>
        <w:pStyle w:val="Normal"/>
        <w:bidi w:val="0"/>
        <w:jc w:val="left"/>
        <w:rPr/>
      </w:pPr>
      <w:r>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pPr>
      <w:r>
        <w:rPr/>
        <w:t>&lt;a id="ref-albin-2023"&gt;&lt;/a&gt; Albin, T., &amp; Molenbroek, J. F. M. (2023). Introduction to the special issue, anthropometry in design. https://repository.tudelft.nl/file/Fileda5bfdc9-98bc-41d3-a402-553d5f0d0a63</w:t>
      </w:r>
    </w:p>
    <w:p>
      <w:pPr>
        <w:pStyle w:val="Normal"/>
        <w:bidi w:val="0"/>
        <w:jc w:val="left"/>
        <w:rPr/>
      </w:pPr>
      <w:r>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pPr>
      <w:r>
        <w:rPr/>
        <w:t>&lt;a id="ref-astm-international-2024"&gt;&lt;/a&gt; ASTM International. (2024). Standard guide for assessing fit accommodation of exoskeletons for manufacturers and designers. https://www.astm.org/f3661-24.html</w:t>
      </w:r>
    </w:p>
    <w:p>
      <w:pPr>
        <w:pStyle w:val="Normal"/>
        <w:bidi w:val="0"/>
        <w:jc w:val="left"/>
        <w:rPr/>
      </w:pPr>
      <w:r>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pPr>
      <w:r>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pPr>
      <w:r>
        <w:rPr/>
        <w:t>&lt;a id="ref-bradtmiller-2022"&gt;&lt;/a&gt; Bradtmiller, B. (2022). Design for all, design for disabled: How important is anthropometry? https://researchonline.jcu.edu.au/76898/</w:t>
      </w:r>
    </w:p>
    <w:p>
      <w:pPr>
        <w:pStyle w:val="Normal"/>
        <w:bidi w:val="0"/>
        <w:jc w:val="left"/>
        <w:rPr/>
      </w:pPr>
      <w:r>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pPr>
      <w:r>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pPr>
      <w:r>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pPr>
      <w:r>
        <w:rPr/>
        <w:t>&lt;a id="ref-colombo-2015"&gt;&lt;/a&gt; Colombo, G., Facoetti, G., Rizzi, C., &amp; Vitali, A. (2015). Low cost hand-tracking devices to design customized medical devices. Interacción. https://doi.org/10.1007/978-3-319-21067-436</w:t>
      </w:r>
    </w:p>
    <w:p>
      <w:pPr>
        <w:pStyle w:val="Normal"/>
        <w:bidi w:val="0"/>
        <w:jc w:val="left"/>
        <w:rPr/>
      </w:pPr>
      <w:r>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pPr>
      <w:r>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pPr>
      <w:r>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pPr>
      <w:r>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pPr>
      <w:r>
        <w:rPr/>
        <w:t>&lt;a id="ref-fink-2023"&gt;&lt;/a&gt; Fink, C., &amp; Diamond, Y. (2023). Prosthesis options and management in upper extremity amputation. https://www.semanticscholar.org/paper/3532a770446eb6144ef25a6b0162d1f98b61e0ff</w:t>
      </w:r>
    </w:p>
    <w:p>
      <w:pPr>
        <w:pStyle w:val="Normal"/>
        <w:bidi w:val="0"/>
        <w:jc w:val="left"/>
        <w:rPr/>
      </w:pPr>
      <w:r>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pPr>
      <w:r>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pPr>
      <w:r>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pPr>
      <w:r>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pPr>
      <w:r>
        <w:rPr/>
        <w:t>&lt;a id="ref-lindell-2021"&gt;&lt;/a&gt; Lindell, E., Tingsvik, H., Guo, L., &amp; Peterson, J. (2021). 3D body scan as anthropometric tool for individualized prosthetic socks. https://sciendo.com/pdf/10.2478/aut-2021-0007</w:t>
      </w:r>
    </w:p>
    <w:p>
      <w:pPr>
        <w:pStyle w:val="Normal"/>
        <w:bidi w:val="0"/>
        <w:jc w:val="left"/>
        <w:rPr/>
      </w:pPr>
      <w:r>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pPr>
      <w:r>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pPr>
      <w:r>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pPr>
      <w:r>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pPr>
      <w:r>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pPr>
      <w:r>
        <w:rPr/>
        <w:t>&lt;a id="ref-clarkson-2010"&gt;&lt;/a&gt; Clarkson, J., &amp; Coleman, R. (2010). Inclusive design. Design Studies. https://doi.org/10.1080/09544821003693689</w:t>
      </w:r>
    </w:p>
    <w:p>
      <w:pPr>
        <w:pStyle w:val="Normal"/>
        <w:bidi w:val="0"/>
        <w:jc w:val="left"/>
        <w:rPr/>
      </w:pPr>
      <w:r>
        <w:rPr/>
        <w:t>&lt;a id="ref-chtioui-2023"&gt;&lt;/a&gt; Chtioui, N., Gaha, R., &amp; Benamara, A. (2023). Design for additive manufacturing: Review and framework proposal. https://sei.ardascience.com/index.php/journal/article/download/185/169</w:t>
      </w:r>
    </w:p>
    <w:p>
      <w:pPr>
        <w:pStyle w:val="Normal"/>
        <w:bidi w:val="0"/>
        <w:jc w:val="left"/>
        <w:rPr/>
      </w:pPr>
      <w:r>
        <w:rPr/>
        <w:t>&lt;a id="ref-fisher-2020"&gt;&lt;/a&gt; Fisher, M., &amp; Johansen, E. (2020). Human-centered design for medical devices and diagnostics in global health. https://www.semanticscholar.org/paper/89c3c6bd56f4d0b54f5da3e3c96f18e815d9f5d4</w:t>
      </w:r>
    </w:p>
    <w:p>
      <w:pPr>
        <w:pStyle w:val="Normal"/>
        <w:bidi w:val="0"/>
        <w:jc w:val="left"/>
        <w:rPr/>
      </w:pPr>
      <w:r>
        <w:rPr/>
        <w:t>&lt;a id="ref-millet-2018"&gt;&lt;/a&gt; Millet, A., Akle, A. A., &amp; Legardeur, J. (2018). Human centred criteria for healthcare design. https://www.semanticscholar.org/paper/267b655f123f4f167f1f9e7e6c8a1f17f73a73d0</w:t>
      </w:r>
    </w:p>
    <w:p>
      <w:pPr>
        <w:pStyle w:val="Normal"/>
        <w:bidi w:val="0"/>
        <w:jc w:val="left"/>
        <w:rPr/>
      </w:pPr>
      <w:r>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pPr>
      <w:r>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pPr>
      <w:r>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pPr>
      <w:r>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pPr>
      <w:r>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pPr>
      <w:r>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pPr>
      <w:r>
        <w:rPr/>
        <w:t>&lt;a id="ref-soyer-2016"&gt;&lt;/a&gt; Soyer, K., Unver, B., Tamer, S., &amp; Ulger, O. (2016). The importance of rehabilitation concerning upper extremity amputees: A systematic review. https://pjms.com.pk/index.php/pjms/article/view/9922/4660</w:t>
      </w:r>
    </w:p>
    <w:p>
      <w:pPr>
        <w:pStyle w:val="Normal"/>
        <w:bidi w:val="0"/>
        <w:jc w:val="left"/>
        <w:rPr/>
      </w:pPr>
      <w:r>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pPr>
      <w:r>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pPr>
      <w:r>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pPr>
      <w:r>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pPr>
      <w:r>
        <w:rPr/>
        <w:t>&lt;a id="ref-story-2006"&gt;&lt;/a&gt; Story, M. (2006). Applying the principles of universal design to medical devices. https://www.semanticscholar.org/paper/d0d84425d517331607c9120290ed26d1bf2e1862</w:t>
      </w:r>
    </w:p>
    <w:p>
      <w:pPr>
        <w:pStyle w:val="Normal"/>
        <w:bidi w:val="0"/>
        <w:jc w:val="left"/>
        <w:rPr/>
      </w:pPr>
      <w:r>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pPr>
      <w:r>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pPr>
      <w:r>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pPr>
      <w:r>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pPr>
      <w:r>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pPr>
      <w:r>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pPr>
      <w:r>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pPr>
      <w:r>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pPr>
      <w:r>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pPr>
      <w:r>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pPr>
      <w:r>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pPr>
      <w:r>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pPr>
      <w:r>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pPr>
      <w:r>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pPr>
      <w:r>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pPr>
      <w:r>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pPr>
      <w:r>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pPr>
      <w:r>
        <w:rPr/>
        <w:t>&lt;a id="ref-krahe-2020"&gt;&lt;/a&gt; Krahe, C., Bräunche, A., Jacob, A., Stricker, N., &amp; Lanza, G. (2020). Deep learning for automated product design. https://www.semanticscholar.org/paper/a5b9b4f63805f2b1773bc8214b29e38dbac27975</w:t>
      </w:r>
    </w:p>
    <w:p>
      <w:pPr>
        <w:pStyle w:val="Normal"/>
        <w:bidi w:val="0"/>
        <w:jc w:val="left"/>
        <w:rPr/>
      </w:pPr>
      <w:r>
        <w:rPr/>
        <w:t>&lt;a id="ref-li-2021"&gt;&lt;/a&gt; Li, X., Demirel, H., Goldstein, M., &amp; Sha, Z. (2021). Exploring generative design thinking for engineering design and design education. https://peer.asee.org/38349.pdf</w:t>
      </w:r>
    </w:p>
    <w:p>
      <w:pPr>
        <w:pStyle w:val="Normal"/>
        <w:bidi w:val="0"/>
        <w:jc w:val="left"/>
        <w:rPr/>
      </w:pPr>
      <w:r>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pPr>
      <w:r>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pPr>
      <w:r>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pPr>
      <w:r>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pPr>
      <w:r>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pPr>
      <w:r>
        <w:rPr/>
        <w:t>&lt;a id="ref-verganti-2020"&gt;&lt;/a&gt; Verganti, R., Vendraminelli, L., &amp; Iansiti, M. (2020). Innovation and design in the age of artificial intelligence. https://onlinelibrary.wiley.com/doi/pdfdirect/10.1111/jpim.12523</w:t>
      </w:r>
    </w:p>
    <w:p>
      <w:pPr>
        <w:pStyle w:val="Normal"/>
        <w:bidi w:val="0"/>
        <w:jc w:val="left"/>
        <w:rPr/>
      </w:pPr>
      <w:r>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pPr>
      <w:r>
        <w:rPr/>
        <w:t>&lt;a id="ref-wang-2024"&gt;&lt;/a&gt; Wang, X., &amp; Hu, B. (2024). Machine learning algorithms for improved product design user experience. https://www.semanticscholar.org/paper/717e7ad25dcafec12f01b6732773bdf9c5a49661</w:t>
      </w:r>
    </w:p>
    <w:p>
      <w:pPr>
        <w:pStyle w:val="Normal"/>
        <w:bidi w:val="0"/>
        <w:jc w:val="left"/>
        <w:rPr/>
      </w:pPr>
      <w:r>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pPr>
      <w:r>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pPr>
      <w:r>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pPr>
      <w:r>
        <w:rPr/>
        <w:t>&lt;a id="ref-cole-2011"&gt;&lt;/a&gt; Cole, E. (2011). Patient-centered design: Interface personalization for individuals with brain injury.</w:t>
      </w:r>
    </w:p>
    <w:p>
      <w:pPr>
        <w:pStyle w:val="Normal"/>
        <w:bidi w:val="0"/>
        <w:jc w:val="left"/>
        <w:rPr/>
      </w:pPr>
      <w:r>
        <w:rPr/>
        <w:t>&lt;a id="ref-costabile-2007"&gt;&lt;/a&gt; Costabile, M. F., Fogli, D., Lanzilotti, R., Marcante, A., Mussio, P., Provenza, L. P., &amp; Piccinno, A. (2007). Meta-design to face co-evolution and communication gaps between users and designers.</w:t>
      </w:r>
    </w:p>
    <w:p>
      <w:pPr>
        <w:pStyle w:val="Normal"/>
        <w:bidi w:val="0"/>
        <w:jc w:val="left"/>
        <w:rPr/>
      </w:pPr>
      <w:r>
        <w:rPr/>
        <w:t>&lt;a id="ref-dechev-2023"&gt;&lt;/a&gt; Dechev, N., Penner, A., Barlow, I., Vukovic, G., &amp; Lalji, M. (2023). Accessible prosthetic arms: Victoria Hand Project and the impact of 3D printing.</w:t>
      </w:r>
    </w:p>
    <w:p>
      <w:pPr>
        <w:pStyle w:val="Normal"/>
        <w:bidi w:val="0"/>
        <w:jc w:val="left"/>
        <w:rPr/>
      </w:pPr>
      <w:r>
        <w:rPr/>
        <w:t>&lt;a id="ref-dexter-2013"&gt;&lt;/a&gt; Dexter, M., Crooks, E., Davies, P., &amp; Simm, W. (2013). Open design and cystic fibrosis: Enabling participation in the design process.</w:t>
      </w:r>
    </w:p>
    <w:p>
      <w:pPr>
        <w:pStyle w:val="Normal"/>
        <w:bidi w:val="0"/>
        <w:jc w:val="left"/>
        <w:rPr/>
      </w:pPr>
      <w:r>
        <w:rPr/>
        <w:t>&lt;a id="ref-fischer-2004"&gt;&lt;/a&gt; Fischer, G., Giaccardi, E., Ye, Y., Sutcliffe, A. G., &amp; Mehandjiev, N. (2004). Meta-design.</w:t>
      </w:r>
    </w:p>
    <w:p>
      <w:pPr>
        <w:pStyle w:val="Normal"/>
        <w:bidi w:val="0"/>
        <w:jc w:val="left"/>
        <w:rPr/>
      </w:pPr>
      <w:r>
        <w:rPr/>
        <w:t>&lt;a id="ref-fischer-2017"&gt;&lt;/a&gt; Fischer, G., Fogli, D., &amp; Piccinno, A. (2017). Revisiting and broadening the meta-design framework for end-user development.</w:t>
      </w:r>
    </w:p>
    <w:p>
      <w:pPr>
        <w:pStyle w:val="Normal"/>
        <w:bidi w:val="0"/>
        <w:jc w:val="left"/>
        <w:rPr/>
      </w:pPr>
      <w:r>
        <w:rPr/>
        <w:t>&lt;a id="ref-frangos-2016"&gt;&lt;/a&gt; Frangos, P., Mierdel, S., &amp; Koirala, S. (2016). Democratising design in scientific innovation: Application of an open value network to open source hardware design.</w:t>
      </w:r>
    </w:p>
    <w:p>
      <w:pPr>
        <w:pStyle w:val="Normal"/>
        <w:bidi w:val="0"/>
        <w:jc w:val="left"/>
        <w:rPr/>
      </w:pPr>
      <w:r>
        <w:rPr/>
        <w:t>&lt;a id="ref-franke-2002"&gt;&lt;/a&gt; Franke, N., &amp; von Hippel, E. (2002). Satisfying heterogeneous user needs via innovation toolkits: The case of Apache security software.</w:t>
      </w:r>
    </w:p>
    <w:p>
      <w:pPr>
        <w:pStyle w:val="Normal"/>
        <w:bidi w:val="0"/>
        <w:jc w:val="left"/>
        <w:rPr/>
      </w:pPr>
      <w:r>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pPr>
      <w:r>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pPr>
      <w:r>
        <w:rPr/>
        <w:t>&lt;a id="ref-hippel-2002"&gt;&lt;/a&gt; Hippel, E. von, &amp; Katz, R. (2002). Shifting innovation to users via toolkits. Management Science, 48(7).</w:t>
      </w:r>
    </w:p>
    <w:p>
      <w:pPr>
        <w:pStyle w:val="Normal"/>
        <w:bidi w:val="0"/>
        <w:jc w:val="left"/>
        <w:rPr/>
      </w:pPr>
      <w:r>
        <w:rPr/>
        <w:t>&lt;a id="ref-hussaini-2023"&gt;&lt;/a&gt; Hussaini, A., Kyberd, P., Mulindwa, B., Ssekitoleko, R., Keeble, W., Kenney, L., &amp; Howard, D. (2023). 3D printing in LMICs: Functional design for upper limb prosthetics in Uganda.</w:t>
      </w:r>
    </w:p>
    <w:p>
      <w:pPr>
        <w:pStyle w:val="Normal"/>
        <w:bidi w:val="0"/>
        <w:jc w:val="left"/>
        <w:rPr/>
      </w:pPr>
      <w:r>
        <w:rPr/>
        <w:t>&lt;a id="ref-kerr-2024"&gt;&lt;/a&gt; Kerr, A., Del Din, S., Clarkson, P. J., &amp; Rochester, L. (2024). A participatory model for cocreating accessible rehabilitation technology for stroke survivors: User-centered design approach.</w:t>
      </w:r>
    </w:p>
    <w:p>
      <w:pPr>
        <w:pStyle w:val="Normal"/>
        <w:bidi w:val="0"/>
        <w:jc w:val="left"/>
        <w:rPr/>
      </w:pPr>
      <w:r>
        <w:rPr/>
        <w:t>&lt;a id="ref-kuhl-2020"&gt;&lt;/a&gt; Kuhl, M., Lutz, J., Krause, D., &amp; Vielhaber, M. (2020). Design of personalized devices: The tradeoff between individual value and personalization workload. Applied Sciences.</w:t>
      </w:r>
    </w:p>
    <w:p>
      <w:pPr>
        <w:pStyle w:val="Normal"/>
        <w:bidi w:val="0"/>
        <w:jc w:val="left"/>
        <w:rPr/>
      </w:pPr>
      <w:r>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pPr>
      <w:r>
        <w:rPr/>
        <w:t>&lt;a id="ref-peters-2023"&gt;&lt;/a&gt; Peters, C., &amp; Richter, P. (2023). Individualizing patient pathways through modularization: Design and evaluation of healthcare-specific modularization parameters.</w:t>
      </w:r>
    </w:p>
    <w:p>
      <w:pPr>
        <w:pStyle w:val="Normal"/>
        <w:bidi w:val="0"/>
        <w:jc w:val="left"/>
        <w:rPr/>
      </w:pPr>
      <w:r>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pPr>
      <w:r>
        <w:rPr/>
        <w:t>&lt;a id="ref-sims-2017"&gt;&lt;/a&gt; Sims, T., Cranny, A., Metcalf, C., Chappell, P., &amp; Donovan-Hall, M. (2017). Participatory design of pediatric upper limb prostheses: Qualitative methods and prototyping.</w:t>
      </w:r>
    </w:p>
    <w:p>
      <w:pPr>
        <w:pStyle w:val="Normal"/>
        <w:bidi w:val="0"/>
        <w:jc w:val="left"/>
        <w:rPr/>
      </w:pPr>
      <w:r>
        <w:rPr/>
        <w:t>&lt;a id="ref-thorsen-2023"&gt;&lt;/a&gt; Thorsen, R., Hansen, A. H., &amp; Nilsen, E. R. (2023). From patient to maker: A workflow including people with cerebral palsy in co-creating assistive devices using 3D printing technologies.</w:t>
      </w:r>
    </w:p>
    <w:p>
      <w:pPr>
        <w:pStyle w:val="Normal"/>
        <w:bidi w:val="0"/>
        <w:jc w:val="left"/>
        <w:rPr/>
      </w:pPr>
      <w:r>
        <w:rPr/>
        <w:t>&lt;a id="ref-zhu-2022"&gt;&lt;/a&gt; Zhu, Z., &amp; Zhong, R. Y. (2022). A digital twin enabled wearable device for customized healthcare.</w:t>
      </w:r>
    </w:p>
    <w:p>
      <w:pPr>
        <w:pStyle w:val="Normal"/>
        <w:bidi w:val="0"/>
        <w:jc w:val="left"/>
        <w:rPr/>
      </w:pPr>
      <w:r>
        <w:rPr/>
        <w:t>&lt;a id="ref-alluhydan-2023"&gt;&lt;/a&gt; Alluhydan, A., Alsaadi, S., Almutairi, A., &amp; Alharbi, A. (2023). Functionality and comfort design of lower-limb prosthetics: A review.</w:t>
      </w:r>
    </w:p>
    <w:p>
      <w:pPr>
        <w:pStyle w:val="Normal"/>
        <w:bidi w:val="0"/>
        <w:jc w:val="left"/>
        <w:rPr/>
      </w:pPr>
      <w:r>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pPr>
      <w:r>
        <w:rPr/>
        <w:t>&lt;a id="ref-andrysek-2010"&gt;&lt;/a&gt; Andrysek, J. (2010). Lower-limb prosthetic technologies in the developing world: A review of literature from 1994-2010.</w:t>
      </w:r>
    </w:p>
    <w:p>
      <w:pPr>
        <w:pStyle w:val="Normal"/>
        <w:bidi w:val="0"/>
        <w:jc w:val="left"/>
        <w:rPr/>
      </w:pPr>
      <w:r>
        <w:rPr/>
        <w:t>&lt;a id="ref-baldock-2023"&gt;&lt;/a&gt; Baldock, C., Greaves, M., Chockalingam, N., &amp; Kark, L. (2023). Adjustable prosthetic sockets: A systematic review of industrial and research design characteristics and their justifications.</w:t>
      </w:r>
    </w:p>
    <w:p>
      <w:pPr>
        <w:pStyle w:val="Normal"/>
        <w:bidi w:val="0"/>
        <w:jc w:val="left"/>
        <w:rPr/>
      </w:pPr>
      <w:r>
        <w:rPr/>
        <w:t>&lt;a id="ref-baumann-2023"&gt;&lt;/a&gt; Baumann, C., &amp; Maria, P. (2023). Improving access to prosthetic limbs in Germany: An explorative review.</w:t>
      </w:r>
    </w:p>
    <w:p>
      <w:pPr>
        <w:pStyle w:val="Normal"/>
        <w:bidi w:val="0"/>
        <w:jc w:val="left"/>
        <w:rPr/>
      </w:pPr>
      <w:r>
        <w:rPr/>
        <w:t>&lt;a id="ref-chadwell-2020"&gt;&lt;/a&gt; Chadwell, A., Kenney, L., Thies, S., Galpin, A., &amp; Head, J. (2020). Technology for monitoring everyday prosthesis use: A systematic review.</w:t>
      </w:r>
    </w:p>
    <w:p>
      <w:pPr>
        <w:pStyle w:val="Normal"/>
        <w:bidi w:val="0"/>
        <w:jc w:val="left"/>
        <w:rPr/>
      </w:pPr>
      <w:r>
        <w:rPr/>
        <w:t>&lt;a id="ref-cordella-2016"&gt;&lt;/a&gt; Cordella, F., Ciancio, A. L., Sacchetti, R., Davalli, A., Cutti, A. G., Guglielmelli, E., &amp; Zollo, L. (2016). Literature review on needs of upper limb prosthesis users.</w:t>
      </w:r>
    </w:p>
    <w:p>
      <w:pPr>
        <w:pStyle w:val="Normal"/>
        <w:bidi w:val="0"/>
        <w:jc w:val="left"/>
        <w:rPr/>
      </w:pPr>
      <w:r>
        <w:rPr/>
        <w:t>&lt;a id="ref-dominguez-ruiz-2023"&gt;&lt;/a&gt; Domínguez-Ruiz, M., Ráez-Ballesteros, E., &amp; Castillo-Castañeda, E. (2023). Low limb prostheses and complex human prosthetic interaction: A systematic literature review.</w:t>
      </w:r>
    </w:p>
    <w:p>
      <w:pPr>
        <w:pStyle w:val="Normal"/>
        <w:bidi w:val="0"/>
        <w:jc w:val="left"/>
        <w:rPr/>
      </w:pPr>
      <w:r>
        <w:rPr/>
        <w:t>&lt;a id="ref-ghillebert-2019"&gt;&lt;/a&gt; Ghillebert, J., Schoukens, J., &amp; Vanderborght, B. (2019). Guidelines and recommendations to investigate the efficacy of a lower-limb prosthetic device: A systematic review.</w:t>
      </w:r>
    </w:p>
    <w:p>
      <w:pPr>
        <w:pStyle w:val="Normal"/>
        <w:bidi w:val="0"/>
        <w:jc w:val="left"/>
        <w:rPr/>
      </w:pPr>
      <w:r>
        <w:rPr/>
        <w:t>&lt;a id="ref-hafner-2016"&gt;&lt;/a&gt; Hafner, B. J., &amp; Sawers, A. B. (2016). Issues affecting the level of prosthetics research evidence: Secondary analysis of a systematic review.</w:t>
      </w:r>
    </w:p>
    <w:p>
      <w:pPr>
        <w:pStyle w:val="Normal"/>
        <w:bidi w:val="0"/>
        <w:jc w:val="left"/>
        <w:rPr/>
      </w:pPr>
      <w:r>
        <w:rPr/>
        <w:t>&lt;a id="ref-manz-2022"&gt;&lt;/a&gt; Manz, S. M., Menges, M. M., Schaffernicht, E., Mattes, K., &amp; Kannenberg, A. (2022). A review of user needs to inform the development of lower-limb prostheses.</w:t>
      </w:r>
    </w:p>
    <w:p>
      <w:pPr>
        <w:pStyle w:val="Normal"/>
        <w:bidi w:val="0"/>
        <w:jc w:val="left"/>
        <w:rPr/>
      </w:pPr>
      <w:r>
        <w:rPr/>
        <w:t>&lt;a id="ref-marinelli-2022"&gt;&lt;/a&gt; Marinelli, M., Putrino, D., Stella, F., &amp; Guglielmelli, E. (2022). Active upper limb prostheses: A review on current state and upcoming breakthroughs.</w:t>
      </w:r>
    </w:p>
    <w:p>
      <w:pPr>
        <w:pStyle w:val="Normal"/>
        <w:bidi w:val="0"/>
        <w:jc w:val="left"/>
        <w:rPr/>
      </w:pPr>
      <w:r>
        <w:rPr/>
        <w:t>&lt;a id="ref-richardson-2017"&gt;&lt;/a&gt; Richardson, C., &amp; Dillon, M. P. (2017). User experience of transtibial prosthetic liners: A systematic review.</w:t>
      </w:r>
    </w:p>
    <w:p>
      <w:pPr>
        <w:pStyle w:val="Normal"/>
        <w:bidi w:val="0"/>
        <w:jc w:val="left"/>
        <w:rPr/>
      </w:pPr>
      <w:r>
        <w:rPr/>
        <w:t>&lt;a id="ref-samuelsson-2012"&gt;&lt;/a&gt; Samuelsson, K. A. M., Töytäri, O., Salminen, A.-L., &amp; Brandt, Å. (2012). Effects of lower limb prosthesis on activity, participation, and quality of life: A systematic review.</w:t>
      </w:r>
    </w:p>
    <w:p>
      <w:pPr>
        <w:pStyle w:val="Normal"/>
        <w:bidi w:val="0"/>
        <w:jc w:val="left"/>
        <w:rPr/>
      </w:pPr>
      <w:r>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pPr>
      <w:r>
        <w:rPr/>
        <w:t>&lt;a id="ref-windrich-2016"&gt;&lt;/a&gt; Windrich, M., Grimmer, M., Christ, O., Rinderknecht, S., &amp; Beckerle, P. (2016). Active lower limb prosthetics: A systematic review of design issues and solutions.</w:t>
      </w:r>
    </w:p>
    <w:p>
      <w:pPr>
        <w:pStyle w:val="Normal"/>
        <w:bidi w:val="0"/>
        <w:jc w:val="left"/>
        <w:rPr/>
      </w:pPr>
      <w:r>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pPr>
      <w:r>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pPr>
      <w:r>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pPr>
      <w:r>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pPr>
      <w:r>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pPr>
      <w:r>
        <w:rPr/>
        <w:t>&lt;a id="ref-nag-2003"&gt;&lt;/a&gt; Nag, A., Nag, P. K., &amp; Desai, H. (2003). Hand anthropometry of Indian women. Indian Journal of Medical Research, 117, 260-269.</w:t>
      </w:r>
    </w:p>
    <w:p>
      <w:pPr>
        <w:pStyle w:val="Normal"/>
        <w:bidi w:val="0"/>
        <w:jc w:val="left"/>
        <w:rPr/>
      </w:pPr>
      <w:r>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pPr>
      <w:r>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pPr>
      <w:r>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pPr>
      <w:r>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pPr>
      <w:r>
        <w:rPr/>
        <w:t>&lt;a id="ref-molenbroek-1998"&gt;&lt;/a&gt; Molenbroek, J. F. M. (1998). Geron study on Dutch elderly anthropometry. DINED database. Delft University of Technology. https://dined.io.tudelft.nl</w:t>
      </w:r>
    </w:p>
    <w:p>
      <w:pPr>
        <w:pStyle w:val="Normal"/>
        <w:bidi w:val="0"/>
        <w:jc w:val="left"/>
        <w:rPr/>
      </w:pPr>
      <w:r>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pPr>
      <w:r>
        <w:rPr/>
        <w:t>&lt;a id="ref-steenbekkers-1998"&gt;&lt;/a&gt; Steenbekkers, L. P. A., &amp; van Beijsterveldt, C. E. M. (Eds.). (1998). Design-relevant characteristics of ageing users. Delft University Press.</w:t>
      </w:r>
    </w:p>
    <w:p>
      <w:pPr>
        <w:pStyle w:val="Normal"/>
        <w:bidi w:val="0"/>
        <w:jc w:val="left"/>
        <w:rPr/>
      </w:pPr>
      <w:r>
        <w:rPr/>
        <w:t>&lt;a id="ref-cross-1982"&gt;&lt;/a&gt; Cross, N. (1982). Designerly ways of knowing. Design Studies, 3(4), 221-227. https://doi.org/10.1016/0142-694X(82)90040-0</w:t>
      </w:r>
    </w:p>
    <w:p>
      <w:pPr>
        <w:pStyle w:val="Normal"/>
        <w:bidi w:val="0"/>
        <w:jc w:val="left"/>
        <w:rPr/>
      </w:pPr>
      <w:r>
        <w:rPr/>
        <w:t>&lt;a id="ref-design-council-2020"&gt;&lt;/a&gt; Design Council. (2020). Framework for innovation. https://www.designcouncil.org.uk/our-resources/framework-for-innovation/</w:t>
      </w:r>
    </w:p>
    <w:p>
      <w:pPr>
        <w:pStyle w:val="Normal"/>
        <w:bidi w:val="0"/>
        <w:jc w:val="left"/>
        <w:rPr/>
      </w:pPr>
      <w:r>
        <w:rPr/>
        <w:t>&lt;a id="ref-frayling-1994"&gt;&lt;/a&gt; Frayling, C. (1994). Research in art and design (Royal College of Art Research Papers, Vol. 1, No. 1, 1993/4). Royal College of Art.</w:t>
      </w:r>
    </w:p>
    <w:p>
      <w:pPr>
        <w:pStyle w:val="Normal"/>
        <w:bidi w:val="0"/>
        <w:jc w:val="left"/>
        <w:rPr/>
      </w:pPr>
      <w:r>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pPr>
      <w:r>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pPr>
      <w:r>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pPr>
      <w:r>
        <w:rPr/>
        <w:t>&lt;a id="ref-guo-2025"&gt;&lt;/a&gt; Guo, M. (2025). Human-centered design strategies for prosthetics based on user needs. Interdisciplinary Humanities and Communication Studies, 1(1), 39-48.</w:t>
      </w:r>
    </w:p>
    <w:p>
      <w:pPr>
        <w:pStyle w:val="Normal"/>
        <w:bidi w:val="0"/>
        <w:jc w:val="left"/>
        <w:rPr/>
      </w:pPr>
      <w:r>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pPr>
      <w:r>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pPr>
      <w:r>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pPr>
      <w:r>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pPr>
      <w:r>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pPr>
      <w:r>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pPr>
      <w:r>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pPr>
      <w:r>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pPr>
      <w:r>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pPr>
      <w:r>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pPr>
      <w:r>
        <w:rPr/>
        <w:t>&lt;a id="ref-moreo-2016"&gt;&lt;/a&gt; Moreo, A. M. (2016). Parametric design of a 3D printable hand prosthesis for children in developing countries [Master's thesis, Delft University of Technology].</w:t>
      </w:r>
    </w:p>
    <w:p>
      <w:pPr>
        <w:pStyle w:val="Normal"/>
        <w:bidi w:val="0"/>
        <w:jc w:val="left"/>
        <w:rPr/>
      </w:pPr>
      <w:r>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pPr>
      <w:r>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pPr>
      <w:r>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pPr>
      <w:r>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pPr>
      <w:r>
        <w:rPr/>
        <w:t>&lt;a id="ref-nilsiam-2017"&gt;&lt;/a&gt; Nilsiam, Y., &amp; Pearce, J. M. (2017). Free and open source 3-D model customizer for websites to democratize design with OpenSCAD. Designs, 1(1), 5. https://doi.org/10.3390/designs1010005</w:t>
      </w:r>
    </w:p>
    <w:p>
      <w:pPr>
        <w:pStyle w:val="Normal"/>
        <w:bidi w:val="0"/>
        <w:jc w:val="left"/>
        <w:rPr/>
      </w:pPr>
      <w:r>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pPr>
      <w:r>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pPr>
      <w:r>
        <w:rPr/>
        <w:t>&lt;a id="ref-yu-2013"&gt;&lt;/a&gt; Yu, A., Yick, K. L., Ng, S. P., &amp; Yip, J. (2013). 2D and 3D anatomical analyses of hand dimensions for custom-made gloves. Applied Ergonomics, 44, 381-392.</w:t>
      </w:r>
    </w:p>
    <w:p>
      <w:pPr>
        <w:pStyle w:val="Normal"/>
        <w:bidi w:val="0"/>
        <w:jc w:val="left"/>
        <w:rPr/>
      </w:pPr>
      <w:r>
        <w:rPr/>
        <w:t xml:space="preserve">&lt;a id="ref-base-local-antropometrica-2026"&gt;&lt;/a&gt; Base local consolidada de dados antropométricos da mão e do membro superior distal. (2026). [Conjunto de dados]. Material de apoio da investigação, </w:t>
      </w:r>
      <w:r>
        <w:rPr>
          <w:rFonts w:ascii="Consolas" w:hAnsi="Consolas"/>
          <w:sz w:val="20"/>
        </w:rPr>
        <w:t>material/antropometria/dados antropométricos/multi</w:t>
      </w:r>
      <w:r>
        <w:rPr>
          <w:i/>
        </w:rPr>
        <w:t>population</w:t>
      </w:r>
      <w:r>
        <w:rPr/>
        <w:t>hand.csv</w:t>
      </w:r>
      <w:r>
        <w:rPr>
          <w:rFonts w:ascii="Consolas" w:hAnsi="Consolas"/>
          <w:sz w:val="20"/>
        </w:rPr>
        <w:t>.</w:t>
      </w:r>
    </w:p>
    <w:p>
      <w:pPr>
        <w:pStyle w:val="Normal"/>
        <w:bidi w:val="0"/>
        <w:jc w:val="left"/>
        <w:rPr/>
      </w:pPr>
      <w:r>
        <w:rPr/>
        <w:t>&lt;a id="ref-1-definir-o-que-e-propriocep"&gt;&lt;/a&gt;</w:t>
      </w:r>
    </w:p>
    <w:p>
      <w:pPr>
        <w:pStyle w:val="Normal"/>
        <w:bidi w:val="0"/>
        <w:jc w:val="left"/>
        <w:rPr/>
      </w:pPr>
      <w:r>
        <w:rPr/>
        <w:t>&lt;a id="ref-2-meter-este-link-na-bibliog"&gt;&lt;/a&gt;</w:t>
      </w:r>
    </w:p>
    <w:p>
      <w:pPr>
        <w:pStyle w:val="Normal"/>
        <w:bidi w:val="0"/>
        <w:jc w:val="left"/>
        <w:rPr/>
      </w:pPr>
      <w:r>
        <w:rPr/>
        <w:t>&lt;a id="ref-3-nao-e-bem-marcacao-ne-te"&gt;&lt;/a&gt;</w:t>
      </w:r>
    </w:p>
    <w:p>
      <w:pPr>
        <w:pStyle w:val="Normal"/>
        <w:bidi w:val="0"/>
        <w:jc w:val="left"/>
        <w:rPr/>
      </w:pPr>
      <w:r>
        <w:rPr/>
        <w:t>&lt;a id="ref-4-cool-mas-se-calhar-so-se"&gt;&lt;/a&gt;</w:t>
      </w:r>
    </w:p>
    <w:p>
      <w:pPr>
        <w:pStyle w:val="Normal"/>
        <w:bidi w:val="0"/>
        <w:jc w:val="left"/>
        <w:rPr/>
      </w:pPr>
      <w:r>
        <w:rPr/>
        <w:t>&lt;a id="ref-5-vamos-adicionar-a-citacao"&gt;&lt;/a&gt;</w:t>
      </w:r>
    </w:p>
    <w:p>
      <w:pPr>
        <w:pStyle w:val="Normal"/>
        <w:bidi w:val="0"/>
        <w:jc w:val="left"/>
        <w:rPr/>
      </w:pPr>
      <w:r>
        <w:rPr/>
        <w:t>&lt;a id="ref-6-explicar-oque-sao-todos-es"&gt;&lt;/a&gt;</w:t>
      </w:r>
    </w:p>
    <w:p>
      <w:pPr>
        <w:pStyle w:val="Normal"/>
        <w:bidi w:val="0"/>
        <w:jc w:val="left"/>
        <w:rPr/>
      </w:pPr>
      <w:r>
        <w:rPr/>
        <w:t>&lt;a id="ref-7-definir-seed-design"&gt;&lt;/a&gt;</w:t>
      </w:r>
    </w:p>
    <w:p>
      <w:pPr>
        <w:pStyle w:val="Normal"/>
        <w:bidi w:val="0"/>
        <w:jc w:val="left"/>
        <w:rPr/>
      </w:pPr>
      <w:r>
        <w:rPr/>
        <w:t>&lt;a id="ref-8-escalonados-amplicados-e"&gt;&lt;/a&gt;</w:t>
      </w:r>
    </w:p>
    <w:p>
      <w:pPr>
        <w:pStyle w:val="Normal"/>
        <w:bidi w:val="0"/>
        <w:jc w:val="left"/>
        <w:rPr/>
      </w:pPr>
      <w:r>
        <w:rPr/>
        <w:t>&lt;a id="ref-9-toda-esta-frase-podia-ser"&gt;&lt;/a&gt;</w:t>
      </w:r>
    </w:p>
    <w:p>
      <w:pPr>
        <w:pStyle w:val="Normal"/>
        <w:bidi w:val="0"/>
        <w:jc w:val="left"/>
        <w:rPr/>
      </w:pPr>
      <w:r>
        <w:rPr/>
        <w:t>&lt;a id="ref-10-posso-igualmente-aumentar"&gt;&lt;/a&gt;</w:t>
      </w:r>
    </w:p>
    <w:p>
      <w:pPr>
        <w:pStyle w:val="Normal"/>
        <w:bidi w:val="0"/>
        <w:jc w:val="left"/>
        <w:rPr/>
      </w:pPr>
      <w:r>
        <w:rPr/>
        <w:t>&lt;a id="ref-11-nao-me-soa-super-bem"&gt;&lt;/a&gt;</w:t>
      </w:r>
    </w:p>
    <w:p>
      <w:pPr>
        <w:pStyle w:val="Normal"/>
        <w:bidi w:val="0"/>
        <w:jc w:val="left"/>
        <w:rPr/>
      </w:pPr>
      <w:r>
        <w:rPr/>
        <w:t>&lt;a id="ref-12-estou-a-bater-mal-ou-ja-e"&gt;&lt;/a&gt;</w:t>
      </w:r>
    </w:p>
    <w:p>
      <w:pPr>
        <w:pStyle w:val="Normal"/>
        <w:bidi w:val="0"/>
        <w:jc w:val="left"/>
        <w:rPr/>
      </w:pPr>
      <w:r>
        <w:rPr/>
        <w:t>&lt;a id="ref-13-penalizacoes-e-um-pouco-f"&gt;&lt;/a&gt;</w:t>
      </w:r>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false"/>
        <w:bidi w:val="0"/>
        <w:rPr/>
      </w:pPr>
      <w:r>
        <w:annotationRef/>
      </w:r>
      <w:r>
        <w:rPr/>
        <w:t xml:space="preserve"> material/prosthetics-design/A review of technology, materials and R&amp;D challenges of upper limb prosthesis for improved user suitability.pdf</w:t>
      </w:r>
    </w:p>
    <w:p>
      <w:pPr>
        <w:overflowPunct w:val="false"/>
        <w:bidi w:val="0"/>
        <w:rPr/>
      </w:pPr>
      <w:r>
        <w:rPr/>
      </w:r>
    </w:p>
    <w:p>
      <w:pPr>
        <w:overflowPunct w:val="false"/>
        <w:bidi w:val="0"/>
        <w:rPr/>
      </w:pPr>
      <w:r>
        <w:rPr/>
        <w:t xml:space="preserve">  Ela sustenta a classificação assim: Brack e Amalu classificam a tecnologia de próteses de membro superior em próteses passivas, ativas e híbridas; depois</w:t>
      </w:r>
    </w:p>
    <w:p>
      <w:pPr>
        <w:overflowPunct w:val="false"/>
        <w:bidi w:val="0"/>
        <w:rPr/>
      </w:pPr>
      <w:r>
        <w:rPr/>
        <w:t xml:space="preserve">  subdividem as ativas em acionadas pelo corpo e mioelétricas. Também definem as híbridas como combinação de componentes acionados pelo corpo e mioelétricos.</w:t>
      </w:r>
    </w:p>
    <w:p>
      <w:pPr>
        <w:overflowPunct w:val="false"/>
        <w:bidi w:val="0"/>
        <w:rPr/>
      </w:pPr>
      <w:r>
        <w:rPr/>
      </w:r>
    </w:p>
    <w:p>
      <w:pPr>
        <w:overflowPunct w:val="false"/>
        <w:bidi w:val="0"/>
        <w:rPr/>
      </w:pPr>
      <w:r>
        <w:rPr/>
        <w:t xml:space="preserve">  Podes citar a frase como:</w:t>
      </w:r>
    </w:p>
    <w:p>
      <w:pPr>
        <w:overflowPunct w:val="false"/>
        <w:bidi w:val="0"/>
        <w:rPr/>
      </w:pPr>
      <w:r>
        <w:rPr/>
      </w:r>
    </w:p>
    <w:p>
      <w:pPr>
        <w:overflowPunct w:val="false"/>
        <w:bidi w:val="0"/>
        <w:rPr/>
      </w:pPr>
      <w:r>
        <w:rPr/>
        <w:t xml:space="preserve">  &gt; As próteses de membro superior podem ser classificadas de acordo com a fonte de energia e o mecanismo de controlo, distinguindo-se próteses passivas, acionadas</w:t>
      </w:r>
    </w:p>
    <w:p>
      <w:pPr>
        <w:overflowPunct w:val="false"/>
        <w:bidi w:val="0"/>
        <w:rPr/>
      </w:pPr>
      <w:r>
        <w:rPr/>
        <w:t xml:space="preserve">  &gt; pelo corpo, mioelétricas e híbridas (Brack &amp; Amalu, 2021).</w:t>
      </w:r>
    </w:p>
    <w:p>
      <w:pPr>
        <w:overflowPunct w:val="false"/>
        <w:bidi w:val="0"/>
        <w:rPr/>
      </w:pPr>
      <w:r>
        <w:rPr/>
      </w:r>
    </w:p>
    <w:p>
      <w:pPr>
        <w:overflowPunct w:val="false"/>
        <w:bidi w:val="0"/>
        <w:rPr/>
      </w:pPr>
      <w:r>
        <w:rPr/>
        <w:t xml:space="preserve">  Entrada APA 7:</w:t>
      </w:r>
    </w:p>
    <w:p>
      <w:pPr>
        <w:overflowPunct w:val="false"/>
        <w:bidi w:val="0"/>
        <w:rPr/>
      </w:pPr>
      <w:r>
        <w:rPr/>
      </w:r>
    </w:p>
    <w:p>
      <w:pPr>
        <w:overflowPunct w:val="false"/>
        <w:bidi w:val="0"/>
        <w:rPr/>
      </w:pPr>
      <w:r>
        <w:rPr/>
        <w:t xml:space="preserve">  Brack, R., &amp; Amalu, E. H. (2021). A review of technology, materials and R&amp;D challenges of upper limb prosthesis for improved user suitability. Journal of</w:t>
      </w:r>
    </w:p>
    <w:p>
      <w:pPr>
        <w:overflowPunct w:val="false"/>
        <w:bidi w:val="0"/>
        <w:rPr/>
      </w:pPr>
      <w:r>
        <w:rPr/>
        <w:t xml:space="preserve">  Orthopaedics, 23, 88–96. https://doi.org/10.1016/j.jor.2020.12.009</w:t>
      </w:r>
    </w:p>
    <w:p>
      <w:pPr>
        <w:overflowPunct w:val="false"/>
        <w:bidi w:val="0"/>
        <w:rPr/>
      </w:pPr>
      <w:r>
        <w:rPr/>
      </w:r>
    </w:p>
  </w:comment>
  <w:comment w:id="1" w:author="Unknown Author" w:date="2026-06-30T20:08:54Z" w:initials="">
    <w:p>
      <w:pPr>
        <w:overflowPunct w:val="false"/>
        <w:bidi w:val="0"/>
        <w:rPr/>
      </w:pPr>
      <w:r>
        <w:annotationRef/>
      </w:r>
      <w:r>
        <w:rPr/>
        <w:t>Meter a norma</w:t>
      </w:r>
    </w:p>
  </w:comment>
  <w:comment w:id="2" w:author="Unknown Author" w:date="2026-06-30T20:11:38Z" w:initials="">
    <w:p>
      <w:pPr>
        <w:overflowPunct w:val="false"/>
        <w:bidi w:val="0"/>
        <w:rPr/>
      </w:pPr>
      <w:r>
        <w:annotationRef/>
      </w:r>
      <w:r>
        <w:rPr/>
        <w:t>Explicar o prisma</w:t>
      </w:r>
    </w:p>
  </w:comment>
  <w:comment w:id="3" w:author="Unknown Author" w:date="2026-06-30T20:17:49Z" w:initials="">
    <w:p>
      <w:pPr>
        <w:overflowPunct w:val="false"/>
        <w:bidi w:val="0"/>
        <w:rPr/>
      </w:pPr>
      <w:r>
        <w:annotationRef/>
      </w:r>
      <w:r>
        <w:rPr/>
        <w:t>Quem diz?</w:t>
      </w:r>
    </w:p>
    <w:p>
      <w:pPr>
        <w:overflowPunct w:val="false"/>
        <w:bidi w:val="0"/>
        <w:rPr/>
      </w:pPr>
      <w:r>
        <w:rPr/>
      </w:r>
    </w:p>
    <w:p>
      <w:pPr>
        <w:overflowPunct w:val="false"/>
        <w:bidi w:val="0"/>
        <w:rPr/>
      </w:pPr>
      <w:r>
        <w:rPr/>
        <w:t xml:space="preserve"> Privitera, M. (2017). Designing industrial design in the highly regulated medical device development process: Defining our valuable contribution towards</w:t>
      </w:r>
    </w:p>
    <w:p>
      <w:pPr>
        <w:overflowPunct w:val="false"/>
        <w:bidi w:val="0"/>
        <w:rPr/>
      </w:pPr>
      <w:r>
        <w:rPr/>
        <w:t xml:space="preserve">  usability. The Design Journal, 20(sup1), S2190–S2206. https://doi.org/10.1080/14606925.2017.1352735</w:t>
      </w:r>
    </w:p>
    <w:p>
      <w:pPr>
        <w:overflowPunct w:val="false"/>
        <w:bidi w:val="0"/>
        <w:rPr/>
      </w:pPr>
      <w:r>
        <w:rPr/>
      </w:r>
    </w:p>
    <w:p>
      <w:pPr>
        <w:overflowPunct w:val="false"/>
        <w:bidi w:val="0"/>
        <w:rPr/>
      </w:pPr>
      <w:r>
        <w:rPr/>
        <w:t xml:space="preserve">  Oldfrey, B. M., et al. (2024). A scoping review of digital fabrication techniques applied to prosthetics and orthotics: Part 1 of 2: Prosthetics. Prosthetics and</w:t>
      </w:r>
    </w:p>
    <w:p>
      <w:pPr>
        <w:overflowPunct w:val="false"/>
        <w:bidi w:val="0"/>
        <w:rPr/>
      </w:pPr>
      <w:r>
        <w:rPr/>
        <w:t xml:space="preserve">  Orthotics International, 48, 574–589. https://doi.org/10.1097/PXR.0000000000000351</w:t>
      </w:r>
    </w:p>
    <w:p>
      <w:pPr>
        <w:overflowPunct w:val="false"/>
        <w:bidi w:val="0"/>
        <w:rPr/>
      </w:pPr>
      <w:r>
        <w:rPr/>
      </w:r>
    </w:p>
    <w:p>
      <w:pPr>
        <w:overflowPunct w:val="false"/>
        <w:bidi w:val="0"/>
        <w:rPr/>
      </w:pPr>
      <w:r>
        <w:rPr/>
        <w:t xml:space="preserve">  Mc Guinness, E., Patel, D., Patrick, M., &amp; Austin, V. (2025). Outcomes of assistive technology use by sex and gender: A scoping review. Disability and</w:t>
      </w:r>
    </w:p>
    <w:p>
      <w:pPr>
        <w:overflowPunct w:val="false"/>
        <w:bidi w:val="0"/>
        <w:rPr/>
      </w:pPr>
      <w:r>
        <w:rPr/>
        <w:t xml:space="preserve">  Rehabilitation: Assistive Technology, 20(8), 2666–2690. https://doi.org/10.1080/17483107.2025.2516615</w:t>
      </w:r>
    </w:p>
    <w:p>
      <w:pPr>
        <w:overflowPunct w:val="false"/>
        <w:bidi w:val="0"/>
        <w:rPr/>
      </w:pPr>
      <w:r>
        <w:rPr/>
      </w:r>
    </w:p>
  </w:comment>
  <w:comment w:id="4" w:author="Unknown Author" w:date="2026-06-30T20:34:34Z" w:initials="">
    <w:p>
      <w:pPr>
        <w:overflowPunct w:val="false"/>
        <w:bidi w:val="0"/>
        <w:rPr/>
      </w:pPr>
      <w:r>
        <w:annotationRef/>
      </w:r>
      <w:r>
        <w:rPr/>
        <w:t>Escalados ou escalonados</w:t>
      </w:r>
    </w:p>
  </w:comment>
  <w:comment w:id="6" w:author="Unknown Author" w:date="2026-06-30T20:44:05Z" w:initials="">
    <w:p>
      <w:pPr>
        <w:overflowPunct w:val="false"/>
        <w:bidi w:val="0"/>
        <w:rPr/>
      </w:pPr>
      <w:r>
        <w:annotationRef/>
      </w:r>
      <w:r>
        <w:rPr/>
        <w:t>Mesmo problema</w:t>
      </w:r>
    </w:p>
    <w:p>
      <w:pPr>
        <w:overflowPunct w:val="false"/>
        <w:bidi w:val="0"/>
        <w:rPr/>
      </w:pPr>
      <w:r>
        <w:rPr/>
      </w:r>
    </w:p>
  </w:comment>
  <w:comment w:id="5" w:author="Unknown Author" w:date="2026-06-30T20:36:00Z" w:initials="">
    <w:p>
      <w:pPr>
        <w:overflowPunct w:val="false"/>
        <w:bidi w:val="0"/>
        <w:rPr/>
      </w:pPr>
      <w:r>
        <w:annotationRef/>
      </w:r>
      <w:r>
        <w:rPr/>
        <w:t>Não me recordo se escrevemos antes FA ou não.</w:t>
      </w:r>
    </w:p>
  </w:comment>
  <w:comment w:id="7" w:author="Unknown Author" w:date="2026-06-30T20:54:43Z" w:initials="">
    <w:p>
      <w:pPr>
        <w:overflowPunct w:val="false"/>
        <w:bidi w:val="0"/>
        <w:rPr/>
      </w:pPr>
      <w:r>
        <w:annotationRef/>
      </w:r>
      <w:r>
        <w:rPr/>
        <w:t>E meter isto em português de portugal?</w:t>
      </w:r>
    </w:p>
  </w:comment>
  <w:comment w:id="8" w:author="Unknown Author" w:date="2026-06-30T21:02:37Z" w:initials="">
    <w:p>
      <w:pPr>
        <w:overflowPunct w:val="false"/>
        <w:bidi w:val="0"/>
        <w:rPr/>
      </w:pPr>
      <w:r>
        <w:annotationRef/>
      </w:r>
      <w:r>
        <w:rPr/>
        <w:t>É meter aqui uma nota a explicar o que é uma fronteira de pareto.</w:t>
      </w:r>
    </w:p>
  </w:comment>
  <w:comment w:id="10" w:author="Unknown Author" w:date="2026-06-30T21:07:24Z" w:initials="">
    <w:p>
      <w:pPr>
        <w:overflowPunct w:val="false"/>
        <w:bidi w:val="0"/>
        <w:rPr/>
      </w:pPr>
      <w:r>
        <w:annotationRef/>
      </w:r>
      <w:r>
        <w:rPr/>
        <w:t>Antes já tinhamos apontado para FA</w:t>
      </w:r>
    </w:p>
  </w:comment>
  <w:comment w:id="9" w:author="Unknown Author" w:date="2026-06-30T21:07:04Z" w:initials="">
    <w:p>
      <w:pPr>
        <w:overflowPunct w:val="false"/>
        <w:bidi w:val="0"/>
        <w:rPr/>
      </w:pPr>
      <w:r>
        <w:annotationRef/>
      </w:r>
      <w:r>
        <w:rPr/>
        <w:t>É preciso definir o que é CAD/CAM</w:t>
      </w:r>
    </w:p>
  </w:comment>
  <w:comment w:id="11" w:author="Unknown Author" w:date="2026-06-30T21:11:54Z" w:initials="">
    <w:p>
      <w:pPr>
        <w:overflowPunct w:val="false"/>
        <w:bidi w:val="0"/>
        <w:rPr/>
      </w:pPr>
      <w:r>
        <w:annotationRef/>
      </w:r>
      <w:r>
        <w:rPr/>
        <w:t>Um proxy? Brooooo</w:t>
      </w:r>
    </w:p>
    <w:p>
      <w:pPr>
        <w:overflowPunct w:val="false"/>
        <w:bidi w:val="0"/>
        <w:rPr/>
      </w:pPr>
      <w:r>
        <w:rPr/>
      </w:r>
    </w:p>
  </w:comment>
  <w:comment w:id="12" w:author="Unknown Author" w:date="2026-07-01T07:18:56Z" w:initials="">
    <w:p>
      <w:pPr>
        <w:overflowPunct w:val="false"/>
        <w:bidi w:val="0"/>
        <w:rPr/>
      </w:pPr>
      <w:r>
        <w:annotationRef/>
      </w:r>
      <w:r>
        <w:rPr/>
        <w:t>Sem ser in engrishe prease</w:t>
      </w:r>
    </w:p>
  </w:comment>
  <w:comment w:id="13" w:author="Unknown Author" w:date="2026-07-01T07:37:46Z" w:initials="">
    <w:p>
      <w:pPr>
        <w:overflowPunct w:val="false"/>
        <w:bidi w:val="0"/>
        <w:rPr/>
      </w:pPr>
      <w:r>
        <w:annotationRef/>
      </w:r>
      <w:r>
        <w:rPr/>
        <w:t>Isto parece-me perdido aqui</w:t>
      </w:r>
    </w:p>
  </w:comment>
  <w:comment w:id="15" w:author="Unknown Author" w:date="2026-07-01T07:38:17Z" w:initials="">
    <w:p>
      <w:pPr>
        <w:overflowPunct w:val="false"/>
        <w:bidi w:val="0"/>
        <w:rPr/>
      </w:pPr>
      <w:r>
        <w:annotationRef/>
      </w:r>
      <w:r>
        <w:rPr/>
        <w:t>É preciso explicar o que é a modelação estatística de forma</w:t>
      </w:r>
    </w:p>
  </w:comment>
  <w:comment w:id="14" w:author="Unknown Author" w:date="2026-07-01T07:38:53Z" w:initials="">
    <w:p>
      <w:pPr>
        <w:overflowPunct w:val="false"/>
        <w:bidi w:val="0"/>
        <w:rPr/>
      </w:pPr>
      <w:r>
        <w:annotationRef/>
      </w:r>
      <w:r>
        <w:rPr/>
        <w:t>É preciso explicar o que é um CT/MRI</w:t>
      </w:r>
    </w:p>
  </w:comment>
  <w:comment w:id="16" w:author="Unknown Author" w:date="2026-07-01T07:40:04Z" w:initials="">
    <w:p>
      <w:pPr>
        <w:overflowPunct w:val="false"/>
        <w:bidi w:val="0"/>
        <w:rPr/>
      </w:pPr>
      <w:r>
        <w:annotationRef/>
      </w:r>
      <w:r>
        <w:rPr/>
        <w:t>Explicar o que são hot spots térmicos</w:t>
      </w:r>
    </w:p>
  </w:comment>
  <w:comment w:id="17" w:author="Unknown Author" w:date="2026-07-01T07:42:10Z" w:initials="">
    <w:p>
      <w:pPr>
        <w:overflowPunct w:val="false"/>
        <w:bidi w:val="0"/>
        <w:rPr/>
      </w:pPr>
      <w:r>
        <w:annotationRef/>
      </w:r>
      <w:r>
        <w:rPr/>
        <w:t>Com PCA? Claro, bro. E vai querer mais alguma coisa para comer?</w:t>
      </w:r>
    </w:p>
  </w:comment>
  <w:comment w:id="18" w:author="Unknown Author" w:date="2026-07-01T07:42:41Z" w:initials="">
    <w:p>
      <w:pPr>
        <w:overflowPunct w:val="false"/>
        <w:bidi w:val="0"/>
        <w:rPr/>
      </w:pPr>
      <w:r>
        <w:annotationRef/>
      </w:r>
      <w:r>
        <w:rPr/>
        <w:t>Definir sigla</w:t>
      </w:r>
    </w:p>
  </w:comment>
  <w:comment w:id="19" w:author="Unknown Author" w:date="2026-07-01T07:50:57Z" w:initials="">
    <w:p>
      <w:pPr>
        <w:overflowPunct w:val="false"/>
        <w:bidi w:val="0"/>
        <w:rPr/>
      </w:pPr>
      <w:r>
        <w:annotationRef/>
      </w:r>
      <w:r>
        <w:rPr/>
        <w:t>Vamos definir</w:t>
      </w:r>
    </w:p>
  </w:comment>
  <w:comment w:id="20" w:author="Unknown Author" w:date="2026-07-01T08:01:54Z" w:initials="">
    <w:p>
      <w:pPr>
        <w:overflowPunct w:val="false"/>
        <w:bidi w:val="0"/>
        <w:rPr/>
      </w:pPr>
      <w:r>
        <w:annotationRef/>
      </w:r>
      <w:r>
        <w:rPr/>
        <w:t>O que é um prompt? É preciso definir</w:t>
      </w:r>
    </w:p>
  </w:comment>
  <w:comment w:id="21" w:author="Unknown Author" w:date="2026-07-01T08:10:15Z" w:initials="">
    <w:p>
      <w:pPr>
        <w:overflowPunct w:val="false"/>
        <w:bidi w:val="0"/>
        <w:rPr/>
      </w:pPr>
      <w:r>
        <w:annotationRef/>
      </w:r>
      <w:r>
        <w:rPr/>
        <w:t>Não sei se julgamento é a expressão correta</w:t>
      </w:r>
    </w:p>
  </w:comment>
  <w:comment w:id="22" w:author="Unknown Author" w:date="2026-07-01T08:12:05Z" w:initials="">
    <w:p>
      <w:pPr>
        <w:overflowPunct w:val="false"/>
        <w:bidi w:val="0"/>
        <w:rPr/>
      </w:pPr>
      <w:r>
        <w:annotationRef/>
      </w:r>
      <w:r>
        <w:rPr/>
        <w:t>É uma boa frase se queres fazer de jesus pq vais ser cruxificado</w:t>
      </w:r>
    </w:p>
  </w:comment>
  <w:comment w:id="23" w:author="Unknown Author" w:date="2026-07-01T19:07:33Z" w:initials="">
    <w:p>
      <w:pPr>
        <w:overflowPunct w:val="true"/>
        <w:bidi w:val="0"/>
        <w:rPr/>
      </w:pPr>
      <w:r>
        <w:annotationRef/>
      </w:r>
      <w:r>
        <w:rPr/>
        <w:t>Precisas de definir o meta design</w:t>
      </w:r>
    </w:p>
  </w:comment>
  <w:comment w:id="24" w:author="Unknown Author" w:date="2026-07-01T19:08:06Z" w:initials="">
    <w:p>
      <w:pPr>
        <w:overflowPunct w:val="true"/>
        <w:bidi w:val="0"/>
        <w:rPr/>
      </w:pPr>
      <w:r>
        <w:annotationRef/>
      </w:r>
      <w:r>
        <w:rPr/>
        <w:t>Tens que desenvolver isto pare perceber seisto faz sentido de estar aqui ou se cortamos</w:t>
      </w:r>
    </w:p>
  </w:comment>
  <w:comment w:id="25" w:author="Unknown Author" w:date="2026-07-01T19:09:25Z" w:initials="">
    <w:p>
      <w:pPr>
        <w:overflowPunct w:val="true"/>
        <w:bidi w:val="0"/>
        <w:rPr/>
      </w:pPr>
      <w:r>
        <w:annotationRef/>
      </w:r>
      <w:r>
        <w:rPr/>
        <w:t>FALA PORTUGUÊS!</w:t>
      </w:r>
    </w:p>
  </w:comment>
  <w:comment w:id="26" w:author="Unknown Author" w:date="2026-07-01T20:23:09Z" w:initials="">
    <w:p>
      <w:pPr>
        <w:overflowPunct w:val="true"/>
        <w:bidi w:val="0"/>
        <w:rPr/>
      </w:pPr>
      <w:r>
        <w:annotationRef/>
      </w:r>
      <w:r>
        <w:rPr/>
        <w:t>E definir isto?</w:t>
      </w:r>
    </w:p>
  </w:comment>
  <w:comment w:id="27" w:author="Unknown Author" w:date="2026-07-01T20:24:02Z" w:initials="">
    <w:p>
      <w:pPr>
        <w:overflowPunct w:val="true"/>
        <w:bidi w:val="0"/>
        <w:rPr/>
      </w:pPr>
      <w:r>
        <w:annotationRef/>
      </w:r>
      <w:r>
        <w:rPr/>
        <w:t>Não precisava claramente de ser uma tabela</w:t>
      </w:r>
    </w:p>
  </w:comment>
  <w:comment w:id="28" w:author="Unknown Author" w:date="2026-07-01T20:42:22Z" w:initials="">
    <w:p>
      <w:pPr>
        <w:overflowPunct w:val="true"/>
        <w:bidi w:val="0"/>
        <w:rPr/>
      </w:pPr>
      <w:r>
        <w:annotationRef/>
      </w:r>
      <w:r>
        <w:rPr/>
        <w:t>Definir o que são</w:t>
      </w:r>
    </w:p>
    <w:p>
      <w:pPr>
        <w:overflowPunct w:val="true"/>
        <w:bidi w:val="0"/>
        <w:rPr/>
      </w:pPr>
      <w:r>
        <w:rPr/>
      </w:r>
    </w:p>
  </w:comment>
  <w:comment w:id="29" w:author="Unknown Author" w:date="2026-07-01T20:43:47Z" w:initials="">
    <w:p>
      <w:pPr>
        <w:overflowPunct w:val="true"/>
        <w:bidi w:val="0"/>
        <w:rPr/>
      </w:pPr>
      <w:r>
        <w:annotationRef/>
      </w:r>
      <w:r>
        <w:rPr/>
        <w:t>É a primeira vez que estás a falar sobre isto. É preciso referir e explicar algures antes deste ponto o que é a Vitoria Hand Project e Já agora a E-Nabled</w:t>
      </w:r>
    </w:p>
  </w:comment>
  <w:comment w:id="30" w:author="Unknown Author" w:date="2026-07-01T21:09:50Z" w:initials="">
    <w:p>
      <w:pPr>
        <w:overflowPunct w:val="true"/>
        <w:bidi w:val="0"/>
        <w:rPr/>
      </w:pPr>
      <w:r>
        <w:annotationRef/>
      </w:r>
      <w:r>
        <w:rPr/>
        <w:t>Vamos adicionar uma nota a definir o que é</w:t>
      </w:r>
    </w:p>
  </w:comment>
  <w:comment w:id="31" w:author="Unknown Author" w:date="2026-07-01T21:02:39Z" w:initials="">
    <w:p>
      <w:pPr>
        <w:overflowPunct w:val="true"/>
        <w:bidi w:val="0"/>
        <w:rPr/>
      </w:pPr>
      <w:r>
        <w:annotationRef/>
      </w:r>
      <w:r>
        <w:rPr/>
        <w:t>Esta legenda precisa de mais explicação sobre o que são proteses UL, 3DP, LL other, etc</w:t>
      </w:r>
    </w:p>
    <w:p>
      <w:pPr>
        <w:overflowPunct w:val="true"/>
        <w:bidi w:val="0"/>
        <w:rPr/>
      </w:pPr>
      <w:r>
        <w:rPr/>
      </w:r>
    </w:p>
  </w:comment>
  <w:comment w:id="32" w:author="Unknown Author" w:date="2026-07-02T17:25:21Z" w:initials="">
    <w:p>
      <w:pPr>
        <w:overflowPunct w:val="true"/>
        <w:bidi w:val="0"/>
        <w:rPr/>
      </w:pPr>
      <w:r>
        <w:annotationRef/>
      </w:r>
      <w:r>
        <w:rPr/>
        <w:t>Podemos adicionar aquele gráfico todo bonito que fizeste antes.</w:t>
      </w:r>
    </w:p>
  </w:comment>
  <w:comment w:id="33" w:author="Unknown Author" w:date="2026-07-02T17:36:42Z" w:initials="">
    <w:p>
      <w:pPr>
        <w:overflowPunct w:val="true"/>
        <w:bidi w:val="0"/>
        <w:rPr/>
      </w:pPr>
      <w:r>
        <w:annotationRef/>
      </w:r>
      <w:r>
        <w:rPr/>
        <w:t>Isto já fiu definido anteriormento?</w:t>
      </w:r>
    </w:p>
  </w:comment>
  <w:comment w:id="34" w:author="Unknown Author" w:date="2026-07-02T17:57:37Z" w:initials="">
    <w:p>
      <w:pPr>
        <w:overflowPunct w:val="true"/>
        <w:bidi w:val="0"/>
        <w:rPr/>
      </w:pPr>
      <w:r>
        <w:annotationRef/>
      </w:r>
      <w:r>
        <w:rPr/>
        <w:t>Aqui é que podemos meter o nosso gráfico bonitolas</w:t>
      </w:r>
    </w:p>
  </w:comment>
  <w:comment w:id="35" w:author="Unknown Author" w:date="2026-07-02T18:05:03Z" w:initials="">
    <w:p>
      <w:pPr>
        <w:overflowPunct w:val="true"/>
        <w:bidi w:val="0"/>
        <w:rPr/>
      </w:pPr>
      <w:r>
        <w:annotationRef/>
      </w:r>
      <w:r>
        <w:rPr/>
        <w:t>Falo disto? Acho que não faço em PLA e PETG</w:t>
      </w:r>
    </w:p>
  </w:comment>
  <w:comment w:id="36" w:author="Unknown Author" w:date="2026-07-03T13:45:05Z" w:initials="">
    <w:p>
      <w:pPr>
        <w:overflowPunct w:val="true"/>
        <w:bidi w:val="0"/>
        <w:rPr/>
      </w:pPr>
      <w:r>
        <w:annotationRef/>
      </w:r>
      <w:r>
        <w:rPr/>
        <w:t>Estás a entrar em modo repetição outra vez.</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7"/>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en-US"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yperlink" Target="https://www.semanticscholar.org/paper/305d55af5fda06b4d1b33e7d29c1f16d1b7ea488" TargetMode="External"/><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hyperlink" Target="https://doi.org/10.1109/BioRob60516.2024.10719909" TargetMode="External"/><Relationship Id="rId18" Type="http://schemas.openxmlformats.org/officeDocument/2006/relationships/image" Target="media/image13.png"/><Relationship Id="rId19" Type="http://schemas.openxmlformats.org/officeDocument/2006/relationships/hyperlink" Target="https://doi.org/10.1115/DETC2018-85645" TargetMode="External"/><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comments" Target="comments.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998</TotalTime>
  <Application>LibreOffice/26.2.4.2$Linux_X86_64 LibreOffice_project/3346a99e6b841765b75a9b29714a5b95c6761ce3</Application>
  <AppVersion>15.0000</AppVersion>
  <Pages>100</Pages>
  <Words>38261</Words>
  <Characters>244490</Characters>
  <CharactersWithSpaces>281916</CharactersWithSpaces>
  <Paragraphs>911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dcterms:modified xsi:type="dcterms:W3CDTF">2026-07-03T14:43:31Z</dcterms:modified>
  <cp:revision>10</cp:revision>
  <dc:subject/>
  <dc:title>projecto-completo</dc:title>
</cp:coreProperties>
</file>

<file path=docProps/custom.xml><?xml version="1.0" encoding="utf-8"?>
<Properties xmlns="http://schemas.openxmlformats.org/officeDocument/2006/custom-properties" xmlns:vt="http://schemas.openxmlformats.org/officeDocument/2006/docPropsVTypes"/>
</file>