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80</w:t>
      </w:r>
    </w:p>
    <w:p>
      <w:pPr>
        <w:pStyle w:val="TOC1"/>
        <w:rPr/>
      </w:pPr>
      <w:r>
        <w:rPr/>
        <w:t>Tabela 6.2 — Distribuição de tarefas entre regras, IA e supervisão humana</w:t>
        <w:tab/>
        <w:t>83</w:t>
      </w:r>
    </w:p>
    <w:p>
      <w:pPr>
        <w:pStyle w:val="TOC1"/>
        <w:rPr/>
      </w:pPr>
      <w:r>
        <w:rPr/>
        <w:t>Tabela 8.1 — Evidência do funcionamento da plataforma no processo de projeto</w:t>
        <w:tab/>
        <w:t>89</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1"/>
        <w:gridCol w:w="3964"/>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nos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com base em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commentRangeStart w:id="11"/>
            <w:r>
              <w:rPr>
                <w:rFonts w:eastAsia="Calibri"/>
                <w:b/>
                <w:kern w:val="0"/>
                <w:szCs w:val="24"/>
                <w:lang w:val="pt-PT" w:eastAsia="en-US" w:bidi="ar-SA"/>
              </w:rPr>
              <w:t>Limite da evidência</w:t>
            </w:r>
            <w:commentRangeEnd w:id="11"/>
            <w:r>
              <w:commentReference w:id="11"/>
            </w:r>
            <w:r>
              <w:rPr>
                <w:rFonts w:eastAsia="Calibri"/>
                <w:b/>
                <w:kern w:val="0"/>
                <w:szCs w:val="24"/>
                <w:lang w:val="pt-PT" w:eastAsia="en-US" w:bidi="ar-SA"/>
              </w:rPr>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a argumentação do projeto.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2"/>
      <w:r>
        <w:rPr/>
        <w:t>geração contínua</w:t>
      </w:r>
      <w:r>
        <w:rPr/>
      </w:r>
      <w:commentRangeEnd w:id="12"/>
      <w:r>
        <w:commentReference w:id="12"/>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3"/>
      <w:r>
        <w:rPr/>
        <w:t>, sem demonstrar, por si só, acessibilidade ou facilidade de utilização</w:t>
      </w:r>
      <w:r>
        <w:rPr/>
      </w:r>
      <w:commentRangeEnd w:id="13"/>
      <w:r>
        <w:commentReference w:id="13"/>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w:t>
      </w:r>
      <w:r>
        <w:rPr/>
        <w:t xml:space="preserve">uma </w:t>
      </w:r>
      <w:r>
        <w:rPr/>
        <w:t xml:space="preserve">caixa negra geométrica. A plataforma não substitui o OpenSCAD por uma representação simplificada desligada do código; antes, torna o próprio núcleo algorítmico operável em ambiente </w:t>
      </w:r>
      <w:r>
        <w:rPr>
          <w:i/>
          <w:iCs/>
        </w:rPr>
        <w:t>web</w:t>
      </w:r>
      <w:r>
        <w:rPr/>
        <w:t xml:space="preserve">. Esta integração </w:t>
      </w:r>
      <w:r>
        <w:rPr/>
        <w:t xml:space="preserve">permite ainda </w:t>
      </w:r>
      <w:r>
        <w:rPr/>
        <w:t>reduz</w:t>
      </w:r>
      <w:r>
        <w:rPr/>
        <w:t>ir</w:t>
      </w:r>
      <w:r>
        <w:rPr/>
        <w:t xml:space="preserve">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Em vez de expor o utilizador a um ambiente indiferenciado de opções, a plataforma reparte o trabalho por etapas e componentes com funções distintas. Esta organização é coerente com a literatura sobre configuradores digitai</w:t>
      </w:r>
      <w:r>
        <w:rPr/>
        <w:t>s que realça que</w:t>
      </w:r>
      <w:r>
        <w:rPr/>
        <w:t xml:space="preserv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w:t>
      </w:r>
      <w:r>
        <w:rPr/>
        <w:t>de utilizador</w:t>
      </w:r>
      <w:r>
        <w:rPr/>
        <w:t xml:space="preserve">, a diferenciação de permissões e a atribuição de utilizadores a técnicos. </w:t>
      </w:r>
      <w:r>
        <w:rPr/>
        <w:t>Esta funcionalidade</w:t>
      </w:r>
      <w:r>
        <w:rPr/>
        <w:t xml:space="preserve"> permite representar diferentes níveis de intervenção no protótipo. </w:t>
      </w:r>
      <w:commentRangeStart w:id="14"/>
      <w:r>
        <w:rPr/>
        <w:t xml:space="preserve">Os resultados funcionais disponíveis são </w:t>
      </w:r>
      <w:r>
        <w:rPr/>
        <w:t xml:space="preserve">discutidos </w:t>
      </w:r>
      <w:r>
        <w:rPr/>
        <w:t>na Secção 8.1 e no Anexo B.</w:t>
      </w:r>
      <w:commentRangeEnd w:id="14"/>
      <w:r>
        <w:commentReference w:id="14"/>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w:t>
            </w:r>
            <w:r>
              <w:rPr/>
              <w:t>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w:t>
            </w:r>
            <w:r>
              <w:rPr/>
              <w:t xml:space="preserve"> Prusa Mini</w:t>
            </w:r>
            <w:r>
              <w:rPr/>
              <w:t xml:space="preserve">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Dimensional, IA, exportação, malha, ficheiro de preparação para </w:t>
            </w:r>
            <w:r>
              <w:rPr/>
              <w:t xml:space="preserve">Bambu Lab A1, </w:t>
            </w:r>
            <w:r>
              <w:rPr/>
              <w:t xml:space="preserve">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MakerBlock/e-NABLE; CC BY-NC-SA </w:t>
            </w:r>
            <w:r>
              <w:rPr/>
              <w:t>3</w:t>
            </w:r>
            <w:r>
              <w:rPr/>
              <w:t>.0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 xml:space="preserve">Na documentação original, o Flexy Beast é apresentado como uma combinação do Parametric Cyborg Beast, de MakerBlock, com o Flexy Hand, de Steve Wood/Gyrobot,  </w:t>
      </w:r>
      <w:r>
        <w:rPr/>
        <w:t>h</w:t>
      </w:r>
      <w:r>
        <w:rPr/>
        <w:t>erda</w:t>
      </w:r>
      <w:r>
        <w:rPr/>
        <w:t>ndo</w:t>
      </w:r>
      <w:r>
        <w:rPr/>
        <w:t xml:space="preserve"> deste último </w:t>
      </w:r>
      <w:r>
        <w:rPr/>
        <w:t>modelo</w:t>
      </w:r>
      <w:r>
        <w:rPr/>
        <w:t xml:space="preserve"> </w:t>
      </w:r>
      <w:r>
        <w:rPr/>
        <w:t xml:space="preserve">as </w:t>
      </w:r>
      <w:r>
        <w:rPr/>
        <w:t>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 xml:space="preserve">No caso do </w:t>
      </w:r>
      <w:r>
        <w:rPr/>
        <w:t xml:space="preserve">modelo </w:t>
      </w:r>
      <w:r>
        <w:rPr/>
        <w:t>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apenas no material técnico suplementar.</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explicitada na especificação dos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estrutura paramétrica da braçadeira do Flexy Beast foi alterada.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constituem uma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11" w:author="Unknown Author" w:date="2026-07-17T01:30:14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Arranjar uma expressão melhor que limite de evidência.</w:t>
      </w:r>
    </w:p>
    <w:p>
      <w:pPr>
        <w:overflowPunct w:val="true"/>
        <w:spacing w:lineRule="auto" w:line="240"/>
        <w:jc w:val="start"/>
        <w:rPr/>
      </w:pPr>
      <w:r>
        <w:rPr>
          <w:rFonts w:asciiTheme="minorHAnsi" w:cstheme="minorBidi" w:eastAsiaTheme="minorHAnsi" w:hAnsiTheme="minorHAnsi" w:eastAsia="Calibri" w:cs="" w:ascii="Calibri" w:hAnsi="Calibri"/>
          <w:sz w:val="24"/>
        </w:rPr>
        <w:t>Parece-me brasileiro.</w:t>
      </w:r>
    </w:p>
  </w:comment>
  <w:comment w:id="12" w:author="Unknown Author" w:date="2026-07-17T10:36:15Z" w:initials="">
    <w:p>
      <w:pPr>
        <w:overflowPunct w:val="false"/>
        <w:spacing w:lineRule="auto" w:line="240"/>
        <w:jc w:val="start"/>
        <w:rPr/>
      </w:pPr>
      <w:r>
        <w:annotationRef/>
      </w:r>
      <w:r>
        <w:rPr>
          <w:rFonts w:asciiTheme="minorHAnsi" w:cstheme="minorBidi" w:eastAsiaTheme="minorHAnsi" w:hAnsiTheme="minorHAnsi" w:cs="" w:ascii="Calibri" w:hAnsi="Calibri"/>
          <w:sz w:val="24"/>
        </w:rPr>
        <w:t>As pessoas não sabem o que isto é</w:t>
      </w:r>
    </w:p>
  </w:comment>
  <w:comment w:id="13" w:author="Unknown Author" w:date="2026-07-17T10:36:58Z" w:initials="">
    <w:p>
      <w:pPr>
        <w:overflowPunct w:val="false"/>
        <w:spacing w:lineRule="auto" w:line="240"/>
        <w:jc w:val="start"/>
        <w:rPr/>
      </w:pPr>
      <w:r>
        <w:annotationRef/>
      </w:r>
      <w:r>
        <w:rPr>
          <w:rFonts w:asciiTheme="minorHAnsi" w:cstheme="minorBidi" w:eastAsiaTheme="minorHAnsi" w:hAnsiTheme="minorHAnsi" w:cs="" w:ascii="Calibri" w:hAnsi="Calibri"/>
          <w:sz w:val="24"/>
        </w:rPr>
        <w:t>Tirar?</w:t>
      </w:r>
    </w:p>
  </w:comment>
  <w:comment w:id="14" w:author="Unknown Author" w:date="2026-07-17T10:47:52Z" w:initials="">
    <w:p>
      <w:pPr>
        <w:overflowPunct w:val="false"/>
        <w:spacing w:lineRule="auto" w:line="240"/>
        <w:jc w:val="start"/>
        <w:rPr/>
      </w:pPr>
      <w:r>
        <w:annotationRef/>
      </w:r>
      <w:r>
        <w:rPr>
          <w:rFonts w:asciiTheme="minorHAnsi" w:cstheme="minorBidi" w:eastAsiaTheme="minorHAnsi" w:hAnsiTheme="minorHAnsi" w:cs="" w:ascii="Calibri" w:hAnsi="Calibri"/>
          <w:sz w:val="24"/>
        </w:rPr>
        <w:t>Se calhar tiramos o anexo?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155</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155</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Application>LibreOffice/26.2.4.2$Linux_X86_64 LibreOffice_project/3346a99e6b841765b75a9b29714a5b95c6761ce3</Application>
  <AppVersion>15.0000</AppVersion>
  <Pages>192</Pages>
  <Words>63923</Words>
  <Characters>384650</Characters>
  <CharactersWithSpaces>445510</CharactersWithSpaces>
  <Paragraphs>3387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2026-07-17T11:07:01Z</dcterms:modified>
  <cp:revision>21</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