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80</w:t>
      </w:r>
    </w:p>
    <w:p>
      <w:pPr>
        <w:pStyle w:val="TOC1"/>
        <w:rPr/>
      </w:pPr>
      <w:r>
        <w:rPr/>
        <w:t>Tabela 6.2 — Distribuição de tarefas entre regras, IA e supervisão humana</w:t>
        <w:tab/>
        <w:t>83</w:t>
      </w:r>
    </w:p>
    <w:p>
      <w:pPr>
        <w:pStyle w:val="TOC1"/>
        <w:rPr/>
      </w:pPr>
      <w:r>
        <w:rPr/>
        <w:t>Tabela 8.1 — Evidência do funcionamento da plataforma no processo de projeto</w:t>
        <w:tab/>
        <w:t>89</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144</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Como complemento à avaliação inicial, foram executadas, séries de ensaios orientad</w:t>
      </w:r>
      <w:r>
        <w:rPr/>
        <w:t>o</w:t>
      </w:r>
      <w:r>
        <w:rPr/>
        <w:t xml:space="preserve">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material suplementar do Anexo C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4"/>
        <w:gridCol w:w="3426"/>
        <w:gridCol w:w="3637"/>
      </w:tblGrid>
      <w:tr>
        <w:trPr>
          <w:tblHeader w:val="true"/>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material suplementar do Anexo C.</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91"/>
        <w:gridCol w:w="3150"/>
        <w:gridCol w:w="2846"/>
      </w:tblGrid>
      <w:tr>
        <w:trPr>
          <w:tblHeader w:val="true"/>
          <w:cantSplit/>
        </w:trPr>
        <w:tc>
          <w:tcPr>
            <w:tcW w:w="279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w:t>
      </w:r>
      <w:r>
        <w:rPr/>
        <w:t xml:space="preserve">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5"/>
        <w:gridCol w:w="2783"/>
        <w:gridCol w:w="3012"/>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w:t>
      </w:r>
      <w:r>
        <w:rPr/>
        <w:t>a investigação</w:t>
      </w:r>
      <w:r>
        <w:rPr/>
        <w:t xml:space="preserve">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w:t>
            </w:r>
            <w:r>
              <w:rPr/>
              <w:t>s</w:t>
            </w:r>
            <w:r>
              <w:rPr/>
              <w:t xml:space="preserve"> ensaio</w:t>
            </w:r>
            <w:r>
              <w:rPr/>
              <w:t>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 xml:space="preserve">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w:t>
      </w:r>
      <w:r>
        <w:rPr/>
        <w:t>o objectivo da investigação</w:t>
      </w:r>
      <w:r>
        <w:rPr/>
        <w:t>.</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1"/>
      <w:r>
        <w:rPr/>
        <w:t>geração contínua</w:t>
      </w:r>
      <w:r>
        <w:rPr/>
      </w:r>
      <w:commentRangeEnd w:id="11"/>
      <w:r>
        <w:commentReference w:id="11"/>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2"/>
      <w:r>
        <w:rPr/>
        <w:t>, sem demonstrar, por si só, acessibilidade ou facilidade de utilização</w:t>
      </w:r>
      <w:r>
        <w:rPr/>
      </w:r>
      <w:commentRangeEnd w:id="12"/>
      <w:r>
        <w:commentReference w:id="12"/>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de utilizador, a diferenciação de permissões e a atribuição de utilizadores a técnicos. Esta funcionalidade permite representar diferentes níveis de intervenção no protótipo. </w:t>
      </w:r>
      <w:commentRangeStart w:id="13"/>
      <w:r>
        <w:rPr/>
        <w:t>Os resultados funcionais disponíveis são discutidos na Secção 8.1 e no Anexo B.</w:t>
      </w:r>
      <w:commentRangeEnd w:id="13"/>
      <w:r>
        <w:commentReference w:id="13"/>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b/>
        </w:rPr>
      </w:pPr>
      <w:r>
        <w:rPr/>
        <w:t>Tabela B.5 — Identificação das séries complementares de avaliação da plataforma</w:t>
        <w:tab/>
        <w:t>134</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explicitada na especificação dos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estrutura paramétrica da braçadeira do Flexy Beast foi alterada.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trHeight w:val="1227" w:hRule="atLeast"/>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11"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 w:id="12" w:author="Unknown Author" w:date="2026-07-17T10:36:5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Tirar?</w:t>
      </w:r>
    </w:p>
  </w:comment>
  <w:comment w:id="13" w:author="Unknown Author" w:date="2026-07-17T10:47:5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Se calhar tiramos o anexo?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Application>LibreOffice/26.2.4.2$Linux_X86_64 LibreOffice_project/3346a99e6b841765b75a9b29714a5b95c6761ce3</Application>
  <AppVersion>15.0000</AppVersion>
  <Pages>192</Pages>
  <Words>63922</Words>
  <Characters>384620</Characters>
  <CharactersWithSpaces>445494</CharactersWithSpaces>
  <Paragraphs>3377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2026-07-18T16:29:23Z</dcterms:modified>
  <cp:revision>31</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