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w:t>
      </w:r>
      <w:r>
        <w:rPr/>
        <w:t>próteses de membro superior</w:t>
      </w:r>
      <w:r>
        <w:rPr/>
        <w:t>.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1"/>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as taxas de abandono permanecem elevadas. A literatura associa </w:t>
      </w:r>
      <w:r>
        <w:rPr/>
        <w:t xml:space="preserve">de forma </w:t>
      </w:r>
      <w:r>
        <w:rPr/>
        <w:t>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2"/>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4"/>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w:t>
      </w:r>
      <w:r>
        <w:rPr/>
        <w:t>e/</w:t>
      </w:r>
      <w:r>
        <w:rPr/>
        <w:t>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 xml:space="preserve">O projecto e-NABLE é o exemplo mais influente deste movimento. A comunidade consolidou-se em torno da criação e partilha de dispositivos de </w:t>
      </w:r>
      <w:r>
        <w:rPr/>
        <w:t>apoio</w:t>
      </w:r>
      <w:r>
        <w:rPr/>
        <w:t xml:space="preserve">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w:t>
      </w:r>
      <w:r>
        <w:rPr/>
        <w:t>membros superiores</w:t>
      </w:r>
      <w:r>
        <w:rPr/>
        <w:t xml:space="preserve">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 xml:space="preserve">Estudos e revisões </w:t>
      </w:r>
      <w:r>
        <w:rPr/>
        <w:t>bibliográficas</w:t>
      </w:r>
      <w:r>
        <w:rPr/>
        <w:t xml:space="preserve">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 xml:space="preserve">Esta tecnologia facilita fluxos de personalização e pode ser combinada com processos de automatização, como a correspondência de características anatómicas, para reduzir o trabalho </w:t>
      </w:r>
      <w:r>
        <w:rPr/>
        <w:t>de definição</w:t>
      </w:r>
      <w:r>
        <w:rPr/>
        <w:t xml:space="preserve">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w:t>
      </w:r>
      <w:r>
        <w:rPr/>
        <w:t>e</w:t>
      </w:r>
      <w:r>
        <w:rPr/>
        <w:t xml:space="preserv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w:t>
      </w:r>
      <w:r>
        <w:rPr/>
        <w:t xml:space="preserve">família </w:t>
      </w:r>
      <w:r>
        <w:rPr/>
        <w:t>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4"/>
        <w:gridCol w:w="1761"/>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8"/>
        <w:gridCol w:w="3673"/>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3"/>
        <w:gridCol w:w="3962"/>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p>
      <w:pPr>
        <w:pStyle w:val="FootnoteText"/>
      </w:pPr>
      <w:r>
        <w:rPr>
          <w:rStyle w:val="FootnoteReference"/>
        </w:rPr>
        <w:footnoteRef/>
      </w:r>
      <w:r>
        <w:tab/>
      </w:r>
      <w:r>
        <w:t xml:space="preserve">Propriocepção designa a perceção corporal da posição, movimento e esforço dos segmentos do corpo. Em próteses acionadas pelo corpo, o </w:t>
      </w:r>
      <w:r>
        <w:rPr>
          <w:i/>
          <w:iCs/>
        </w:rPr>
        <w:t>feedback</w:t>
      </w:r>
      <w:r>
        <w:t xml:space="preserve"> proprioceptivo indireto decorre da tensão transmitida pelo sistema de cabos e arnês, ajudando o utilizador a interpretar o comportamento do dispositivo.</w:t>
      </w:r>
    </w:p>
  </w:footnote>
  <w:footnote w:id="2">
    <w:p>
      <w:pPr>
        <w:pStyle w:val="FootnoteText"/>
      </w:pPr>
      <w:r>
        <w:rPr>
          <w:rStyle w:val="FootnoteReference"/>
        </w:rPr>
        <w:footnoteRef/>
      </w:r>
      <w:r>
        <w:tab/>
      </w:r>
      <w:r>
        <w:t xml:space="preserve">PRISMA corresponde a </w:t>
      </w:r>
      <w:r>
        <w:rPr>
          <w:i/>
          <w:iCs/>
        </w:rPr>
        <w:t>Preferred Reporting Items for Systematic Reviews and Meta Analyses</w:t>
      </w:r>
      <w:r>
        <w:t>, um conjunto de orientações para a elaboração e apresentação transparente de revisões sistemáticas e meta-análises.</w:t>
      </w:r>
    </w:p>
  </w:footnote>
  <w:footnote w:id="3">
    <w:p>
      <w:pPr>
        <w:pStyle w:val="FootnoteText"/>
      </w:pPr>
      <w:r>
        <w:rPr>
          <w:rStyle w:val="FootnoteReference"/>
        </w:rPr>
        <w:footnoteRef/>
      </w:r>
      <w:r>
        <w:tab/>
      </w:r>
      <w:r>
        <w:rPr>
          <w:i/>
          <w:iCs/>
        </w:rPr>
        <w:t>File-to-factory</w:t>
      </w:r>
      <w: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pPr>
      <w:r>
        <w:rPr>
          <w:rStyle w:val="FootnoteReference"/>
        </w:rPr>
        <w:footnoteRef/>
      </w:r>
      <w:r>
        <w:tab/>
      </w:r>
      <w: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pPr>
      <w:r>
        <w:rPr>
          <w:rStyle w:val="FootnoteReference"/>
        </w:rPr>
        <w:footnoteRef/>
      </w:r>
      <w:r>
        <w:tab/>
      </w:r>
      <w: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pPr>
      <w:r>
        <w:rPr>
          <w:rStyle w:val="FootnoteReference"/>
        </w:rPr>
        <w:footnoteRef/>
      </w:r>
      <w:r>
        <w:tab/>
      </w:r>
      <w: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pPr>
      <w:r>
        <w:rPr>
          <w:rStyle w:val="FootnoteReference"/>
        </w:rPr>
        <w:footnoteRef/>
      </w:r>
      <w:r>
        <w:tab/>
      </w:r>
      <w:r>
        <w:t>Redes neuronais artificiais são modelos computacionais compostos por camadas de unidades interligadas, que ajustam os seus parâmetros internos durante o treino para identificar padrões nos dados.</w:t>
      </w:r>
    </w:p>
  </w:footnote>
  <w:footnote w:id="8">
    <w:p>
      <w:pPr>
        <w:pStyle w:val="FootnoteText"/>
      </w:pPr>
      <w:r>
        <w:rPr>
          <w:rStyle w:val="FootnoteReference"/>
        </w:rPr>
        <w:footnoteRef/>
      </w:r>
      <w:r>
        <w:tab/>
      </w:r>
      <w:r>
        <w:t xml:space="preserve">Em sistemas de IA generativa, um </w:t>
      </w:r>
      <w:r>
        <w:rPr>
          <w:i/>
          <w:iCs/>
        </w:rPr>
        <w:t>prompt</w:t>
      </w:r>
      <w: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pPr>
      <w:r>
        <w:rPr>
          <w:rStyle w:val="FootnoteReference"/>
        </w:rPr>
        <w:footnoteRef/>
      </w:r>
      <w:r>
        <w:tab/>
      </w:r>
      <w:r>
        <w:t xml:space="preserve">Um </w:t>
      </w:r>
      <w:r>
        <w:rPr>
          <w:i/>
          <w:iCs/>
        </w:rPr>
        <w:t>digital twin</w:t>
      </w:r>
      <w: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pPr>
      <w:r>
        <w:rPr>
          <w:rStyle w:val="FootnoteReference"/>
        </w:rPr>
        <w:footnoteRef/>
      </w:r>
      <w:r>
        <w:tab/>
      </w:r>
      <w:r>
        <w:rPr>
          <w:i/>
          <w:iCs/>
        </w:rPr>
        <w:t>Virtual coaching</w:t>
      </w:r>
      <w:r>
        <w:t xml:space="preserve"> designa sistemas digitais de orientação e acompanhamento que fornecem instruções, recomendações ou </w:t>
      </w:r>
      <w:r>
        <w:rPr>
          <w:i/>
          <w:iCs/>
        </w:rPr>
        <w:t>feedback</w:t>
      </w:r>
      <w:r>
        <w:t xml:space="preserve"> ao utilizador durante atividades de treino, reabilitação ou aprendizagem, apoiando a adaptação do programa ao seu desempenho e evolução.</w:t>
      </w:r>
    </w:p>
  </w:footnote>
  <w:footnote w:id="11">
    <w:p>
      <w:pPr>
        <w:pStyle w:val="FootnoteText"/>
      </w:pPr>
      <w:r>
        <w:rPr>
          <w:rStyle w:val="FootnoteReference"/>
        </w:rPr>
        <w:footnoteRef/>
      </w:r>
      <w:r>
        <w:tab/>
      </w:r>
      <w:r>
        <w:rPr>
          <w:i/>
          <w:iCs/>
        </w:rPr>
        <w:t>Serious games</w:t>
      </w:r>
      <w: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pPr>
      <w:r>
        <w:rPr>
          <w:rStyle w:val="FootnoteReference"/>
        </w:rPr>
        <w:footnoteRef/>
      </w:r>
      <w:r>
        <w:tab/>
      </w:r>
      <w:r>
        <w:t xml:space="preserve">O </w:t>
      </w:r>
      <w:r>
        <w:rPr>
          <w:i/>
          <w:iCs/>
        </w:rPr>
        <w:t>Technology Readiness Level</w:t>
      </w:r>
      <w: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comments" Target="comment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 Id="rId80" Type="http://schemas.openxmlformats.org/officeDocument/2006/relationships/footnotes" Target="footnotes.xml"/></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Application>LibreOffice/26.2.4.2$Linux_X86_64 LibreOffice_project/3346a99e6b841765b75a9b29714a5b95c6761ce3</Application>
  <AppVersion>15.0000</AppVersion>
  <Pages>191</Pages>
  <Words>63620</Words>
  <Characters>382607</Characters>
  <CharactersWithSpaces>443153</CharactersWithSpaces>
  <Paragraphs>3380</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2026-07-16T22:17:53Z</dcterms:modified>
  <cp:revision>14</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