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3"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w:t>
      </w:r>
      <w:r>
        <w:rPr>
          <w:i/>
          <w:iCs/>
        </w:rPr>
        <w:t>Metacarpophalangeal</w:t>
      </w:r>
      <w:r>
        <w:rPr/>
        <w:t>; articulação metacarpofalângica.</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39</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46</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58</w:t>
      </w:r>
    </w:p>
    <w:p>
      <w:pPr>
        <w:pStyle w:val="TOC1"/>
        <w:rPr/>
      </w:pPr>
      <w:r>
        <w:rPr/>
        <w:t>Tabela 4.11 — Cronologia das principais iterações paramétricas</w:t>
        <w:tab/>
        <w:t>59</w:t>
      </w:r>
    </w:p>
    <w:p>
      <w:pPr>
        <w:pStyle w:val="TOC1"/>
        <w:rPr/>
      </w:pPr>
      <w:r>
        <w:rPr/>
        <w:t>Tabela 5.1 — Fluxo de dados e responsabilidades da plataforma</w:t>
        <w:tab/>
        <w:t>63</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80</w:t>
      </w:r>
    </w:p>
    <w:p>
      <w:pPr>
        <w:pStyle w:val="TOC1"/>
        <w:rPr/>
      </w:pPr>
      <w:r>
        <w:rPr/>
        <w:t>Tabela 6.2 — Distribuição de tarefas entre regras, IA e supervisão humana</w:t>
        <w:tab/>
        <w:t>83</w:t>
      </w:r>
    </w:p>
    <w:p>
      <w:pPr>
        <w:pStyle w:val="TOC1"/>
        <w:rPr/>
      </w:pPr>
      <w:r>
        <w:rPr/>
        <w:t>Tabela 8.1 — Evidência do funcionamento da plataforma no processo de projeto</w:t>
        <w:tab/>
        <w:t>89</w:t>
      </w:r>
    </w:p>
    <w:p>
      <w:pPr>
        <w:pStyle w:val="TOC1"/>
        <w:rPr/>
      </w:pPr>
      <w:r>
        <w:rPr/>
        <w:t>Tabela 8.2 — Projetos de preparação digital para impressão 3D com configuração analisada</w:t>
        <w:tab/>
        <w:t>91</w:t>
      </w:r>
    </w:p>
    <w:p>
      <w:pPr>
        <w:pStyle w:val="TOC1"/>
        <w:rPr/>
      </w:pPr>
      <w:r>
        <w:rPr/>
        <w:t>Tabela 8.3 — Inspeção computacional das malhas geradas para um perfil antropométrico de 8 anos</w:t>
        <w:tab/>
        <w:t>93</w:t>
      </w:r>
    </w:p>
    <w:p>
      <w:pPr>
        <w:pStyle w:val="TOC1"/>
        <w:rPr/>
      </w:pPr>
      <w:r>
        <w:rPr/>
        <w:t>Tabela 8.4 — Descrições submetidas nos cenários de avaliação da IA</w:t>
        <w:tab/>
        <w:t>96</w:t>
      </w:r>
    </w:p>
    <w:p>
      <w:pPr>
        <w:pStyle w:val="TOC1"/>
        <w:rPr/>
      </w:pPr>
      <w:r>
        <w:rPr/>
        <w:t>Tabela 8.5 — Síntese da avaliação das sugestões de IA</w:t>
        <w:tab/>
        <w:t>98</w:t>
      </w:r>
    </w:p>
    <w:p>
      <w:pPr>
        <w:pStyle w:val="TOC1"/>
        <w:rPr/>
      </w:pPr>
      <w:r>
        <w:rPr/>
        <w:t>Tabela 8.6 — Modelos e mecanismos de escala avaliados</w:t>
        <w:tab/>
        <w:t>99</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103</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22</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37</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 Fab</w:t>
        <w:tab/>
        <w:t>62</w:t>
      </w:r>
    </w:p>
    <w:p>
      <w:pPr>
        <w:pStyle w:val="TOC1"/>
        <w:rPr/>
      </w:pPr>
      <w:r>
        <w:rPr/>
        <w:t>Figura 5.2 — Painel de configuração dos perfis de utilizador na plataforma HandFab.</w:t>
        <w:tab/>
        <w:t>63</w:t>
      </w:r>
    </w:p>
    <w:p>
      <w:pPr>
        <w:pStyle w:val="TOC1"/>
        <w:rPr/>
      </w:pPr>
      <w:r>
        <w:rPr/>
        <w:t>Figura 5.3 — Arquitetura da plataforma e fronteiras entre navegador, servidor, serviço externo de IA e preparação do fabrico.</w:t>
        <w:tab/>
        <w:t>65</w:t>
      </w:r>
    </w:p>
    <w:p>
      <w:pPr>
        <w:pStyle w:val="TOC1"/>
        <w:rPr/>
      </w:pPr>
      <w:r>
        <w:rPr/>
        <w:t>Figura 5.4 — Sequência de dados e decisões desde o perfil ou descrição até à sugestão, confirmação, geração determinística e exportação.</w:t>
        <w:tab/>
        <w:t>66</w:t>
      </w:r>
    </w:p>
    <w:p>
      <w:pPr>
        <w:pStyle w:val="TOC1"/>
        <w:rPr/>
      </w:pPr>
      <w:r>
        <w:rPr/>
        <w:t>Figura 5.5 — Fluxo geral de produção personalizada de próteses a partir de digitalização, CAD adaptativo e fabrico aditivo.</w:t>
        <w:tab/>
        <w:t>68</w:t>
      </w:r>
    </w:p>
    <w:p>
      <w:pPr>
        <w:pStyle w:val="TOC1"/>
        <w:rPr/>
      </w:pPr>
      <w:r>
        <w:rPr/>
        <w:t>Figura 5.6 — Visualização do código OpenSCAD e da geometria correspondente na plataforma HandFab.</w:t>
        <w:tab/>
        <w:t>71</w:t>
      </w:r>
    </w:p>
    <w:p>
      <w:pPr>
        <w:pStyle w:val="TOC1"/>
        <w:rPr/>
      </w:pPr>
      <w:r>
        <w:rPr/>
        <w:t>Figura 5.7 — Ferramenta paramétrica para configuração de ajudas técnicas com variação de dimensões, materiais e peso.</w:t>
        <w:tab/>
        <w:t>72</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84</w:t>
      </w:r>
    </w:p>
    <w:p>
      <w:pPr>
        <w:pStyle w:val="TOC1"/>
        <w:rPr/>
      </w:pPr>
      <w:r>
        <w:rPr/>
        <w:t>Figura 7.1 — Exemplo publicado de teste de uma prótese impressa em 3D com um utilizador; esta atividade não integrou a avaliação da presente dissertação.</w:t>
        <w:tab/>
        <w:t>87</w:t>
      </w:r>
    </w:p>
    <w:p>
      <w:pPr>
        <w:pStyle w:val="TOC1"/>
        <w:rPr/>
      </w:pPr>
      <w:r>
        <w:rPr/>
        <w:t>Figura 8.1 — Componentes impressos e estados preliminares de montagem: segmentos digitais articulados, palma e elementos separados.</w:t>
        <w:tab/>
        <w:t>94</w:t>
      </w:r>
    </w:p>
    <w:p>
      <w:pPr>
        <w:pStyle w:val="TOC1"/>
        <w:rPr/>
      </w:pPr>
      <w:r>
        <w:rPr/>
        <w:t>Figura 8.2 — Séries físicas de segmentos identificados pelos perfis de ensaio de 8, 15, 28 e 70 anos.</w:t>
        <w:tab/>
        <w:t>94</w:t>
      </w:r>
    </w:p>
    <w:p>
      <w:pPr>
        <w:pStyle w:val="TOC1"/>
        <w:rPr/>
      </w:pPr>
      <w:r>
        <w:rPr/>
        <w:t>Figura 8.3 — UnLimbited Phoenix configurada para o perfil de ensaio de 15 anos, apresentada em sete vistas da montagem física.</w:t>
        <w:tab/>
        <w:t>95</w:t>
      </w:r>
    </w:p>
    <w:p>
      <w:pPr>
        <w:pStyle w:val="TOC1"/>
        <w:rPr/>
      </w:pPr>
      <w:r>
        <w:rPr/>
        <w:t>Figura 8.4 — Tarefas funcionais usadas em avaliação de prótese personalizada de membro superior.</w:t>
        <w:tab/>
        <w:t>95</w:t>
      </w:r>
    </w:p>
    <w:p>
      <w:pPr>
        <w:pStyle w:val="TOC1"/>
        <w:rPr/>
      </w:pPr>
      <w:r>
        <w:rPr/>
        <w:t>Figura C.1 — Fluxo entre dados de entrada, mapa comum, regras específicas dos modelos e geometria exportável. Produção própria.</w:t>
        <w:tab/>
        <w:t>143</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20</w:t>
      </w:r>
    </w:p>
    <w:p>
      <w:pPr>
        <w:pStyle w:val="TOC2"/>
        <w:rPr/>
      </w:pPr>
      <w:r>
        <w:rPr/>
        <w:t>Limitações, lacunas e recomendações</w:t>
        <w:tab/>
        <w:t>21</w:t>
      </w:r>
    </w:p>
    <w:p>
      <w:pPr>
        <w:pStyle w:val="TOC2"/>
        <w:rPr/>
      </w:pPr>
      <w:r>
        <w:rPr/>
        <w:t>Estruturação de dados</w:t>
        <w:tab/>
        <w:t>21</w:t>
      </w:r>
    </w:p>
    <w:p>
      <w:pPr>
        <w:pStyle w:val="TOC2"/>
        <w:rPr/>
      </w:pPr>
      <w:r>
        <w:rPr/>
        <w:t>2.6 Inteligência Artificial no processo de design</w:t>
        <w:tab/>
        <w:t>22</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24</w:t>
      </w:r>
    </w:p>
    <w:p>
      <w:pPr>
        <w:pStyle w:val="TOC2"/>
        <w:rPr/>
      </w:pPr>
      <w:r>
        <w:rPr/>
        <w:t>IA ao longo do processo de design</w:t>
        <w:tab/>
        <w:t>24</w:t>
      </w:r>
    </w:p>
    <w:p>
      <w:pPr>
        <w:pStyle w:val="TOC2"/>
        <w:rPr/>
      </w:pPr>
      <w:r>
        <w:rPr/>
        <w:t>Papel do designer, riscos e necessidade de supervisão humana</w:t>
        <w:tab/>
        <w:t>25</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28</w:t>
      </w:r>
    </w:p>
    <w:p>
      <w:pPr>
        <w:pStyle w:val="TOC2"/>
        <w:rPr/>
      </w:pPr>
      <w:r>
        <w:rPr/>
        <w:t>Fluxos participativos e infra-estruturas remotas</w:t>
        <w:tab/>
        <w:t>28</w:t>
      </w:r>
    </w:p>
    <w:p>
      <w:pPr>
        <w:pStyle w:val="TOC2"/>
        <w:rPr/>
      </w:pPr>
      <w:r>
        <w:rPr/>
        <w:t>Aplicações em saúde, reabilitação e próteses</w:t>
        <w:tab/>
        <w:t>29</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34</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de investigação</w:t>
        <w:tab/>
        <w:t>37</w:t>
      </w:r>
    </w:p>
    <w:p>
      <w:pPr>
        <w:pStyle w:val="TOC2"/>
        <w:rPr/>
      </w:pPr>
      <w:r>
        <w:rPr/>
        <w:t>3.3 Estrutura metodológica do projeto</w:t>
        <w:tab/>
        <w:t>38</w:t>
      </w:r>
    </w:p>
    <w:p>
      <w:pPr>
        <w:pStyle w:val="TOC2"/>
        <w:rPr/>
      </w:pPr>
      <w:r>
        <w:rPr/>
        <w:t>3.4 Métodos de recolha e análise de dados</w:t>
        <w:tab/>
        <w:t>40</w:t>
      </w:r>
    </w:p>
    <w:p>
      <w:pPr>
        <w:pStyle w:val="TOC2"/>
        <w:rPr/>
      </w:pPr>
      <w:r>
        <w:rPr/>
        <w:t>3.5 Critérios de avaliação e limitações metodológicas</w:t>
        <w:tab/>
        <w:t>42</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54</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projeto</w:t>
        <w:tab/>
        <w:t>59</w:t>
      </w:r>
    </w:p>
    <w:p>
      <w:pPr>
        <w:pStyle w:val="TOC1"/>
        <w:rPr/>
      </w:pPr>
      <w:r>
        <w:rPr/>
        <w:t>Capítulo 5 — Plataforma Web e Integração Digital</w:t>
        <w:tab/>
        <w:t>61</w:t>
      </w:r>
    </w:p>
    <w:p>
      <w:pPr>
        <w:pStyle w:val="TOC2"/>
        <w:rPr/>
      </w:pPr>
      <w:r>
        <w:rPr/>
        <w:t>5.1 Enquadramento conceptual e perfis de utilizador</w:t>
        <w:tab/>
        <w:t>61</w:t>
      </w:r>
    </w:p>
    <w:p>
      <w:pPr>
        <w:pStyle w:val="TOC2"/>
        <w:rPr/>
      </w:pPr>
      <w:r>
        <w:rPr/>
        <w:t>5.2 Arquitetura geral do sistema</w:t>
        <w:tab/>
        <w:t>63</w:t>
      </w:r>
    </w:p>
    <w:p>
      <w:pPr>
        <w:pStyle w:val="TOC2"/>
        <w:rPr/>
      </w:pPr>
      <w:r>
        <w:rPr/>
        <w:t>5.3 Integração OpenSCAD via WebAssembly (WASM)</w:t>
        <w:tab/>
        <w:t>69</w:t>
      </w:r>
    </w:p>
    <w:p>
      <w:pPr>
        <w:pStyle w:val="TOC2"/>
        <w:rPr/>
      </w:pPr>
      <w:r>
        <w:rPr/>
        <w:t>5.4 Estrutura funcional da plataforma</w:t>
        <w:tab/>
        <w:t>71</w:t>
      </w:r>
    </w:p>
    <w:p>
      <w:pPr>
        <w:pStyle w:val="TOC2"/>
        <w:rPr/>
      </w:pPr>
      <w:r>
        <w:rPr/>
        <w:t>5.5 Gestão de parâmetros, versões e expansão</w:t>
        <w:tab/>
        <w:t>77</w:t>
      </w:r>
    </w:p>
    <w:p>
      <w:pPr>
        <w:pStyle w:val="TOC1"/>
        <w:rPr/>
      </w:pPr>
      <w:r>
        <w:rPr/>
        <w:t>Capítulo 6 — Integração da Inteligência Artificial</w:t>
        <w:tab/>
        <w:t>79</w:t>
      </w:r>
    </w:p>
    <w:p>
      <w:pPr>
        <w:pStyle w:val="TOC2"/>
        <w:rPr/>
      </w:pPr>
      <w:r>
        <w:rPr/>
        <w:t>6.1 Papel da IA no sistema proposto</w:t>
        <w:tab/>
        <w:t>79</w:t>
      </w:r>
    </w:p>
    <w:p>
      <w:pPr>
        <w:pStyle w:val="TOC2"/>
        <w:rPr/>
      </w:pPr>
      <w:r>
        <w:rPr/>
        <w:t>6.2 IA na parametrização, personalização e apoio à decisão</w:t>
        <w:tab/>
        <w:t>79</w:t>
      </w:r>
    </w:p>
    <w:p>
      <w:pPr>
        <w:pStyle w:val="TOC2"/>
        <w:rPr/>
      </w:pPr>
      <w:r>
        <w:rPr/>
        <w:t>6.3 Avaliação das sugestões paramétricas apoiadas por IA</w:t>
        <w:tab/>
        <w:t>82</w:t>
      </w:r>
    </w:p>
    <w:p>
      <w:pPr>
        <w:pStyle w:val="TOC2"/>
        <w:rPr/>
      </w:pPr>
      <w:r>
        <w:rPr/>
        <w:t>6.4 Ajuste, verificação e limitações éticas e técnicas</w:t>
        <w:tab/>
        <w:t>83</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85</w:t>
      </w:r>
    </w:p>
    <w:p>
      <w:pPr>
        <w:pStyle w:val="TOC2"/>
        <w:rPr/>
      </w:pPr>
      <w:r>
        <w:rPr/>
        <w:t>7.3 Mediação do processo de design e reflexão crítica</w:t>
        <w:tab/>
        <w:t>87</w:t>
      </w:r>
    </w:p>
    <w:p>
      <w:pPr>
        <w:pStyle w:val="TOC1"/>
        <w:rPr/>
      </w:pPr>
      <w:r>
        <w:rPr/>
        <w:t>Capítulo 8 — Avaliação e Discussão</w:t>
        <w:tab/>
        <w:t>89</w:t>
      </w:r>
    </w:p>
    <w:p>
      <w:pPr>
        <w:pStyle w:val="TOC2"/>
        <w:rPr/>
      </w:pPr>
      <w:r>
        <w:rPr/>
        <w:t>8.1 Estratégia e critérios de avaliação</w:t>
        <w:tab/>
        <w:t>89</w:t>
      </w:r>
    </w:p>
    <w:p>
      <w:pPr>
        <w:pStyle w:val="TOC3"/>
        <w:tabs>
          <w:tab w:val="clear" w:pos="708"/>
          <w:tab w:val="right" w:pos="8204" w:leader="dot"/>
        </w:tabs>
        <w:rPr/>
      </w:pPr>
      <w:r>
        <w:rPr/>
        <w:t>8.1.1 Verificação técnica da plataforma</w:t>
        <w:tab/>
        <w:t>89</w:t>
      </w:r>
    </w:p>
    <w:p>
      <w:pPr>
        <w:pStyle w:val="TOC3"/>
        <w:tabs>
          <w:tab w:val="clear" w:pos="708"/>
          <w:tab w:val="right" w:pos="8204" w:leader="dot"/>
        </w:tabs>
        <w:rPr/>
      </w:pPr>
      <w:r>
        <w:rPr/>
        <w:t>8.1.2 Avaliação complementar da consistência da geração, recuperação e acessibilidade</w:t>
        <w:tab/>
        <w:t>90</w:t>
      </w:r>
    </w:p>
    <w:p>
      <w:pPr>
        <w:pStyle w:val="TOC3"/>
        <w:tabs>
          <w:tab w:val="clear" w:pos="708"/>
          <w:tab w:val="right" w:pos="8204" w:leader="dot"/>
        </w:tabs>
        <w:rPr/>
      </w:pPr>
      <w:r>
        <w:rPr/>
        <w:t>8.1.3 Preparação para impressão e protótipos físicos</w:t>
        <w:tab/>
        <w:t>91</w:t>
      </w:r>
    </w:p>
    <w:p>
      <w:pPr>
        <w:pStyle w:val="TOC2"/>
        <w:rPr/>
      </w:pPr>
      <w:r>
        <w:rPr/>
        <w:t>8.2 Avaliação da coerência das sugestões de IA</w:t>
        <w:tab/>
        <w:t>96</w:t>
      </w:r>
    </w:p>
    <w:p>
      <w:pPr>
        <w:pStyle w:val="TOC2"/>
        <w:rPr/>
      </w:pPr>
      <w:r>
        <w:rPr/>
        <w:t>8.3 Verificação geométrica entre modelos</w:t>
        <w:tab/>
        <w:t>99</w:t>
      </w:r>
    </w:p>
    <w:p>
      <w:pPr>
        <w:pStyle w:val="TOC2"/>
        <w:rPr/>
      </w:pPr>
      <w:r>
        <w:rPr/>
        <w:t>8.4 Discussão dos resultados face aos objetivos</w:t>
        <w:tab/>
        <w:t>100</w:t>
      </w:r>
    </w:p>
    <w:p>
      <w:pPr>
        <w:pStyle w:val="TOC1"/>
        <w:rPr/>
      </w:pPr>
      <w:r>
        <w:rPr/>
        <w:t>Capítulo 9 — Conclusões e Trabalhos Futuros</w:t>
        <w:tab/>
        <w:t>103</w:t>
      </w:r>
    </w:p>
    <w:p>
      <w:pPr>
        <w:pStyle w:val="TOC2"/>
        <w:rPr/>
      </w:pPr>
      <w:r>
        <w:rPr/>
        <w:t>9.1 Resposta ao problema e às perguntas de investigação</w:t>
        <w:tab/>
        <w:t>103</w:t>
      </w:r>
    </w:p>
    <w:p>
      <w:pPr>
        <w:pStyle w:val="TOC2"/>
        <w:rPr/>
      </w:pPr>
      <w:r>
        <w:rPr/>
        <w:t>9.2 Contributos da investigação</w:t>
        <w:tab/>
        <w:t>104</w:t>
      </w:r>
    </w:p>
    <w:p>
      <w:pPr>
        <w:pStyle w:val="TOC2"/>
        <w:rPr/>
      </w:pPr>
      <w:r>
        <w:rPr/>
        <w:t>9.3 Limitações</w:t>
        <w:tab/>
        <w:t>105</w:t>
      </w:r>
    </w:p>
    <w:p>
      <w:pPr>
        <w:pStyle w:val="TOC2"/>
        <w:rPr/>
      </w:pPr>
      <w:r>
        <w:rPr/>
        <w:t>9.4 Trabalho futuro</w:t>
        <w:tab/>
        <w:t>105</w:t>
      </w:r>
    </w:p>
    <w:p>
      <w:pPr>
        <w:pStyle w:val="TOC1"/>
        <w:rPr/>
      </w:pPr>
      <w:r>
        <w:rPr/>
        <w:t>Referências Bibliográficas</w:t>
        <w:tab/>
        <w:t>107</w:t>
      </w:r>
    </w:p>
    <w:p>
      <w:pPr>
        <w:pStyle w:val="TOC1"/>
        <w:rPr/>
      </w:pPr>
      <w:r>
        <w:rPr/>
        <w:t>Anexo A — Metodologia de extração e codificação de dados antropométricos da mão</w:t>
        <w:tab/>
        <w:t>119</w:t>
      </w:r>
    </w:p>
    <w:p>
      <w:pPr>
        <w:pStyle w:val="TOC1"/>
        <w:rPr/>
      </w:pPr>
      <w:r>
        <w:rPr/>
        <w:t>Anexo B — Avaliação do processo paramétrico e da interface da plataforma HandFab</w:t>
        <w:tab/>
        <w:t>134</w:t>
      </w:r>
    </w:p>
    <w:p>
      <w:pPr>
        <w:pStyle w:val="TOC1"/>
        <w:rPr/>
      </w:pPr>
      <w:r>
        <w:rPr/>
        <w:t>Anexo C — Adaptação paramétrica dos modelos de mão protésica</w:t>
        <w:tab/>
        <w:t>140</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155</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dissertação</w:t>
      </w:r>
    </w:p>
    <w:p>
      <w:pPr>
        <w:pStyle w:val="TextoNormal-IPCA"/>
        <w:rPr/>
      </w:pPr>
      <w:r>
        <w:rPr/>
        <w:t xml:space="preserve">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 xml:space="preserve">Um atributo particularmente relevante é o </w:t>
      </w:r>
      <w:commentRangeStart w:id="0"/>
      <w:r>
        <w:rPr>
          <w:i/>
          <w:iCs/>
        </w:rPr>
        <w:t>feedback</w:t>
      </w:r>
      <w:r>
        <w:rPr>
          <w:i/>
          <w:iCs/>
        </w:rPr>
      </w:r>
      <w:commentRangeEnd w:id="0"/>
      <w:r>
        <w:commentReference w:id="0"/>
      </w:r>
      <w:r>
        <w:rPr/>
        <w:t xml:space="preserve"> proprioceptivo indireto</w:t>
      </w:r>
      <w:r>
        <w:rPr>
          <w:rStyle w:val="FootnoteReference"/>
        </w:rPr>
        <w:footnoteReference w:id="2"/>
      </w:r>
      <w:r>
        <w:rPr/>
        <w:t xml:space="preserve">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1"/>
      <w:r>
        <w:rPr/>
        <w:t>Regulamento 2017/745 (MDR) - https://eur-lex.europa.eu/eli/reg/2017/745/oj/eng</w:t>
      </w:r>
      <w:r>
        <w:rPr/>
      </w:r>
      <w:commentRangeEnd w:id="1"/>
      <w:r>
        <w:commentReference w:id="1"/>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2"/>
      <w:r>
        <w:rPr/>
        <w:t>CE (Parlamento Europeu e Conselho da União Europeia, 2017).</w:t>
      </w:r>
      <w:commentRangeEnd w:id="2"/>
      <w:r>
        <w:commentReference w:id="2"/>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3"/>
      <w:r>
        <w:rPr/>
        <w:t>ISO/TC 168</w:t>
      </w:r>
      <w:r>
        <w:rPr/>
      </w:r>
      <w:commentRangeEnd w:id="3"/>
      <w:r>
        <w:commentReference w:id="3"/>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4"/>
      <w:r>
        <w:rPr/>
        <w:t>Ron Mace</w:t>
      </w:r>
      <w:r>
        <w:rPr/>
      </w:r>
      <w:commentRangeEnd w:id="4"/>
      <w:r>
        <w:commentReference w:id="4"/>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5"/>
      <w:r>
        <w:rPr/>
        <w:t>ISO 62366</w:t>
      </w:r>
      <w:r>
        <w:rPr/>
      </w:r>
      <w:commentRangeEnd w:id="5"/>
      <w:r>
        <w:commentReference w:id="5"/>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 xml:space="preserve">A avaliação da evidência tem sido igualmente reforçada através do uso de protocolos sistemáticos, como o </w:t>
      </w:r>
      <w:commentRangeStart w:id="6"/>
      <w:r>
        <w:rPr/>
        <w:t>PRISMA</w:t>
      </w:r>
      <w:r>
        <w:rPr>
          <w:rStyle w:val="FootnoteReference"/>
        </w:rPr>
        <w:footnoteReference w:id="3"/>
      </w:r>
      <w:r>
        <w:rPr/>
      </w:r>
      <w:commentRangeEnd w:id="6"/>
      <w:r>
        <w:commentReference w:id="6"/>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commentRangeStart w:id="7"/>
      <w:r>
        <w:rPr/>
        <w:t xml:space="preserve"> [^9]</w:t>
      </w:r>
      <w:commentRangeEnd w:id="7"/>
      <w:r>
        <w:commentReference w:id="7"/>
      </w:r>
      <w:r>
        <w:rPr/>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4"/>
      </w:r>
      <w:r>
        <w:rPr/>
        <w:t xml:space="preserve"> viabiliza fluxos digitais em que o ficheiro parametrizado é convertido directamente em instruções de fabrico, seja localmente (impressão 3D descentralizada) ou por meio de </w:t>
      </w:r>
      <w:commentRangeStart w:id="8"/>
      <w:r>
        <w:rPr/>
        <w:t xml:space="preserve">uma encomenda </w:t>
      </w:r>
      <w:r>
        <w:rPr>
          <w:i/>
          <w:iCs/>
        </w:rPr>
        <w:t>online</w:t>
      </w:r>
      <w:r>
        <w:rPr>
          <w:i/>
          <w:iCs/>
        </w:rPr>
      </w:r>
      <w:commentRangeEnd w:id="8"/>
      <w:r>
        <w:commentReference w:id="8"/>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 xml:space="preserve">A parametrização é frequentemente combinada com métodos de optimização topológica, de geração de estruturas reticuladas e de abordagens multiobjectivo. Estas estratégias permitem gerir compromissos entre peso, resistência, custo e tempo de fabrico, explorando </w:t>
      </w:r>
      <w:commentRangeStart w:id="9"/>
      <w:r>
        <w:rPr/>
        <w:t>fronteiras de Pareto</w:t>
      </w:r>
      <w:r>
        <w:rPr>
          <w:rStyle w:val="FootnoteReference"/>
        </w:rPr>
        <w:footnoteReference w:id="5"/>
      </w:r>
      <w:r>
        <w:rPr/>
      </w:r>
      <w:commentRangeEnd w:id="9"/>
      <w:r>
        <w:commentReference w:id="9"/>
      </w:r>
      <w:r>
        <w:rPr/>
        <w:t xml:space="preserve">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e/ou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apoio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10"/>
      <w:r>
        <w:rPr/>
        <w:t>ISO 7250</w:t>
      </w:r>
      <w:r>
        <w:rPr/>
      </w:r>
      <w:commentRangeEnd w:id="10"/>
      <w:r>
        <w:commentReference w:id="10"/>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6"/>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7"/>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8"/>
      </w:r>
      <w:r>
        <w:rPr/>
        <w:t xml:space="preserve">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9"/>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10"/>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1"/>
      </w:r>
      <w:r>
        <w:rPr/>
        <w:t xml:space="preserve">, </w:t>
      </w:r>
      <w:r>
        <w:rPr>
          <w:i/>
          <w:iCs/>
        </w:rPr>
        <w:t>serious games</w:t>
      </w:r>
      <w:r>
        <w:rPr>
          <w:rStyle w:val="FootnoteReference"/>
        </w:rPr>
        <w:footnoteReference w:id="12"/>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3"/>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dignidade, autonomia quotidiana e avaliação situada dos significados estéticos e simbólicos</w:t>
            </w:r>
          </w:p>
        </w:tc>
      </w:tr>
    </w:tbl>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em 13 e 14 de Julho de 2026, séries automatizadas de ensaios orientadas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 A versão pública, disponível em https://handfab.pedrocandeias.net/,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dissertação.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suplementar arquivado.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Heading3"/>
        <w:numPr>
          <w:ilvl w:val="0"/>
          <w:numId w:val="0"/>
        </w:numPr>
        <w:ind w:hanging="0" w:start="0"/>
        <w:rPr/>
      </w:pPr>
      <w:r>
        <w:rPr/>
        <w:t>4.3.4 Dicionário operacional de parâmetros</w:t>
      </w:r>
    </w:p>
    <w:p>
      <w:pPr>
        <w:pStyle w:val="TextoNormal-IPCA"/>
        <w:rPr/>
      </w:pPr>
      <w:r>
        <w:rPr/>
        <w:t>Para tornar auditável a passagem entre dados, configuração e geometria, a Tabela 4.9 consolida os parâmetros numéricos com efeito antropométrico, geométrico ou mecânico nos três modelos comparados. O dicionário corresponde ao estado da plataforma usado nos ensaios principais. A unidade é o milímetro, excepto quando a tabela indica percentagem ou razão adimensional. Os valores iniciais não são médias universais: constituem a configuração de referência do modelo. Os intervalos são limites de implementação e não limites clínicos.</w:t>
      </w:r>
    </w:p>
    <w:p>
      <w:pPr>
        <w:pStyle w:val="TextoNormal-IPCA"/>
        <w:rPr/>
      </w:pPr>
      <w:r>
        <w:rPr/>
        <w:t>O suplemento dicionário integral no material suplementar do Anexo C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593"/>
        <w:gridCol w:w="1883"/>
        <w:gridCol w:w="869"/>
        <w:gridCol w:w="1448"/>
        <w:gridCol w:w="2994"/>
      </w:tblGrid>
      <w:tr>
        <w:trPr>
          <w:tblHeader w:val="true"/>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Modelo e parâmetro</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Significado e origem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Inicial</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Intervalo; incremento</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Regra ou efeito geométrico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uniforme: xScaleFactor = (valor + 5) / 55</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middle_finger_length_mm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Dobra MCP à ponta do dedo médio; digits.middle.total_length_mm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mestre: fingerLength = valor / (37 × xScaleFactor)</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index_finger_length_mm;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indicador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68;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de cada dedo relativamente ao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local relativamente ao dedo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joint_dia; joint_thick</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furo e espessura da ranhura da junta flexível</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 4</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4–10; 0,5; 1–6;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furos, ranhuras e conectores flexíveis; não são medidas corporais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gauntlet_width_mm; gauntlet_length_mm; gauntlet_wall_mm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comprimento e parede da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60; 108; 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40–90; 1; 70–150; 1; 2–5;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e espessura da braçadeira; a largura pode derivar do punho com folga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gauntlet_pos_adjust; strap_splay_adjust</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Ajuste longitudinal e afastamento das abas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 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Correcções locais de posição e compatibilidade; introdução manual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wrist_pin_dia; wrist_pin_clearance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pino do punho e folga de rotação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 0,35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3–8; 0,5; 0,10–0,80;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interface articulada entre palma e braçadeira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overall_scale = valor / 66,4; palma escalada uniformemente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palm_length_mm; palm_thickness_mm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e espessura da palma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95; 32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60–140;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Informação contextual para a IA; não deforma independentemente a palma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index_finger_length_mm; middle_finger_length_mm;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indicador, médio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68; 72;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Escalas próprias dos dedos; o médio define a escala-base digital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O mindinho recebe escala própria; o polegar acompanha a escala-base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string_channel_scale; elastic_channel_scale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relativa dos canais de tracção e de elástico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0,9; 0,9</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0,50–1,00; 0,05; 0,50–1,50;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Razões adimensionais aplicadas aos canais mecânicos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ARM_HandLen; ARM_ForearmLen; ARM_BicepCircum; ARM_CuffLength</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Mão, antebraço, circunferência do braço e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135; 140; 160;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135–230; 120–315; 110–350; 65–90; inc.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extensão opcional do braço; não entraram na comparação da mão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ARM_PinHoleDia</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dos furos das articulações do braço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3–6;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Interface mecânica da extensão opcional do braço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82–131;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HandPerc = valor / 82 × 100, limitado a 100%–160%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HandPerc_override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Substituição manual da percentagem de escala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0–160;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Zero deriva a escala; valores positivos continuam sujeitos ao limite mínimo de 100%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dos quatro dedos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dos segmentos, preservando a circularidade dos furos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dos segmentos proximais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31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18–55;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Divide o comprimento total entre segmento proximal e ponta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thumb_length_mm; thumb_base_length_mm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e proximal do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 31</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45–80;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 polegar e divisão proximal–distal</w:t>
            </w:r>
          </w:p>
        </w:tc>
      </w:tr>
    </w:tbl>
    <w:p>
      <w:pPr>
        <w:pStyle w:val="TextoNormal-IPCA"/>
        <w:rPr/>
      </w:pPr>
      <w:r>
        <w:rP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Heading3"/>
        <w:numPr>
          <w:ilvl w:val="0"/>
          <w:numId w:val="0"/>
        </w:numPr>
        <w:ind w:hanging="0" w:start="0"/>
        <w:rPr/>
      </w:pPr>
      <w:r>
        <w:rPr/>
        <w:t>4.3.5 Exemplo numérico completo: perfil infantil no Flexy Beast</w:t>
      </w:r>
    </w:p>
    <w:p>
      <w:pPr>
        <w:pStyle w:val="TextoNormal-IPCA"/>
        <w:rPr/>
      </w:pPr>
      <w:r>
        <w:rPr/>
        <w:t>A Tabela 4.10 apresenta um percurso integral preservado na série de ensaios de 8 de Julho de 2026. Para isolar a transformação geométrica, a entrada efectiva é o vector de medidas aplicado ao modelo, e não a nacionalidade ou a escolha da referência populacional. O perfil de ensaio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302"/>
        <w:gridCol w:w="3522"/>
        <w:gridCol w:w="3963"/>
      </w:tblGrid>
      <w:tr>
        <w:trPr>
          <w:tblHeader w:val="true"/>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Etapa</w:t>
            </w:r>
          </w:p>
        </w:tc>
        <w:tc>
          <w:tcPr>
            <w:tcW w:w="352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Operação ou evidência</w:t>
            </w:r>
          </w:p>
        </w:tc>
        <w:tc>
          <w:tcPr>
            <w:tcW w:w="39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Valor obtido</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 Vector aplicado</w:t>
            </w:r>
          </w:p>
        </w:tc>
        <w:tc>
          <w:tcPr>
            <w:tcW w:w="352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Palma; indicador; médio; anelar; mindinho; polegar</w:t>
            </w:r>
          </w:p>
        </w:tc>
        <w:tc>
          <w:tcPr>
            <w:tcW w:w="39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64; 57; 60; 57; 46; 50 mm</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2. Verificação pelo esquema</w:t>
            </w:r>
          </w:p>
        </w:tc>
        <w:tc>
          <w:tcPr>
            <w:tcW w:w="352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Comparação com os intervalos da Tabela 4.9</w:t>
            </w:r>
          </w:p>
        </w:tc>
        <w:tc>
          <w:tcPr>
            <w:tcW w:w="39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Seis valores nos intervalos; sem limitação</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3. Escala global</w:t>
            </w:r>
          </w:p>
        </w:tc>
        <w:tc>
          <w:tcPr>
            <w:tcW w:w="352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xScaleFactor = (64 + 5) / 55</w:t>
            </w:r>
          </w:p>
        </w:tc>
        <w:tc>
          <w:tcPr>
            <w:tcW w:w="39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1,254545</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4. Multiplicador mestre</w:t>
            </w:r>
          </w:p>
        </w:tc>
        <w:tc>
          <w:tcPr>
            <w:tcW w:w="352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fingerLength = 60 / (37 × 1,254545)</w:t>
            </w:r>
          </w:p>
        </w:tc>
        <w:tc>
          <w:tcPr>
            <w:tcW w:w="39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1,292597</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 Proporções digitais</w:t>
            </w:r>
          </w:p>
        </w:tc>
        <w:tc>
          <w:tcPr>
            <w:tcW w:w="352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Indicador/60; médio/60; anelar/60; mindinho/60; polegar/60</w:t>
            </w:r>
          </w:p>
        </w:tc>
        <w:tc>
          <w:tcPr>
            <w:tcW w:w="39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0,950000; 1,000000; 0,950000; 0,766667; 0,833333</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6. Parâmetros mecânicos</w:t>
            </w:r>
          </w:p>
        </w:tc>
        <w:tc>
          <w:tcPr>
            <w:tcW w:w="352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joint_dia; joint_thick; braçadeira L × C × parede; wrist_pin_dia</w:t>
            </w:r>
          </w:p>
        </w:tc>
        <w:tc>
          <w:tcPr>
            <w:tcW w:w="39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 mm; 2 mm; 47 × 80 × 2 mm; 5 mm; dentro dos limites</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7. Malha da palma</w:t>
            </w:r>
          </w:p>
        </w:tc>
        <w:tc>
          <w:tcPr>
            <w:tcW w:w="352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97,385 × 80,103 × 37,123 mm; 51,381 cm³; 11.186 faces; fechada</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8. Proximal do dedo médio</w:t>
            </w:r>
          </w:p>
        </w:tc>
        <w:tc>
          <w:tcPr>
            <w:tcW w:w="352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37,451 × 14,913 × 14,775 mm; 5,225 cm³; 888 faces; fechada</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9. Distal do dedo médio</w:t>
            </w:r>
          </w:p>
        </w:tc>
        <w:tc>
          <w:tcPr>
            <w:tcW w:w="352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faces; estanquidade</w:t>
            </w:r>
          </w:p>
        </w:tc>
        <w:tc>
          <w:tcPr>
            <w:tcW w:w="39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52,183 × 14,913 × 22,697 mm; 1.198 faces; aberta</w:t>
            </w:r>
          </w:p>
        </w:tc>
      </w:tr>
    </w:tbl>
    <w:p>
      <w:pPr>
        <w:pStyle w:val="TextoNormal-IPCA"/>
        <w:rPr/>
      </w:pPr>
      <w:r>
        <w:rP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rPr/>
      </w:pPr>
      <w:r>
        <w:rP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rPr/>
      </w:pPr>
      <w:r>
        <w:rPr/>
        <w:t>Os registos de parâmetros, as malhas, o percurso de transformação e o dicionário completo integram o material suplementar do Anexo C. O percurso é reproduzível ao nível do artefacto e do cálculo; permanece uma verificação técnica com perfil de ensaio, sem avaliação de conforto, função, segurança ou validade clínica.</w:t>
      </w:r>
    </w:p>
    <w:p>
      <w:pPr>
        <w:pStyle w:val="TextoNormal-IPCA"/>
        <w:rPr/>
      </w:pPr>
      <w:r>
        <w:rP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Heading2"/>
        <w:numPr>
          <w:ilvl w:val="0"/>
          <w:numId w:val="0"/>
        </w:numPr>
        <w:ind w:hanging="0" w:start="0"/>
        <w:rPr/>
      </w:pPr>
      <w:r>
        <w:rPr/>
        <w:t>4.4 Iterações e decisões de projecto</w:t>
      </w:r>
    </w:p>
    <w:p>
      <w:pPr>
        <w:pStyle w:val="TextoNormal-IPCA"/>
        <w:rPr/>
      </w:pPr>
      <w:r>
        <w:rPr/>
        <w:t>A evolução dos modelos foi documentada com base em episódios em que uma configuração, uma malha ou uma montagem tornou visível uma limitação e conduziu a uma alteração específica. A Tabela 4.11 resume os episódios com maior influência na estrutura paramétrica. As alterações posteriores ao fecho da comparação principal são apresentadas como desenvolvimento subsequente e não como resultados retroactivos dos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1448"/>
        <w:gridCol w:w="2366"/>
        <w:gridCol w:w="2559"/>
        <w:gridCol w:w="2414"/>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Data</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15–16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Ficheiros Paraglider dispersos e nomes incompatíveis com a plataforma</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Consolidação da família num modelo com componentes e duas palmas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Integrar um modelo aberto exige declarar dependências, variantes e campos comuns antes de expor parâmetros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28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Reborn permanecia no tamanho médio apesar de variar palm_breadth_mm</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Compensação da escala 1,25 preservada no módulo carregado por use</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resposta de um controlo não pode ser inferida pelo nome; deve ser confirmada na malha gerada</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HandPerc_override permitia ao Phoenix contornar o limite mínimo de 100%</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Aplicação do mesmo intervalo de 100%–160% aos dois percursos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t>Limites equivalentes devem actuar em todos os percursos que conduzem à mesma transformação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IA alterava a lateralidade apesar de esta ser uma decisão binária do projecto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Lateralidade transferida para a interface determinística e excluída das sugestões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Decisões inequívocas e críticas não devem permanecer num processo probabilístico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9–10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 sem controlo independente dos segmentos e com desalinhamentos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Calibração do alcance, divisão proximal–distal e reposicionamento sobre os eixos MCP/PIP</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adaptação paramétrica exige preservar interfaces articulares enquanto se altera o alcance dos segmentos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desligada da circunferência do punho e polegar sem correspondência estável</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dimensionada por circunferência/π, assentamento automático no pino e calibração do polegar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Mão, punho e antebraço não devem depender de uma única escala global</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10–11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Dedos Phoenix constituídos por malhas fixas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Divisão das colunas e alongamento apenas das faixas sem furos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Modelos de malha podem receber variação local se as zonas funcionais forem isoladas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Flexy sem ligação directa ao mapa do punho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Adopção da braçadeira comum do Cyborg e de wrist_circumference_mm</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Uma gramática comum deve ligar a mesma medida corporal a funções equivalentes entre modelos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Grupos e nomes de controlos equivalentes variavam entre modelos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Ordem comum; LeftRight passou a mirrored no Phoenix e show_assembled passou a print_layout no Paraglider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coerência da interface beneficia de nomes comuns para decisões equivalentes, sem uniformizar diferenças geométricas legítimas</w:t>
            </w:r>
          </w:p>
        </w:tc>
      </w:tr>
    </w:tbl>
    <w:p>
      <w:pPr>
        <w:pStyle w:val="TextoNormal-IPCA"/>
        <w:rPr/>
      </w:pPr>
      <w:r>
        <w:rP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rPr/>
      </w:pPr>
      <w:r>
        <w:rPr/>
        <w:t>O estado final examinado corresponde a 14 de Julho de 2026. 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 Fab</w:t>
      </w:r>
    </w:p>
    <w:p>
      <w:pPr>
        <w:pStyle w:val="Nota-IPCA"/>
        <w:rPr/>
      </w:pPr>
      <w:r>
        <w:rPr/>
        <w:t>Fonte: produção própria.</w:t>
      </w:r>
    </w:p>
    <w:p>
      <w:pPr>
        <w:pStyle w:val="TextoNormal-IPCA"/>
        <w:rPr/>
      </w:pPr>
      <w:r>
        <w:rP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Etapa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Modelo, perfil e valores </w:t>
            </w:r>
            <w:r>
              <w:rPr>
                <w:rFonts w:eastAsia="Calibri"/>
                <w:kern w:val="0"/>
                <w:szCs w:val="24"/>
                <w:lang w:val="pt-PT" w:eastAsia="en-US" w:bidi="ar-SA"/>
              </w:rPr>
              <w:t>alterados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Configuração do modelo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3</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4</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Web Worker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OFF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7</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Malha STL ou pacote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8</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9</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pPr>
      <w:r>
        <w:rPr/>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t>A Tabela 5.2 identifica o estado técnico necessário para interpretar o artefacto sem converter esta dissertação numa descrição exaustiva da implementação. Os estados e componentes são registados porque condicionam a leitura dos ensaios; a sua enumeração não constitui comparação entre tecnologias.</w:t>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 xml:space="preserve">Função no processo de </w:t>
            </w:r>
            <w:r>
              <w:rPr>
                <w:rFonts w:eastAsia="Calibri"/>
                <w:b/>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commentRangeStart w:id="11"/>
            <w:r>
              <w:rPr>
                <w:rFonts w:eastAsia="Calibri"/>
                <w:b/>
                <w:kern w:val="0"/>
                <w:szCs w:val="24"/>
                <w:lang w:val="pt-PT" w:eastAsia="en-US" w:bidi="ar-SA"/>
              </w:rPr>
              <w:t>Limite da evidência</w:t>
            </w:r>
            <w:commentRangeEnd w:id="11"/>
            <w:r>
              <w:commentReference w:id="11"/>
            </w:r>
            <w:r>
              <w:rPr>
                <w:rFonts w:eastAsia="Calibri"/>
                <w:b/>
                <w:kern w:val="0"/>
                <w:szCs w:val="24"/>
                <w:lang w:val="pt-PT" w:eastAsia="en-US" w:bidi="ar-SA"/>
              </w:rPr>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 demonstração pública em handfab.pedrocandeias.net</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O tempo e a conclusão dependem do modelo e dos recursos do equipamento; não houve estudo comparativo de desempenho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O funcionamento foi examinado em casos delimitados; não foram avaliados carga, acessos simultâneos ou segurança integral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Adequado ao protótipo examinado; não foi comparado com outras soluções nem testado em utilização intensiva</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Anthropic ou OpenAI, seleccionável; claude-sonnet-4-6 no ensaio reportado</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a argumentação do projeto.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a captura anatómica por digitalização não foi implementada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A</w:t>
      </w:r>
      <w:r>
        <w:rPr/>
        <w:t xml:space="preserve"> arquitectura </w:t>
      </w:r>
      <w:r>
        <w:rPr/>
        <w:t>da solução</w:t>
      </w:r>
      <w:r>
        <w:rPr/>
        <w:t xml:space="preserve"> </w:t>
      </w:r>
      <w:r>
        <w:rPr/>
        <w:t>permite</w:t>
      </w:r>
      <w:r>
        <w:rPr/>
        <w:t xml:space="preserve"> que a renderização geométrica não </w:t>
      </w:r>
      <w:r>
        <w:rPr/>
        <w:t>seja</w:t>
      </w:r>
      <w:r>
        <w:rPr/>
        <w:t xml:space="preserve"> executada no servidor </w:t>
      </w:r>
      <w:r>
        <w:rPr/>
        <w:t>permitindo que</w:t>
      </w:r>
      <w:r>
        <w:rPr/>
        <w:t xml:space="preserve"> o cálculo e a geração da geometria tridimensional ocorr</w:t>
      </w:r>
      <w:r>
        <w:rPr/>
        <w:t>a</w:t>
      </w:r>
      <w:r>
        <w:rPr/>
        <w:t xml:space="preserve">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geração contínua.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t>
      </w:r>
      <w:r>
        <w:rPr>
          <w:i/>
          <w:iCs/>
        </w:rPr>
        <w:t>web</w:t>
      </w:r>
      <w:r>
        <w:rPr/>
        <w:t>.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Segundo essa literatura,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 Esta distinção separa o conjunto disponível na plataforma do subconjunto abrangido pelos ensaios comparativos.</w:t>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Adaptação do Flexy-Beast de daprice, combinação do Parametric Cyborg Beast e do Flexy Hand; CC BY-SA 4.0, indicada no ficheiro-fonte</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51 declarações; 15 numéricas: palma, dedos, articulações,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Dimensional, IA, exportação, malha, ficheiro de preparação para a Bambu Lab A1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Dimensional, IA, exportação, malha, ficheiro de preparação para a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MakerBlock/e-NABLE; licença não explicitada no pacote local</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Integração e renderização; excluído da comparação e das séries físicas</w:t>
            </w:r>
          </w:p>
        </w:tc>
      </w:tr>
    </w:tbl>
    <w:p>
      <w:pPr>
        <w:pStyle w:val="TextoNormal-IPCA"/>
        <w:rPr/>
      </w:pPr>
      <w:r>
        <w:rP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rPr/>
      </w:pPr>
      <w:r>
        <w:rPr/>
        <w:t>As contagens da Tabela 5.3 referem-se às declarações presentes em catálogo de modelos no estado da plataforma usado nos ensaios principais. O total inclui selectores, opções de visualização e controlos não geométricos; a contagem numérica identifica os campos do tipo number, sem pressupor que todos representem medidas antropométricas. A ausência de uma licença explícita no pacote local do Cyborg Beast é registada como lacuna documental e não como afirmação de inexistência de licença na fonte original.</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rPr/>
      </w:pPr>
      <w:r>
        <w:rP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 e não constituem avaliação centrada no utilizador, porque nenhuma pessoa participou no estudo.</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 xml:space="preserve">A mediação fundamentada no Capítulo 2 torna-se observável, no protótipo, na sequência entre leitura dos dados, proposta de valores, geração da geometria, revisão e exportação. A interface não acrescenta uma nova teoria de personalizaçã </w:t>
      </w:r>
      <w:r>
        <w:rPr/>
        <w:t>mas</w:t>
      </w:r>
      <w:r>
        <w:rPr/>
        <w:t xml:space="preserve">; materializa decisões sobre o que é </w:t>
      </w:r>
      <w:r>
        <w:rPr/>
        <w:t>apresentado</w:t>
      </w:r>
      <w:r>
        <w:rPr/>
        <w:t xml:space="preserve">, </w:t>
      </w:r>
      <w:r>
        <w:rPr/>
        <w:t>alterado</w:t>
      </w:r>
      <w:r>
        <w:rPr/>
        <w:t>,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apenas no material técnico suplementar.</w:t>
      </w:r>
    </w:p>
    <w:p>
      <w:pPr>
        <w:pStyle w:val="Caption"/>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inferência paramétrica sem medições directas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directas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rPr/>
      </w:pPr>
      <w:r>
        <w:rP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rPr/>
      </w:pPr>
      <w:r>
        <w:rPr/>
        <w:t>A lateralidade foi examinada num ensaio separado com 12 pedidos repetidos. Onze pedidos produziram resposta interpretável e um terminou por falha de análise. Nos sete pedidos de mão esquerda com resposta, o campo mirrored indicou mão direita; os quatro pedidos de mão direita foram devolvidos como mão direita. A alteração subsequente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a IA preservou os valores directamente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uma medição directa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o sistema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antes da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 respostas correctas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após 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 xml:space="preserve">A bateria complementar reuniu 15 cenários com descrições vagas, comparativas, multilingues, sem medidas ou com valores fora dos limites. Os registos preservam as descrições submetidas e as respostas, mas o estudo não reuniu extracções suficientes para estimar estatisticamente a estabilidade do modelo de linguagem. Em algumas execuções, parâmetros de </w:t>
      </w:r>
      <w:r>
        <w:rPr>
          <w:i/>
          <w:iCs/>
        </w:rPr>
        <w:t>hardware</w:t>
      </w:r>
      <w:r>
        <w:rPr/>
        <w:t xml:space="preserve"> foram incluídos; noutras, permaneceram nos valores correntes. Assim, a conclusão limita-se à conformidade dos casos registados e ao valor das salvaguardas determinísticas. Descrições equivalentes podem originar números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nos intervalos declarados. O ensaio compara a resposta dimensional das geometrias; não avalia ajuste ao corpo, conforto, função ou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Respondeu aos três perfis após a correcção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factores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correcção, um percurso alternativo do Phoenix produziu um factor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rPr/>
      </w:pPr>
      <w:r>
        <w:rPr/>
        <w:t>A correcção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Heading3"/>
        <w:numPr>
          <w:ilvl w:val="0"/>
          <w:numId w:val="0"/>
        </w:numPr>
        <w:ind w:hanging="0" w:start="0"/>
        <w:rPr/>
      </w:pPr>
      <w:r>
        <w:rPr/>
        <w:t>8.4 Discussão dos resultados face aos objectivos</w:t>
      </w:r>
    </w:p>
    <w:p>
      <w:pPr>
        <w:pStyle w:val="TextoNormal-IPCA"/>
        <w:rPr/>
      </w:pPr>
      <w:r>
        <w:rPr/>
        <w:t xml:space="preserve">Face aos objectivos,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projecto,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correcções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e requisito seleccionado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Limite remanescente</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estabelece relações empíricas entre medidas objectivas,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medidos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e interacção: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arquitectura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 arquitectura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avaliados custo total,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correcções,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de projecto documentado, e não como validação de uma solução protésica pronta para utilização.</w:t>
      </w:r>
    </w:p>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mão protésica com base em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rPr/>
      </w:pPr>
      <w:r>
        <w:rPr/>
        <w:t xml:space="preserve">Quanto à primeira pergunta aprovada, o </w:t>
      </w:r>
      <w:r>
        <w:rPr>
          <w:i/>
          <w:iCs/>
        </w:rPr>
        <w:t>design</w:t>
      </w:r>
      <w:r>
        <w:rPr/>
        <w:t xml:space="preserve"> paramétrico e a IA apoiaram parcialmente a personalização por meio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o ajuste, a acessibilidade do processo e o controlo das decisões de projecto. Não foram medidos conforto percebido, adequação anatómica individual ou desempenho funcional em utilização.</w:t>
      </w:r>
    </w:p>
    <w:p>
      <w:pPr>
        <w:pStyle w:val="TextoNormal-IPCA"/>
        <w:rPr/>
      </w:pPr>
      <w:r>
        <w:rPr/>
        <w:t xml:space="preserve">Quanto à segunda pergunta aprovada, a combinação de ciclos de </w:t>
      </w:r>
      <w:r>
        <w:rPr>
          <w:i/>
          <w:iCs/>
        </w:rPr>
        <w:t>Research Through Design</w:t>
      </w:r>
      <w:r>
        <w:rPr/>
        <w:t>, ensaios unitários, cenários simulados, inspecção de respostas JSON, medição de malhas, exportação, preparação para impressão, observação e medição de peças físicas permitiu avaliar parcialmente a coerência e a repetição técnica de diferentes etapas. A Série B acrescentou uma comparação digital sob condição comum; a análise dimensional reuniu 36 extensões X/Y/Z das malhas e 72 medições das palmas em PLA e PETG. Estes métodos não avaliaram eficácia protésica, usabilidade com participantes ou durabilidade. A comparação dimensional permanece descritiva e não estima a incerteza de medição; montagem completa e ensaios de utilização ficaram igualmente fora do âmbito avaliado.</w:t>
      </w:r>
    </w:p>
    <w:p>
      <w:pPr>
        <w:pStyle w:val="TextoNormal-IPCA"/>
        <w:rPr/>
      </w:pPr>
      <w:r>
        <w:rPr/>
        <w:t xml:space="preserve">Quanto à terceira pergunta aprovada, o </w:t>
      </w:r>
      <w:r>
        <w:rPr>
          <w:i/>
          <w:iCs/>
        </w:rPr>
        <w:t>design</w:t>
      </w:r>
      <w:r>
        <w:rPr/>
        <w:t xml:space="preserve">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 pessoas concretas,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projecto: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projecto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projecto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inspeccionado e os dez ensaios unitários disponíveis foram concluídos, mas a bateria completa no navegador não foi novamente executada no fecho da dissertação.</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Os tempos, o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Uma eventual extensão metrológica poderá aprofundar a comparação dimensional já realizada. As medidas de entrada, as extensões X/Y/Z das malhas e um valor físico por eixo para as palmas em PLA e PETG encontram-se registados no Anexo D. Caso um estudo futuro pretenda calcular média, amplitude e incerteza associada ao reposicionamento do paquímetro, deverá efectuar três leituras independentes por eixo. Esta extensão é opcional e não é necessária para a comparação descritiva nem para as conclusões apresentadas nesta dissertação. Os pontos usados correspondem a extremos geométricos e não são apresentados como pontos anatómicos sem demonstração da sua equivalência.</w:t>
      </w:r>
    </w:p>
    <w:p>
      <w:pPr>
        <w:pStyle w:val="TextoNormal-IPCA"/>
        <w:rPr/>
      </w:pPr>
      <w:r>
        <w:rPr/>
        <w:t>Uma eventual extensão orientada para a estabilidade do modelo de linguagem poderá executar cada cenário várias vezes, com registo do modelo, dos parâmetros de geração, da resposta completa, dos erros, dos campos omitidos e da taxa de cumprimento de cada regra. Esta extensão permitiria caracterizar a dispersão entre chamadas, mas não é necessária para as conclusões delimitadas apresentadas nesta dissertação. Independentemente dessa campanha, a interface deverá mostrar a fonte populacional usada, os dados em falta e avisos quando a dimensão estimada fica fora da gama do modelo escolhido. A validação do esquema JSON deverá ocorrer no servidor antes de a sugestão chegar à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de dados da mão com dados de várias populações,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extracção e codificação de dados antropométricos da mão</w:t>
      </w:r>
    </w:p>
    <w:p>
      <w:pPr>
        <w:pStyle w:val="TextoNormal-IPCA"/>
        <w:keepNext w:val="true"/>
        <w:spacing w:before="240" w:after="160"/>
        <w:rPr/>
      </w:pPr>
      <w:r>
        <w:rPr>
          <w:b/>
          <w:sz w:val="28"/>
          <w:szCs w:val="28"/>
        </w:rPr>
        <w:t>Índice do Anexo A</w:t>
      </w:r>
    </w:p>
    <w:p>
      <w:pPr>
        <w:pStyle w:val="ndicedoAnexo2"/>
        <w:rPr/>
      </w:pPr>
      <w:r>
        <w:rPr/>
        <w:t>A.1 Contexto e Objectivo</w:t>
        <w:tab/>
        <w:t>119</w:t>
      </w:r>
    </w:p>
    <w:p>
      <w:pPr>
        <w:pStyle w:val="ndicedoAnexo2"/>
        <w:rPr/>
      </w:pPr>
      <w:r>
        <w:rPr/>
        <w:t>A.2 Estratégia de Pesquisa Bibliográfica</w:t>
        <w:tab/>
        <w:t>119</w:t>
      </w:r>
    </w:p>
    <w:p>
      <w:pPr>
        <w:pStyle w:val="ndicedoAnexo3"/>
        <w:tabs>
          <w:tab w:val="clear" w:pos="708"/>
          <w:tab w:val="right" w:pos="8204" w:leader="dot"/>
        </w:tabs>
        <w:rPr/>
      </w:pPr>
      <w:r>
        <w:rPr/>
        <w:t>A.2.1 Pesquisa bibliográfica orientada</w:t>
        <w:tab/>
        <w:t>119</w:t>
      </w:r>
    </w:p>
    <w:p>
      <w:pPr>
        <w:pStyle w:val="ndicedoAnexo3"/>
        <w:tabs>
          <w:tab w:val="clear" w:pos="708"/>
          <w:tab w:val="right" w:pos="8204" w:leader="dot"/>
        </w:tabs>
        <w:rPr/>
      </w:pPr>
      <w:r>
        <w:rPr/>
        <w:t>A.2.2 Base ANSUR 1988</w:t>
        <w:tab/>
        <w:t>119</w:t>
      </w:r>
    </w:p>
    <w:p>
      <w:pPr>
        <w:pStyle w:val="ndicedoAnexo2"/>
        <w:rPr/>
      </w:pPr>
      <w:r>
        <w:rPr/>
        <w:t>A.3 Critérios de Inclusão e Exclusão de Estudos</w:t>
        <w:tab/>
        <w:t>119</w:t>
      </w:r>
    </w:p>
    <w:p>
      <w:pPr>
        <w:pStyle w:val="ndicedoAnexo3"/>
        <w:tabs>
          <w:tab w:val="clear" w:pos="708"/>
          <w:tab w:val="right" w:pos="8204" w:leader="dot"/>
        </w:tabs>
        <w:rPr/>
      </w:pPr>
      <w:r>
        <w:rPr/>
        <w:t>A.3.1 Critérios de inclusão</w:t>
        <w:tab/>
        <w:t>119</w:t>
      </w:r>
    </w:p>
    <w:p>
      <w:pPr>
        <w:pStyle w:val="ndicedoAnexo3"/>
        <w:tabs>
          <w:tab w:val="clear" w:pos="708"/>
          <w:tab w:val="right" w:pos="8204" w:leader="dot"/>
        </w:tabs>
        <w:rPr/>
      </w:pPr>
      <w:r>
        <w:rPr/>
        <w:t>A.3.2 Critérios de exclusão</w:t>
        <w:tab/>
        <w:t>119</w:t>
      </w:r>
    </w:p>
    <w:p>
      <w:pPr>
        <w:pStyle w:val="ndicedoAnexo2"/>
        <w:rPr/>
      </w:pPr>
      <w:r>
        <w:rPr/>
        <w:t>A.4 Processo de Extracção de Dados</w:t>
        <w:tab/>
        <w:t>119</w:t>
      </w:r>
    </w:p>
    <w:p>
      <w:pPr>
        <w:pStyle w:val="ndicedoAnexo3"/>
        <w:tabs>
          <w:tab w:val="clear" w:pos="708"/>
          <w:tab w:val="right" w:pos="8204" w:leader="dot"/>
        </w:tabs>
        <w:rPr/>
      </w:pPr>
      <w:r>
        <w:rPr/>
        <w:t>A.4.1 Leitura dos PDFs e localização das tabelas</w:t>
        <w:tab/>
        <w:t>119</w:t>
      </w:r>
    </w:p>
    <w:p>
      <w:pPr>
        <w:pStyle w:val="ndicedoAnexo3"/>
        <w:tabs>
          <w:tab w:val="clear" w:pos="708"/>
          <w:tab w:val="right" w:pos="8204" w:leader="dot"/>
        </w:tabs>
        <w:rPr/>
      </w:pPr>
      <w:r>
        <w:rPr/>
        <w:t>A.4.2 Identificação das unidades e conversão</w:t>
        <w:tab/>
        <w:t>119</w:t>
      </w:r>
    </w:p>
    <w:p>
      <w:pPr>
        <w:pStyle w:val="ndicedoAnexo3"/>
        <w:tabs>
          <w:tab w:val="clear" w:pos="708"/>
          <w:tab w:val="right" w:pos="8204" w:leader="dot"/>
        </w:tabs>
        <w:rPr/>
      </w:pPr>
      <w:r>
        <w:rPr/>
        <w:t>A.4.3 Decomposição em linhas atómicas</w:t>
        <w:tab/>
        <w:t>119</w:t>
      </w:r>
    </w:p>
    <w:p>
      <w:pPr>
        <w:pStyle w:val="ndicedoAnexo3"/>
        <w:tabs>
          <w:tab w:val="clear" w:pos="708"/>
          <w:tab w:val="right" w:pos="8204" w:leader="dot"/>
        </w:tabs>
        <w:rPr/>
      </w:pPr>
      <w:r>
        <w:rPr/>
        <w:t>A.4.4 Registo fiel do contexto da medição</w:t>
        <w:tab/>
        <w:t>119</w:t>
      </w:r>
    </w:p>
    <w:p>
      <w:pPr>
        <w:pStyle w:val="ndicedoAnexo2"/>
        <w:rPr/>
      </w:pPr>
      <w:r>
        <w:rPr/>
        <w:t>A.5 Decisões por Estudo</w:t>
        <w:tab/>
        <w:t>119</w:t>
      </w:r>
    </w:p>
    <w:p>
      <w:pPr>
        <w:pStyle w:val="ndicedoAnexo3"/>
        <w:tabs>
          <w:tab w:val="clear" w:pos="708"/>
          <w:tab w:val="right" w:pos="8204" w:leader="dot"/>
        </w:tabs>
        <w:rPr/>
      </w:pPr>
      <w:r>
        <w:rPr/>
        <w:t>A.5.1 ANSUR 1988 — EUA, militares (Gordon et al., 1989)</w:t>
        <w:tab/>
        <w:t>119</w:t>
      </w:r>
    </w:p>
    <w:p>
      <w:pPr>
        <w:pStyle w:val="ndicedoAnexo3"/>
        <w:tabs>
          <w:tab w:val="clear" w:pos="708"/>
          <w:tab w:val="right" w:pos="8204" w:leader="dot"/>
        </w:tabs>
        <w:rPr/>
      </w:pPr>
      <w:r>
        <w:rPr/>
        <w:t>A.5.2 Turquia — jovens adultos (Chatzioglou et al., 2024)</w:t>
        <w:tab/>
        <w:t>119</w:t>
      </w:r>
    </w:p>
    <w:p>
      <w:pPr>
        <w:pStyle w:val="ndicedoAnexo3"/>
        <w:tabs>
          <w:tab w:val="clear" w:pos="708"/>
          <w:tab w:val="right" w:pos="8204" w:leader="dot"/>
        </w:tabs>
        <w:rPr/>
      </w:pPr>
      <w:r>
        <w:rPr/>
        <w:t>A.5.3 México — população geral (Rodríguez-Vega &amp; Rodríguez-Vega, 2024)</w:t>
        <w:tab/>
        <w:t>119</w:t>
      </w:r>
    </w:p>
    <w:p>
      <w:pPr>
        <w:pStyle w:val="ndicedoAnexo3"/>
        <w:tabs>
          <w:tab w:val="clear" w:pos="708"/>
          <w:tab w:val="right" w:pos="8204" w:leader="dot"/>
        </w:tabs>
        <w:rPr/>
      </w:pPr>
      <w:r>
        <w:rPr/>
        <w:t>A.5.4 Índia — mulheres trabalhadoras (Nag et al., 2003)</w:t>
        <w:tab/>
        <w:t>119</w:t>
      </w:r>
    </w:p>
    <w:p>
      <w:pPr>
        <w:pStyle w:val="ndicedoAnexo3"/>
        <w:tabs>
          <w:tab w:val="clear" w:pos="708"/>
          <w:tab w:val="right" w:pos="8204" w:leader="dot"/>
        </w:tabs>
        <w:rPr/>
      </w:pPr>
      <w:r>
        <w:rPr/>
        <w:t>A.5.5 Portugal — trabalhadores industriais (Anacleto Filho et al., 2023)</w:t>
        <w:tab/>
        <w:t>119</w:t>
      </w:r>
    </w:p>
    <w:p>
      <w:pPr>
        <w:pStyle w:val="ndicedoAnexo3"/>
        <w:tabs>
          <w:tab w:val="clear" w:pos="708"/>
          <w:tab w:val="right" w:pos="8204" w:leader="dot"/>
        </w:tabs>
        <w:rPr/>
      </w:pPr>
      <w:r>
        <w:rPr/>
        <w:t>A.5.6 Nigéria — atletas universitários (Ibiwari et al., 2025)</w:t>
        <w:tab/>
        <w:t>119</w:t>
      </w:r>
    </w:p>
    <w:p>
      <w:pPr>
        <w:pStyle w:val="ndicedoAnexo3"/>
        <w:tabs>
          <w:tab w:val="clear" w:pos="708"/>
          <w:tab w:val="right" w:pos="8204" w:leader="dot"/>
        </w:tabs>
        <w:rPr/>
      </w:pPr>
      <w:r>
        <w:rPr/>
        <w:t>A.5.7 Jordânia — trabalhadores com deficiência (Mistarihi, 2020)</w:t>
        <w:tab/>
        <w:t>119</w:t>
      </w:r>
    </w:p>
    <w:p>
      <w:pPr>
        <w:pStyle w:val="ndicedoAnexo3"/>
        <w:tabs>
          <w:tab w:val="clear" w:pos="708"/>
          <w:tab w:val="right" w:pos="8204" w:leader="dot"/>
        </w:tabs>
        <w:rPr/>
      </w:pPr>
      <w:r>
        <w:rPr/>
        <w:t>A.5.8 EUA — dedo indicador (Lim et al., 2018)</w:t>
        <w:tab/>
        <w:t>119</w:t>
      </w:r>
    </w:p>
    <w:p>
      <w:pPr>
        <w:pStyle w:val="ndicedoAnexo3"/>
        <w:tabs>
          <w:tab w:val="clear" w:pos="708"/>
          <w:tab w:val="right" w:pos="8204" w:leader="dot"/>
        </w:tabs>
        <w:rPr/>
      </w:pPr>
      <w:r>
        <w:rPr/>
        <w:t>A.5.9 Estudo excluído: Moreo (2016)</w:t>
        <w:tab/>
        <w:t>119</w:t>
      </w:r>
    </w:p>
    <w:p>
      <w:pPr>
        <w:pStyle w:val="ndicedoAnexo3"/>
        <w:tabs>
          <w:tab w:val="clear" w:pos="708"/>
          <w:tab w:val="right" w:pos="8204" w:leader="dot"/>
        </w:tabs>
        <w:rPr/>
      </w:pPr>
      <w:r>
        <w:rPr/>
        <w:t>A.5.10 EUA — militares ANSUR II (Gordon et al., 2015)</w:t>
        <w:tab/>
        <w:t>119</w:t>
      </w:r>
    </w:p>
    <w:p>
      <w:pPr>
        <w:pStyle w:val="ndicedoAnexo3"/>
        <w:tabs>
          <w:tab w:val="clear" w:pos="708"/>
          <w:tab w:val="right" w:pos="8204" w:leader="dot"/>
        </w:tabs>
        <w:rPr/>
      </w:pPr>
      <w:r>
        <w:rPr/>
        <w:t>A.5.11 Países Baixos — DINED (TU Delft, 1993–2004)</w:t>
        <w:tab/>
        <w:t>119</w:t>
      </w:r>
    </w:p>
    <w:p>
      <w:pPr>
        <w:pStyle w:val="ndicedoAnexo3"/>
        <w:tabs>
          <w:tab w:val="clear" w:pos="708"/>
          <w:tab w:val="right" w:pos="8204" w:leader="dot"/>
        </w:tabs>
        <w:rPr/>
      </w:pPr>
      <w:r>
        <w:rPr/>
        <w:t>A.5.12 China — idosos de Pequim (Hu et al., 2007)</w:t>
        <w:tab/>
        <w:t>119</w:t>
      </w:r>
    </w:p>
    <w:p>
      <w:pPr>
        <w:pStyle w:val="ndicedoAnexo3"/>
        <w:tabs>
          <w:tab w:val="clear" w:pos="708"/>
          <w:tab w:val="right" w:pos="8204" w:leader="dot"/>
        </w:tabs>
        <w:rPr/>
      </w:pPr>
      <w:r>
        <w:rPr/>
        <w:t>A.5.13 Estudo excluído: reconstrução corporal 3D a partir de fotografias ortogonais</w:t>
        <w:tab/>
        <w:t>119</w:t>
      </w:r>
    </w:p>
    <w:p>
      <w:pPr>
        <w:pStyle w:val="ndicedoAnexo2"/>
        <w:rPr/>
      </w:pPr>
      <w:r>
        <w:rPr/>
        <w:t>A.6 Estrutura do CSV e esquema de dados</w:t>
        <w:tab/>
        <w:t>119</w:t>
      </w:r>
    </w:p>
    <w:p>
      <w:pPr>
        <w:pStyle w:val="ndicedoAnexo3"/>
        <w:tabs>
          <w:tab w:val="clear" w:pos="708"/>
          <w:tab w:val="right" w:pos="8204" w:leader="dot"/>
        </w:tabs>
        <w:rPr/>
      </w:pPr>
      <w:r>
        <w:rPr/>
        <w:t>A.6.1 Campos</w:t>
        <w:tab/>
        <w:t>119</w:t>
      </w:r>
    </w:p>
    <w:p>
      <w:pPr>
        <w:pStyle w:val="ndicedoAnexo3"/>
        <w:tabs>
          <w:tab w:val="clear" w:pos="708"/>
          <w:tab w:val="right" w:pos="8204" w:leader="dot"/>
        </w:tabs>
        <w:rPr/>
      </w:pPr>
      <w:r>
        <w:rPr/>
        <w:t>A.6.2 Formato longo (long format)</w:t>
        <w:tab/>
        <w:t>119</w:t>
      </w:r>
    </w:p>
    <w:p>
      <w:pPr>
        <w:pStyle w:val="ndicedoAnexo2"/>
        <w:rPr/>
      </w:pPr>
      <w:r>
        <w:rPr/>
        <w:t>A.7 Controlo de Qualidade dos Dados</w:t>
        <w:tab/>
        <w:t>119</w:t>
      </w:r>
    </w:p>
    <w:p>
      <w:pPr>
        <w:pStyle w:val="ndicedoAnexo3"/>
        <w:tabs>
          <w:tab w:val="clear" w:pos="708"/>
          <w:tab w:val="right" w:pos="8204" w:leader="dot"/>
        </w:tabs>
        <w:rPr/>
      </w:pPr>
      <w:r>
        <w:rPr/>
        <w:t>A.7.1 Marcação inline de limitações</w:t>
        <w:tab/>
        <w:t>119</w:t>
      </w:r>
    </w:p>
    <w:p>
      <w:pPr>
        <w:pStyle w:val="ndicedoAnexo3"/>
        <w:tabs>
          <w:tab w:val="clear" w:pos="708"/>
          <w:tab w:val="right" w:pos="8204" w:leader="dot"/>
        </w:tabs>
        <w:rPr/>
      </w:pPr>
      <w:r>
        <w:rPr/>
        <w:t>A.7.2 Verificação de unidades</w:t>
        <w:tab/>
        <w:t>119</w:t>
      </w:r>
    </w:p>
    <w:p>
      <w:pPr>
        <w:pStyle w:val="ndicedoAnexo3"/>
        <w:tabs>
          <w:tab w:val="clear" w:pos="708"/>
          <w:tab w:val="right" w:pos="8204" w:leader="dot"/>
        </w:tabs>
        <w:rPr/>
      </w:pPr>
      <w:r>
        <w:rPr/>
        <w:t>A.7.3 Ligação à fonte</w:t>
        <w:tab/>
        <w:t>119</w:t>
      </w:r>
    </w:p>
    <w:p>
      <w:pPr>
        <w:pStyle w:val="ndicedoAnexo2"/>
        <w:rPr/>
      </w:pPr>
      <w:r>
        <w:rPr/>
        <w:t>A.8 Escrita do Código de Geração</w:t>
        <w:tab/>
        <w:t>119</w:t>
      </w:r>
    </w:p>
    <w:p>
      <w:pPr>
        <w:pStyle w:val="ndicedoAnexo3"/>
        <w:tabs>
          <w:tab w:val="clear" w:pos="708"/>
          <w:tab w:val="right" w:pos="8204" w:leader="dot"/>
        </w:tabs>
        <w:rPr/>
      </w:pPr>
      <w:r>
        <w:rPr/>
        <w:t>A.8.1 Correspondência entre os CSV e os parâmetros da plataforma</w:t>
        <w:tab/>
        <w:t>119</w:t>
      </w:r>
    </w:p>
    <w:p>
      <w:pPr>
        <w:pStyle w:val="ndicedoAnexo2"/>
        <w:rPr/>
      </w:pPr>
      <w:r>
        <w:rPr/>
        <w:t>A.9 Resultado Final</w:t>
        <w:tab/>
        <w:t>119</w:t>
      </w:r>
    </w:p>
    <w:p>
      <w:pPr>
        <w:pStyle w:val="ndicedoAnexo2"/>
        <w:rPr/>
      </w:pPr>
      <w:r>
        <w:rPr/>
        <w:t>A.10 Cobertura Global da Base de Dados e Lacunas</w:t>
        <w:tab/>
        <w:t>119</w:t>
      </w:r>
    </w:p>
    <w:p>
      <w:pPr>
        <w:pStyle w:val="ndicedoAnexo3"/>
        <w:tabs>
          <w:tab w:val="clear" w:pos="708"/>
          <w:tab w:val="right" w:pos="8204" w:leader="dot"/>
        </w:tabs>
        <w:rPr/>
      </w:pPr>
      <w:r>
        <w:rPr/>
        <w:t>A.10.1 O que está coberto</w:t>
        <w:tab/>
        <w:t>119</w:t>
      </w:r>
    </w:p>
    <w:p>
      <w:pPr>
        <w:pStyle w:val="ndicedoAnexo4"/>
        <w:tabs>
          <w:tab w:val="clear" w:pos="708"/>
          <w:tab w:val="right" w:pos="8204" w:leader="dot"/>
        </w:tabs>
        <w:rPr/>
      </w:pPr>
      <w:r>
        <w:rPr/>
        <w:t>A.10.1.1 Cobertura geográfica</w:t>
        <w:tab/>
        <w:t>120</w:t>
      </w:r>
    </w:p>
    <w:p>
      <w:pPr>
        <w:pStyle w:val="ndicedoAnexo4"/>
        <w:tabs>
          <w:tab w:val="clear" w:pos="708"/>
          <w:tab w:val="right" w:pos="8204" w:leader="dot"/>
        </w:tabs>
        <w:rPr/>
      </w:pPr>
      <w:r>
        <w:rPr/>
        <w:t>A.10.1.2 Cobertura etária</w:t>
        <w:tab/>
        <w:t>120</w:t>
      </w:r>
    </w:p>
    <w:p>
      <w:pPr>
        <w:pStyle w:val="ndicedoAnexo4"/>
        <w:tabs>
          <w:tab w:val="clear" w:pos="708"/>
          <w:tab w:val="right" w:pos="8204" w:leader="dot"/>
        </w:tabs>
        <w:rPr/>
      </w:pPr>
      <w:r>
        <w:rPr/>
        <w:t>A.10.1.3 Cobertura estatística</w:t>
        <w:tab/>
        <w:t>120</w:t>
      </w:r>
    </w:p>
    <w:p>
      <w:pPr>
        <w:pStyle w:val="ndicedoAnexo3"/>
        <w:tabs>
          <w:tab w:val="clear" w:pos="708"/>
          <w:tab w:val="right" w:pos="8204" w:leader="dot"/>
        </w:tabs>
        <w:rPr/>
      </w:pPr>
      <w:r>
        <w:rPr/>
        <w:t>A.10.2 Onde a cobertura falha</w:t>
        <w:tab/>
        <w:t>120</w:t>
      </w:r>
    </w:p>
    <w:p>
      <w:pPr>
        <w:pStyle w:val="ndicedoAnexo4"/>
        <w:tabs>
          <w:tab w:val="clear" w:pos="708"/>
          <w:tab w:val="right" w:pos="8204" w:leader="dot"/>
        </w:tabs>
        <w:rPr/>
      </w:pPr>
      <w:r>
        <w:rPr/>
        <w:t>A.10.2.1 Lacunas geográficas</w:t>
        <w:tab/>
        <w:t>120</w:t>
      </w:r>
    </w:p>
    <w:p>
      <w:pPr>
        <w:pStyle w:val="ndicedoAnexo4"/>
        <w:tabs>
          <w:tab w:val="clear" w:pos="708"/>
          <w:tab w:val="right" w:pos="8204" w:leader="dot"/>
        </w:tabs>
        <w:rPr/>
      </w:pPr>
      <w:r>
        <w:rPr/>
        <w:t>A.10.2.2 Lacunas demográficas</w:t>
        <w:tab/>
        <w:t>120</w:t>
      </w:r>
    </w:p>
    <w:p>
      <w:pPr>
        <w:pStyle w:val="ndicedoAnexo4"/>
        <w:tabs>
          <w:tab w:val="clear" w:pos="708"/>
          <w:tab w:val="right" w:pos="8204" w:leader="dot"/>
        </w:tabs>
        <w:rPr/>
      </w:pPr>
      <w:r>
        <w:rPr/>
        <w:t>A.10.2.3 Limitações qualitativas dos dados existentes</w:t>
        <w:tab/>
        <w:t>120</w:t>
      </w:r>
    </w:p>
    <w:p>
      <w:pPr>
        <w:pStyle w:val="ndicedoAnexo3"/>
        <w:tabs>
          <w:tab w:val="clear" w:pos="708"/>
          <w:tab w:val="right" w:pos="8204" w:leader="dot"/>
        </w:tabs>
        <w:rPr/>
      </w:pPr>
      <w:r>
        <w:rPr/>
        <w:t>A.10.3 Frentes identificadas para expansão futura</w:t>
        <w:tab/>
        <w:t>120</w:t>
      </w:r>
    </w:p>
    <w:p>
      <w:pPr>
        <w:pStyle w:val="ndicedoAnexo4"/>
        <w:tabs>
          <w:tab w:val="clear" w:pos="708"/>
          <w:tab w:val="right" w:pos="8204" w:leader="dot"/>
        </w:tabs>
        <w:rPr/>
      </w:pPr>
      <w:r>
        <w:rPr/>
        <w:t>A.10.3.1 Prioridade alta</w:t>
        <w:tab/>
        <w:t>120</w:t>
      </w:r>
    </w:p>
    <w:p>
      <w:pPr>
        <w:pStyle w:val="ndicedoAnexo4"/>
        <w:tabs>
          <w:tab w:val="clear" w:pos="708"/>
          <w:tab w:val="right" w:pos="8204" w:leader="dot"/>
        </w:tabs>
        <w:rPr/>
      </w:pPr>
      <w:r>
        <w:rPr/>
        <w:t>A.10.3.2 Prioridade média</w:t>
        <w:tab/>
        <w:t>120</w:t>
      </w:r>
    </w:p>
    <w:p>
      <w:pPr>
        <w:pStyle w:val="ndicedoAnexo4"/>
        <w:tabs>
          <w:tab w:val="clear" w:pos="708"/>
          <w:tab w:val="right" w:pos="8204" w:leader="dot"/>
        </w:tabs>
        <w:rPr/>
      </w:pPr>
      <w:r>
        <w:rPr/>
        <w:t>A.10.3.3 Pertinência directa para o tema da tese</w:t>
        <w:tab/>
        <w:t>120</w:t>
      </w:r>
    </w:p>
    <w:p>
      <w:pPr>
        <w:pStyle w:val="Heading3"/>
        <w:numPr>
          <w:ilvl w:val="0"/>
          <w:numId w:val="0"/>
        </w:numPr>
        <w:ind w:hanging="0" w:start="0"/>
        <w:rPr/>
      </w:pPr>
      <w:r>
        <w:rPr/>
        <w:t>A.1 Contexto e Objectivo</w:t>
      </w:r>
    </w:p>
    <w:p>
      <w:pPr>
        <w:pStyle w:val="TextoNormal-IPCA"/>
        <w:rPr/>
      </w:pPr>
      <w:r>
        <w:rP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Heading3"/>
        <w:numPr>
          <w:ilvl w:val="0"/>
          <w:numId w:val="0"/>
        </w:numPr>
        <w:ind w:hanging="0" w:start="0"/>
        <w:rPr/>
      </w:pPr>
      <w:r>
        <w:rPr/>
        <w:t>A.4.3 Decomposição em linhas atómicas</w:t>
      </w:r>
    </w:p>
    <w:p>
      <w:pPr>
        <w:pStyle w:val="Bibliography"/>
        <w:jc w:val="start"/>
        <w:rPr/>
      </w:pPr>
      <w:r>
        <w:rP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phy"/>
        <w:jc w:val="start"/>
        <w:rPr/>
      </w:pPr>
      <w:r>
        <w:rPr/>
        <w:t>Esta estrutura longa (</w:t>
      </w:r>
      <w:r>
        <w:rPr>
          <w:i/>
          <w:iCs/>
        </w:rPr>
        <w:t>long format</w:t>
      </w:r>
      <w:r>
        <w:rPr/>
        <w:t>) permite filtrar e agregar por qualquer combinação de variáveis sem necessidade de transformação prévia.</w:t>
      </w:r>
    </w:p>
    <w:p>
      <w:pPr>
        <w:pStyle w:val="Heading3"/>
        <w:numPr>
          <w:ilvl w:val="0"/>
          <w:numId w:val="0"/>
        </w:numPr>
        <w:ind w:hanging="0" w:start="0"/>
        <w:rPr/>
      </w:pPr>
      <w:r>
        <w:rPr/>
        <w:t>A.4.4 Registo fiel do contexto da medição</w:t>
      </w:r>
    </w:p>
    <w:p>
      <w:pPr>
        <w:pStyle w:val="Bibliography"/>
        <w:jc w:val="start"/>
        <w:rPr/>
      </w:pPr>
      <w:r>
        <w:rPr/>
        <w:t>O campo measurementmethodnote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Bibliography"/>
        <w:jc w:val="start"/>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ibliography"/>
        <w:jc w:val="start"/>
        <w:rPr/>
      </w:pPr>
      <w:r>
        <w:rP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dataqualitynote.</w:t>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Nota metodológica: O estudo mediu o lado esquerdo por limitação de instalações; este facto é registado em measurementmethodnote.</w:t>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reflectem uma selecção fisicamente activa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numPr>
          <w:ilvl w:val="0"/>
          <w:numId w:val="0"/>
        </w:numPr>
        <w:ind w:hanging="0" w:start="0"/>
        <w:rPr/>
      </w:pPr>
      <w:r>
        <w:rPr/>
        <w:t>A.5.8 EUA — dedo indicador (Lim et al., 2018)</w:t>
      </w:r>
    </w:p>
    <w:p>
      <w:pPr>
        <w:pStyle w:val="Bibliography"/>
        <w:jc w:val="start"/>
        <w:rPr/>
      </w:pPr>
      <w:r>
        <w:rPr/>
        <w:t>Fonte: Trabalho académico UC Berkeley. n=50 adultos, idade 18–30. Apenas duas dimensões do dedo indicador (D2): comprimento MCP-ponta (média=90,9 mm) e largura na articulação PIP (média=16,9 mm). Apenas médias reportadas, sem SD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directamente relevantes para o objectivo desta dissertação. O coeficiente de determinação R² = 0,18 entre comprimento e largura do dedo é registado como indicador de correlação fraca.</w:t>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Heading3"/>
        <w:numPr>
          <w:ilvl w:val="0"/>
          <w:numId w:val="0"/>
        </w:numPr>
        <w:ind w:hanging="0" w:start="0"/>
        <w:rPr/>
      </w:pPr>
      <w:r>
        <w:rPr/>
        <w:t>A.5.10 EUA — militares ANSUR II (Gordon et al., 2015)</w:t>
      </w:r>
    </w:p>
    <w:p>
      <w:pPr>
        <w:pStyle w:val="Bibliography"/>
        <w:jc w:val="start"/>
        <w:rPr/>
      </w:pPr>
      <w:r>
        <w:rP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usa a designação do padrão GB/T 5703 sem especificar o dígito; assume-se o dedo médio, documentado em dataqualitynote.</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 (&lt; 5 MB).</w:t>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O campo dataqualitynote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Heading3"/>
        <w:numPr>
          <w:ilvl w:val="0"/>
          <w:numId w:val="0"/>
        </w:numPr>
        <w:ind w:hanging="0" w:start="0"/>
        <w:rPr/>
      </w:pPr>
      <w:r>
        <w:rPr/>
        <w:t>A.7.2 Verificação de unidades</w:t>
      </w:r>
    </w:p>
    <w:p>
      <w:pPr>
        <w:pStyle w:val="Bibliography"/>
        <w:jc w:val="start"/>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exacto (sourcepage), permitindo que qualquer valor seja verificado directamente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Os dados foram codificados por dois procedimentos Python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pPr>
      <w:r>
        <w:rPr/>
        <w:t xml:space="preserve">O mapeamento canónico liga apenas medidas com correspondência anatómica explícita: </w:t>
      </w:r>
      <w:r>
        <w:rPr>
          <w:rFonts w:ascii="Consolas" w:hAnsi="Consolas"/>
          <w:sz w:val="20"/>
        </w:rPr>
        <w:t>palm.width_mm</w:t>
      </w:r>
      <w:r>
        <w:rPr/>
        <w:t xml:space="preserve"> a </w:t>
      </w:r>
      <w:r>
        <w:rPr>
          <w:rFonts w:ascii="Consolas" w:hAnsi="Consolas"/>
          <w:sz w:val="20"/>
        </w:rPr>
        <w:t>palm_breadth_mm</w:t>
      </w:r>
      <w:r>
        <w:rPr/>
        <w:t xml:space="preserve">; </w:t>
      </w:r>
      <w:r>
        <w:rPr>
          <w:rFonts w:ascii="Consolas" w:hAnsi="Consolas"/>
          <w:sz w:val="20"/>
        </w:rPr>
        <w:t>palm.length_mm</w:t>
      </w:r>
      <w:r>
        <w:rPr/>
        <w:t xml:space="preserve"> a </w:t>
      </w:r>
      <w:r>
        <w:rPr>
          <w:rFonts w:ascii="Consolas" w:hAnsi="Consolas"/>
          <w:sz w:val="20"/>
        </w:rPr>
        <w:t>palm_length_mm</w:t>
      </w:r>
      <w:r>
        <w:rPr/>
        <w:t xml:space="preserve">; </w:t>
      </w:r>
      <w:r>
        <w:rPr>
          <w:rFonts w:ascii="Consolas" w:hAnsi="Consolas"/>
          <w:sz w:val="20"/>
        </w:rPr>
        <w:t>palm.thickness_mm</w:t>
      </w:r>
      <w:r>
        <w:rPr/>
        <w:t xml:space="preserve"> a </w:t>
      </w:r>
      <w:r>
        <w:rPr>
          <w:rFonts w:ascii="Consolas" w:hAnsi="Consolas"/>
          <w:sz w:val="20"/>
        </w:rPr>
        <w:t>palm_thickness_mm</w:t>
      </w:r>
      <w:r>
        <w:rPr/>
        <w:t xml:space="preserve">; os comprimentos totais de </w:t>
      </w:r>
      <w:r>
        <w:rPr>
          <w:rFonts w:ascii="Consolas" w:hAnsi="Consolas"/>
          <w:sz w:val="20"/>
        </w:rPr>
        <w:t>digits.index</w:t>
      </w:r>
      <w:r>
        <w:rPr/>
        <w:t xml:space="preserve">, </w:t>
      </w:r>
      <w:r>
        <w:rPr>
          <w:rFonts w:ascii="Consolas" w:hAnsi="Consolas"/>
          <w:sz w:val="20"/>
        </w:rPr>
        <w:t>middle</w:t>
      </w:r>
      <w:r>
        <w:rPr/>
        <w:t xml:space="preserve">, </w:t>
      </w:r>
      <w:r>
        <w:rPr>
          <w:rFonts w:ascii="Consolas" w:hAnsi="Consolas"/>
          <w:sz w:val="20"/>
        </w:rPr>
        <w:t>ring</w:t>
      </w:r>
      <w:r>
        <w:rPr/>
        <w:t xml:space="preserve">, </w:t>
      </w:r>
      <w:r>
        <w:rPr>
          <w:rFonts w:ascii="Consolas" w:hAnsi="Consolas"/>
          <w:sz w:val="20"/>
        </w:rPr>
        <w:t>pinky</w:t>
      </w:r>
      <w:r>
        <w:rPr/>
        <w:t xml:space="preserve"> e </w:t>
      </w:r>
      <w:r>
        <w:rPr>
          <w:rFonts w:ascii="Consolas" w:hAnsi="Consolas"/>
          <w:sz w:val="20"/>
        </w:rPr>
        <w:t>thumb</w:t>
      </w:r>
      <w:r>
        <w:rPr/>
        <w:t xml:space="preserve"> aos cinco parâmetros </w:t>
      </w:r>
      <w:r>
        <w:rPr>
          <w:rFonts w:ascii="Consolas" w:hAnsi="Consolas"/>
          <w:sz w:val="20"/>
        </w:rPr>
        <w:t>*_finger_length_mm</w:t>
      </w:r>
      <w:r>
        <w:rPr/>
        <w:t xml:space="preserve">; os comprimentos proximais dos mesmos dedos aos parâmetros </w:t>
      </w:r>
      <w:r>
        <w:rPr>
          <w:rFonts w:ascii="Consolas" w:hAnsi="Consolas"/>
          <w:sz w:val="20"/>
        </w:rPr>
        <w:t>*_base_length_mm</w:t>
      </w:r>
      <w:r>
        <w:rPr/>
        <w:t xml:space="preserve">; e </w:t>
      </w:r>
      <w:r>
        <w:rPr>
          <w:rFonts w:ascii="Consolas" w:hAnsi="Consolas"/>
          <w:sz w:val="20"/>
        </w:rPr>
        <w:t>wrist.circumference_mm</w:t>
      </w:r>
      <w:r>
        <w:rPr/>
        <w:t xml:space="preserve"> a </w:t>
      </w:r>
      <w:r>
        <w:rPr>
          <w:rFonts w:ascii="Consolas" w:hAnsi="Consolas"/>
          <w:sz w:val="20"/>
        </w:rPr>
        <w:t>wrist_circumference_mm</w:t>
      </w:r>
      <w:r>
        <w:rPr/>
        <w:t>. Um valor só é aplicado quando o parâmetro existe no modelo activo,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activo e a geometria gerada após confirmação humana. O percurso pode, assim, ser reconstruído desde a fonte e a página registadas no CSV até ao caminho antropométrico, ao nome do parâmetro e ao limite aplicado pelo modelo.</w:t>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 xml:space="preserve">Na inspecção final da base local da aplicação, a tabela antropométrica continha 100 perfis agregados: 97 com origem </w:t>
      </w:r>
      <w:r>
        <w:rPr>
          <w:rFonts w:ascii="Consolas" w:hAnsi="Consolas"/>
          <w:sz w:val="20"/>
        </w:rPr>
        <w:t>csv_bulk</w:t>
      </w:r>
      <w:r>
        <w:rPr/>
        <w:t xml:space="preserve">, dois com origem </w:t>
      </w:r>
      <w:r>
        <w:rPr>
          <w:rFonts w:ascii="Consolas" w:hAnsi="Consolas"/>
          <w:sz w:val="20"/>
        </w:rPr>
        <w:t>csv</w:t>
      </w:r>
      <w:r>
        <w:rPr/>
        <w:t xml:space="preserve"> e um criado manualmente. Este total representa perfis processados pela aplicação e não linhas dos três CSV; cada perfil pode reunir várias estatísticas e medidas da mesma população.</w:t>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actual.</w:t>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xml:space="preserve">- Ásia Oriental — China tem uma única fonte (n=108, apenas idosos de Pequim). Japão e Coreia do Sul estão completamente ausentes, apesar de serem países com literatura ergonómica activa. O conjunto ANSUR é amplamente usado como </w:t>
      </w:r>
      <w:r>
        <w:rPr>
          <w:i/>
          <w:iCs/>
        </w:rPr>
        <w:t>proxy</w:t>
      </w:r>
      <w:r>
        <w:rPr/>
        <w:t xml:space="preserve"> para populações ocidentais, mas os valores diferem sistematicamente das populações do leste asiático (mãos tendencialmente mais pequenas nos estudos disponíveis).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Heading3"/>
        <w:numPr>
          <w:ilvl w:val="0"/>
          <w:numId w:val="0"/>
        </w:numPr>
        <w:ind w:hanging="0" w:start="0"/>
        <w:rPr/>
      </w:pPr>
      <w:r>
        <w:rPr/>
        <w:t>A.10.3 Frentes identificadas para expansão futura</w:t>
      </w:r>
    </w:p>
    <w:p>
      <w:pPr>
        <w:pStyle w:val="Bibliography"/>
        <w:jc w:val="start"/>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profundidades articulares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Heading4"/>
        <w:numPr>
          <w:ilvl w:val="0"/>
          <w:numId w:val="0"/>
        </w:numPr>
        <w:ind w:hanging="0" w:start="0"/>
        <w:rPr/>
      </w:pPr>
      <w:r>
        <w:rPr/>
        <w:t>A.10.3.3 Pertinência directa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134</w:t>
      </w:r>
    </w:p>
    <w:p>
      <w:pPr>
        <w:pStyle w:val="ndicedoAnexo2"/>
        <w:rPr/>
      </w:pPr>
      <w:r>
        <w:rPr/>
        <w:t>B.2 Âmbito e limites</w:t>
        <w:tab/>
        <w:t>134</w:t>
      </w:r>
    </w:p>
    <w:p>
      <w:pPr>
        <w:pStyle w:val="ndicedoAnexo2"/>
        <w:rPr/>
      </w:pPr>
      <w:r>
        <w:rPr/>
        <w:t>B.3 Procedimento</w:t>
        <w:tab/>
        <w:t>134</w:t>
      </w:r>
    </w:p>
    <w:p>
      <w:pPr>
        <w:pStyle w:val="ndicedoAnexo2"/>
        <w:rPr/>
      </w:pPr>
      <w:r>
        <w:rPr/>
        <w:t>B.4 Resultados de consistência da geração</w:t>
        <w:tab/>
        <w:t>134</w:t>
      </w:r>
    </w:p>
    <w:p>
      <w:pPr>
        <w:pStyle w:val="ndicedoAnexo3"/>
        <w:tabs>
          <w:tab w:val="clear" w:pos="708"/>
          <w:tab w:val="right" w:pos="8204" w:leader="dot"/>
        </w:tabs>
        <w:rPr/>
      </w:pPr>
      <w:r>
        <w:rPr/>
        <w:t>B.4.1 Repetição da mesma configuração</w:t>
        <w:tab/>
        <w:t>134</w:t>
      </w:r>
    </w:p>
    <w:p>
      <w:pPr>
        <w:pStyle w:val="ndicedoAnexo3"/>
        <w:tabs>
          <w:tab w:val="clear" w:pos="708"/>
          <w:tab w:val="right" w:pos="8204" w:leader="dot"/>
        </w:tabs>
        <w:rPr/>
      </w:pPr>
      <w:r>
        <w:rPr/>
        <w:t>B.4.2 Comparação entre navegadores</w:t>
        <w:tab/>
        <w:t>134</w:t>
      </w:r>
    </w:p>
    <w:p>
      <w:pPr>
        <w:pStyle w:val="ndicedoAnexo2"/>
        <w:rPr/>
      </w:pPr>
      <w:r>
        <w:rPr/>
        <w:t>B.5 Resultados de recuperação e controlo</w:t>
        <w:tab/>
        <w:t>134</w:t>
      </w:r>
    </w:p>
    <w:p>
      <w:pPr>
        <w:pStyle w:val="ndicedoAnexo2"/>
        <w:rPr/>
      </w:pPr>
      <w:r>
        <w:rPr/>
        <w:t>B.6 Resultados da verificação automática de acessibilidade digital</w:t>
        <w:tab/>
        <w:t>134</w:t>
      </w:r>
    </w:p>
    <w:p>
      <w:pPr>
        <w:pStyle w:val="ndicedoAnexo3"/>
        <w:tabs>
          <w:tab w:val="clear" w:pos="708"/>
          <w:tab w:val="right" w:pos="8204" w:leader="dot"/>
        </w:tabs>
        <w:rPr/>
      </w:pPr>
      <w:r>
        <w:rPr/>
        <w:t>B.6.1 Percurso local autenticado</w:t>
        <w:tab/>
        <w:t>134</w:t>
      </w:r>
    </w:p>
    <w:p>
      <w:pPr>
        <w:pStyle w:val="ndicedoAnexo3"/>
        <w:tabs>
          <w:tab w:val="clear" w:pos="708"/>
          <w:tab w:val="right" w:pos="8204" w:leader="dot"/>
        </w:tabs>
        <w:rPr/>
      </w:pPr>
      <w:r>
        <w:rPr/>
        <w:t>B.6.2 Superfície pública</w:t>
        <w:tab/>
        <w:t>134</w:t>
      </w:r>
    </w:p>
    <w:p>
      <w:pPr>
        <w:pStyle w:val="ndicedoAnexo3"/>
        <w:tabs>
          <w:tab w:val="clear" w:pos="708"/>
          <w:tab w:val="right" w:pos="8204" w:leader="dot"/>
        </w:tabs>
        <w:rPr/>
      </w:pPr>
      <w:r>
        <w:rPr/>
        <w:t>B.6.3 Verificação manual pendente</w:t>
        <w:tab/>
        <w:t>134</w:t>
      </w:r>
    </w:p>
    <w:p>
      <w:pPr>
        <w:pStyle w:val="ndicedoAnexo2"/>
        <w:rPr/>
      </w:pPr>
      <w:r>
        <w:rPr/>
        <w:t>B.7 Aprendizagens para o Design Industrial</w:t>
        <w:tab/>
        <w:t>134</w:t>
      </w:r>
    </w:p>
    <w:p>
      <w:pPr>
        <w:pStyle w:val="ndicedoAnexo2"/>
        <w:rPr/>
      </w:pPr>
      <w:r>
        <w:rPr/>
        <w:t>B.8 Conclusão</w:t>
        <w:tab/>
        <w:t>134</w:t>
      </w:r>
    </w:p>
    <w:p>
      <w:pPr>
        <w:pStyle w:val="ndicedoAnexo2"/>
        <w:rPr/>
      </w:pPr>
      <w:r>
        <w:rPr/>
        <w:t>B.9 Ficha técnica e proveniência das evidências</w:t>
        <w:tab/>
        <w:t>134</w:t>
      </w:r>
    </w:p>
    <w:p>
      <w:pPr>
        <w:pStyle w:val="ndicedoAnexo2"/>
        <w:rPr/>
      </w:pPr>
      <w:r>
        <w:rPr/>
        <w:t>B.10 Referências normativas</w:t>
        <w:tab/>
        <w:t>134</w:t>
      </w:r>
    </w:p>
    <w:p>
      <w:pPr>
        <w:pStyle w:val="ndicedoAnexo2"/>
        <w:rPr/>
      </w:pPr>
      <w:r>
        <w:rPr/>
        <w:t>Tabela B.1 — Resultados da repetição da mesma configuração por modelo</w:t>
        <w:tab/>
        <w:t>134</w:t>
      </w:r>
    </w:p>
    <w:p>
      <w:pPr>
        <w:pStyle w:val="ndicedoAnexo2"/>
        <w:rPr/>
      </w:pPr>
      <w:r>
        <w:rPr/>
        <w:t>Tabela B.2 — Resultados do percurso examinado em três navegadores</w:t>
        <w:tab/>
        <w:t>134</w:t>
      </w:r>
    </w:p>
    <w:p>
      <w:pPr>
        <w:pStyle w:val="ndicedoAnexo2"/>
        <w:rPr/>
      </w:pPr>
      <w:r>
        <w:rPr/>
        <w:t>Tabela B.3 — Comportamento observado perante limites, entradas inválidas e falhas previstas</w:t>
        <w:tab/>
        <w:t>134</w:t>
      </w:r>
    </w:p>
    <w:p>
      <w:pPr>
        <w:pStyle w:val="ndicedoAnexo2"/>
        <w:rPr/>
      </w:pPr>
      <w:r>
        <w:rPr/>
        <w:t>Tabela B.4 — Categorias de problemas de acessibilidade digital detectadas automaticamente</w:t>
        <w:tab/>
        <w:t>134</w:t>
      </w:r>
    </w:p>
    <w:p>
      <w:pPr>
        <w:pStyle w:val="ndicedoAnexo2"/>
        <w:rPr/>
      </w:pPr>
      <w:r>
        <w:rPr/>
        <w:t>Tabela B.5 — Identificação das séries complementares de avaliação da plataforma</w:t>
        <w:tab/>
        <w:t>134</w:t>
      </w:r>
      <w:r>
        <w:br w:type="page"/>
      </w:r>
    </w:p>
    <w:p>
      <w:pPr>
        <w:pStyle w:val="TextoNormal-IPCA"/>
        <w:spacing w:before="0" w:after="0"/>
        <w:rPr/>
      </w:pPr>
      <w:r>
        <w:rPr>
          <w:b/>
        </w:rPr>
        <w:t>Data das séries de ensaios: 13 e 14 de Julho de 2026</w:t>
      </w:r>
    </w:p>
    <w:p>
      <w:pPr>
        <w:pStyle w:val="TextoNormal-IPCA"/>
        <w:rPr/>
      </w:pPr>
      <w:r>
        <w:rPr>
          <w:b/>
        </w:rPr>
        <w:t>Estado avaliado: HandFab durante a série complementar</w:t>
      </w:r>
    </w:p>
    <w:p>
      <w:pPr>
        <w:pStyle w:val="TextoNormal-IPCA"/>
        <w:rPr/>
      </w:pPr>
      <w:r>
        <w:rPr>
          <w:b/>
        </w:rPr>
        <w:t>Plataforma pública:</w:t>
      </w:r>
      <w:r>
        <w:rPr/>
        <w:t xml:space="preserve"> &lt;https://handfab.pedrocandeias.net/&gt;</w:t>
      </w:r>
    </w:p>
    <w:p>
      <w:pPr>
        <w:pStyle w:val="TextoNormal-IPCA"/>
        <w:rPr/>
      </w:pPr>
      <w:r>
        <w:rPr>
          <w:b/>
        </w:rPr>
        <w:t>Estado da avaliação:</w:t>
      </w:r>
      <w:r>
        <w:rPr/>
        <w:t xml:space="preserve"> executada, com resultados parciais e verificações manuais ainda por realizar</w:t>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actividade de projecto, se preserva o trabalho realizado quando surgem entradas ou falhas problemáticas e se a interface apresenta problemas detectáveis por regras automáticas de acessibilidade digital.</w:t>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 xml:space="preserve">3. </w:t>
      </w:r>
      <w:r>
        <w:rPr>
          <w:b/>
        </w:rPr>
        <w:t>verificação automática de regras seleccionadas de acessibilidade digital</w:t>
      </w:r>
      <w:r>
        <w:rPr/>
        <w:t>, entendida como a identificação de barreiras detectáveis nos estados examinados, sem a confundir com usabilidade, acessibilidade percebida por participantes ou conformidade global com as WCAG.</w:t>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t xml:space="preserve">Por conseguinte, este anexo não avalia conforto, ajuste anatómico individual, eficácia protésica, segurança, durabilidade, aprendizagem, satisfação ou uso quotidiano. Também não constitui declaração de conformidade com as </w:t>
      </w:r>
      <w:r>
        <w:rPr>
          <w:i/>
          <w:iCs/>
        </w:rPr>
        <w:t>Web Content Accessibility Guidelines</w:t>
      </w:r>
      <w:r>
        <w:rPr/>
        <w:t xml:space="preserve"> (WCAG) 2.2.</w:t>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rPr/>
      </w:pPr>
      <w:r>
        <w:rPr/>
        <w:t>Os cenários de controlo abrangeram valores nos limites, abaixo deles e acima deles; campos obrigatórios ausentes; texto num campo numérico; contradição entre idade e descrição; país sem correspondência directa na base; e perfil inferior ao limite de um modelo. Abrangeram também indisponibilidade da sugestão de IA, resposta inválida, falha de geração e tentativa de exportação sem geometria.</w:t>
      </w:r>
    </w:p>
    <w:p>
      <w:pPr>
        <w:pStyle w:val="TextoNormal-IPCA"/>
        <w:rPr/>
      </w:pPr>
      <w:r>
        <w:rP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rPr/>
        <w:t xml:space="preserve"> 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de projecto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Heading2"/>
        <w:numPr>
          <w:ilvl w:val="0"/>
          <w:numId w:val="0"/>
        </w:numPr>
        <w:ind w:hanging="0" w:start="0"/>
        <w:rPr/>
      </w:pPr>
      <w:r>
        <w:rPr/>
        <w:t>B.6 Resultados da verificação automática de acessibilidade digital</w:t>
      </w:r>
    </w:p>
    <w:p>
      <w:pPr>
        <w:pStyle w:val="Heading3"/>
        <w:numPr>
          <w:ilvl w:val="0"/>
          <w:numId w:val="0"/>
        </w:numPr>
        <w:ind w:hanging="0" w:start="0"/>
        <w:rPr/>
      </w:pPr>
      <w:r>
        <w:rPr/>
        <w:t>B.6.1 Percurso local autenticado</w:t>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Estados afectados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Pode originar foco e activação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 de selecção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Heading3"/>
        <w:numPr>
          <w:ilvl w:val="0"/>
          <w:numId w:val="0"/>
        </w:numPr>
        <w:ind w:hanging="0" w:start="0"/>
        <w:rPr/>
      </w:pPr>
      <w:r>
        <w:rPr/>
        <w:t>B.6.2 Superfície pública</w:t>
      </w:r>
    </w:p>
    <w:p>
      <w:pPr>
        <w:pStyle w:val="TextoNormal-IPCA"/>
        <w:rPr/>
      </w:pPr>
      <w:r>
        <w:rP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Heading3"/>
        <w:numPr>
          <w:ilvl w:val="0"/>
          <w:numId w:val="0"/>
        </w:numPr>
        <w:ind w:hanging="0" w:start="0"/>
        <w:rPr/>
      </w:pPr>
      <w:r>
        <w:rPr/>
        <w:t>B.6.3 Verificação manual pendente</w:t>
      </w:r>
    </w:p>
    <w:p>
      <w:pPr>
        <w:pStyle w:val="TextoNormal-IPCA"/>
        <w:rPr/>
      </w:pPr>
      <w:r>
        <w:rP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Heading2"/>
        <w:numPr>
          <w:ilvl w:val="0"/>
          <w:numId w:val="0"/>
        </w:numPr>
        <w:ind w:hanging="0" w:start="0"/>
        <w:rPr/>
      </w:pPr>
      <w:r>
        <w:rPr/>
        <w:t xml:space="preserve">B.7 Aprendizagens para o </w:t>
      </w:r>
      <w:r>
        <w:rPr>
          <w:i/>
          <w:iCs/>
        </w:rPr>
        <w:t>Design</w:t>
      </w:r>
      <w:r>
        <w:rPr/>
        <w:t xml:space="preserve"> Industrial</w:t>
      </w:r>
    </w:p>
    <w:p>
      <w:pPr>
        <w:pStyle w:val="TextoNormal-IPCA"/>
        <w:rPr/>
      </w:pPr>
      <w:r>
        <w:rPr/>
        <w:t xml:space="preserve">1. </w:t>
      </w:r>
      <w:r>
        <w:rPr>
          <w:b/>
        </w:rPr>
        <w:t>A consistência deve ser demonstrada na cadeia completa.</w:t>
      </w:r>
      <w:r>
        <w:rPr/>
        <w:t xml:space="preserve"> A igualdade entre ficheiros concluídos é útil, mas deve ser acompanhada pela taxa de conclusão e pela qualidade da geometria produzida.</w:t>
      </w:r>
    </w:p>
    <w:p>
      <w:pPr>
        <w:pStyle w:val="TextoNormal-IPCA"/>
        <w:rPr/>
      </w:pPr>
      <w:r>
        <w:rPr/>
        <w:t xml:space="preserve">2. </w:t>
      </w:r>
      <w:r>
        <w:rPr>
          <w:b/>
        </w:rPr>
        <w:t>Os limites devem ser visíveis e actuar em todas as etapas.</w:t>
      </w:r>
      <w:r>
        <w:rPr/>
        <w:t xml:space="preserve"> Não basta limitar um cursor se o valor puder ser aceite ou aplicado por outro percurso.</w:t>
      </w:r>
    </w:p>
    <w:p>
      <w:pPr>
        <w:pStyle w:val="TextoNormal-IPCA"/>
        <w:rPr/>
      </w:pPr>
      <w:r>
        <w:rPr/>
        <w:t xml:space="preserve">3. </w:t>
      </w:r>
      <w:r>
        <w:rPr>
          <w:b/>
        </w:rPr>
        <w:t>A recuperação protege a continuidade do trabalho de projecto.</w:t>
      </w:r>
      <w:r>
        <w:rPr/>
        <w:t xml:space="preserve"> Preservar a última configuração válida, explicar a falha e permitir nova tentativa reduz a perda de trabalho durante a exploração de alternativas.</w:t>
      </w:r>
    </w:p>
    <w:p>
      <w:pPr>
        <w:pStyle w:val="TextoNormal-IPCA"/>
        <w:rPr/>
      </w:pPr>
      <w:r>
        <w:rPr/>
        <w:t xml:space="preserve">4. </w:t>
      </w:r>
      <w:r>
        <w:rPr>
          <w:b/>
        </w:rPr>
        <w:t>A acessibilidade é uma qualidade concreta da interface.</w:t>
      </w:r>
      <w:r>
        <w:rPr/>
        <w:t xml:space="preserve"> Contraste, rótulos, foco, nomes acessíveis e alternativas à visualização tridimensional devem ser tratados como requisitos verificáveis.</w:t>
      </w:r>
    </w:p>
    <w:p>
      <w:pPr>
        <w:pStyle w:val="TextoNormal-IPCA"/>
        <w:rPr/>
      </w:pPr>
      <w:r>
        <w:rPr/>
        <w:t xml:space="preserve">5. </w:t>
      </w:r>
      <w:r>
        <w:rPr>
          <w:b/>
        </w:rPr>
        <w:t>A compatibilidade não deve ser presumida.</w:t>
      </w:r>
      <w:r>
        <w:rPr/>
        <w:t xml:space="preserve"> A conclusão em dois navegadores não permite generalizar para todos os ambientes; o percurso incompleto em WebKit deve permanecer como questão aberta.</w:t>
      </w:r>
    </w:p>
    <w:p>
      <w:pPr>
        <w:pStyle w:val="TextoNormal-IPCA"/>
        <w:rPr/>
      </w:pPr>
      <w:r>
        <w:rPr/>
        <w:t xml:space="preserve">6. </w:t>
      </w:r>
      <w:r>
        <w:rPr>
          <w:b/>
        </w:rPr>
        <w:t>A IA necessita de limites anteriores à aplicação.</w:t>
      </w:r>
      <w:r>
        <w:rPr/>
        <w:t xml:space="preserve"> As sugestões podem apoiar a exploração inicial, mas a geometria só deve receber valores já verificados pelas regras determinísticas do modelo.</w:t>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rPr/>
      </w:pPr>
      <w:r>
        <w:rP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rPr/>
        <w:t>.</w:t>
      </w:r>
    </w:p>
    <w:p>
      <w:pPr>
        <w:pStyle w:val="Heading2"/>
        <w:numPr>
          <w:ilvl w:val="0"/>
          <w:numId w:val="0"/>
        </w:numPr>
        <w:ind w:hanging="0" w:start="0"/>
        <w:rPr/>
      </w:pPr>
      <w:r>
        <w:rPr/>
        <w:t>B.9 Ficha técnica e proveniência das evidências</w:t>
      </w:r>
    </w:p>
    <w:p>
      <w:pPr>
        <w:pStyle w:val="TextoNormal-IPCA"/>
        <w:rPr/>
      </w:pPr>
      <w:r>
        <w:rPr/>
        <w:t>Esta secção conserva apenas a informação necessária para identificar as séries de ensaios. Os pormenores de implementação dos testes não integram o argumento principal da dissertação.</w:t>
      </w:r>
    </w:p>
    <w:p>
      <w:pPr>
        <w:pStyle w:val="Caption"/>
        <w:rPr/>
      </w:pPr>
      <w:r>
        <w:rPr/>
        <w:t>Tabela B.5 — Identificação das séries complementares de avaliação da plataforma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Série de ensaios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Ambiente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Instrumentos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principal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2026-07-13_23-22-21_repetition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 análise de STL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modelo, ficheiros exportados e comparação entre navegadores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2026-07-14_00-02-40_robustness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nominais, limites, entradas inválidas e recuperação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2026-07-14_00-03-19_a11y-local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local autenticado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estado e lista de verificação manual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2026-07-14_00-06-48_a11y-public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Página pública não autenticada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automático da página de entrada</w:t>
            </w:r>
          </w:p>
        </w:tc>
      </w:tr>
    </w:tbl>
    <w:p>
      <w:pPr>
        <w:pStyle w:val="TextoNormal-IPCA"/>
        <w:rPr/>
      </w:pPr>
      <w:r>
        <w:rPr/>
        <w:t>As séries de ensaios correspondem ao estado da plataforma usado na avaliação complementar. O código de ensaio, os resultados estruturados e os registos necessários à interpretação das execuções foram conservados em conjunto no material suplementar.</w:t>
      </w:r>
    </w:p>
    <w:p>
      <w:pPr>
        <w:pStyle w:val="TextoNormal-IPCA"/>
        <w:rPr/>
      </w:pPr>
      <w:r>
        <w:rPr/>
        <w:t>Os resultados estruturados e as saídas brutas de maior dimensão integram o material suplementar associado ao Anexo B, organizados pelos identificadores técnicos originais de cada série.</w:t>
      </w:r>
    </w:p>
    <w:p>
      <w:pPr>
        <w:pStyle w:val="Heading2"/>
        <w:numPr>
          <w:ilvl w:val="0"/>
          <w:numId w:val="0"/>
        </w:numPr>
        <w:ind w:hanging="0" w:start="0"/>
        <w:rPr/>
      </w:pPr>
      <w:r>
        <w:rPr/>
        <w:t>B.10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140</w:t>
      </w:r>
    </w:p>
    <w:p>
      <w:pPr>
        <w:pStyle w:val="ndicedoAnexo2"/>
        <w:rPr/>
      </w:pPr>
      <w:r>
        <w:rPr/>
        <w:t>C.2 Princípio comum de adaptação</w:t>
        <w:tab/>
        <w:t>140</w:t>
      </w:r>
    </w:p>
    <w:p>
      <w:pPr>
        <w:pStyle w:val="ndicedoAnexo3"/>
        <w:tabs>
          <w:tab w:val="clear" w:pos="708"/>
          <w:tab w:val="right" w:pos="8204" w:leader="dot"/>
        </w:tabs>
        <w:rPr/>
      </w:pPr>
      <w:r>
        <w:rPr/>
        <w:t>C.2.1 Campos antropométricos comuns</w:t>
        <w:tab/>
        <w:t>140</w:t>
      </w:r>
    </w:p>
    <w:p>
      <w:pPr>
        <w:pStyle w:val="ndicedoAnexo3"/>
        <w:tabs>
          <w:tab w:val="clear" w:pos="708"/>
          <w:tab w:val="right" w:pos="8204" w:leader="dot"/>
        </w:tabs>
        <w:rPr/>
      </w:pPr>
      <w:r>
        <w:rPr/>
        <w:t>C.2.2 Tipos de parâmetros</w:t>
        <w:tab/>
        <w:t>140</w:t>
      </w:r>
    </w:p>
    <w:p>
      <w:pPr>
        <w:pStyle w:val="ndicedoAnexo3"/>
        <w:tabs>
          <w:tab w:val="clear" w:pos="708"/>
          <w:tab w:val="right" w:pos="8204" w:leader="dot"/>
        </w:tabs>
        <w:rPr/>
      </w:pPr>
      <w:r>
        <w:rPr/>
        <w:t>C.2.3 Coerência dos controlos no estado final examinado</w:t>
        <w:tab/>
        <w:t>140</w:t>
      </w:r>
    </w:p>
    <w:p>
      <w:pPr>
        <w:pStyle w:val="ndicedoAnexo2"/>
        <w:rPr/>
      </w:pPr>
      <w:r>
        <w:rPr/>
        <w:t>C.3 Flexy Beast</w:t>
        <w:tab/>
        <w:t>140</w:t>
      </w:r>
    </w:p>
    <w:p>
      <w:pPr>
        <w:pStyle w:val="ndicedoAnexo3"/>
        <w:tabs>
          <w:tab w:val="clear" w:pos="708"/>
          <w:tab w:val="right" w:pos="8204" w:leader="dot"/>
        </w:tabs>
        <w:rPr/>
      </w:pPr>
      <w:r>
        <w:rPr/>
        <w:t>C.3.1 Origem e estratégia de adaptação</w:t>
        <w:tab/>
        <w:t>140</w:t>
      </w:r>
    </w:p>
    <w:p>
      <w:pPr>
        <w:pStyle w:val="ndicedoAnexo3"/>
        <w:tabs>
          <w:tab w:val="clear" w:pos="708"/>
          <w:tab w:val="right" w:pos="8204" w:leader="dot"/>
        </w:tabs>
        <w:rPr/>
      </w:pPr>
      <w:r>
        <w:rPr/>
        <w:t>C.3.2 Entradas, limites e relações</w:t>
        <w:tab/>
        <w:t>140</w:t>
      </w:r>
    </w:p>
    <w:p>
      <w:pPr>
        <w:pStyle w:val="ndicedoAnexo3"/>
        <w:tabs>
          <w:tab w:val="clear" w:pos="708"/>
          <w:tab w:val="right" w:pos="8204" w:leader="dot"/>
        </w:tabs>
        <w:rPr/>
      </w:pPr>
      <w:r>
        <w:rPr/>
        <w:t>C.3.3 Braçadeira e interfaces confirmáveis</w:t>
        <w:tab/>
        <w:t>140</w:t>
      </w:r>
    </w:p>
    <w:p>
      <w:pPr>
        <w:pStyle w:val="ndicedoAnexo3"/>
        <w:tabs>
          <w:tab w:val="clear" w:pos="708"/>
          <w:tab w:val="right" w:pos="8204" w:leader="dot"/>
        </w:tabs>
        <w:rPr/>
      </w:pPr>
      <w:r>
        <w:rPr/>
        <w:t>C.3.4 Exemplo de propagação já preservado</w:t>
        <w:tab/>
        <w:t>140</w:t>
      </w:r>
    </w:p>
    <w:p>
      <w:pPr>
        <w:pStyle w:val="ndicedoAnexo3"/>
        <w:tabs>
          <w:tab w:val="clear" w:pos="708"/>
          <w:tab w:val="right" w:pos="8204" w:leader="dot"/>
        </w:tabs>
        <w:rPr/>
      </w:pPr>
      <w:r>
        <w:rPr/>
        <w:t>C.3.5 Limitações específicas</w:t>
        <w:tab/>
        <w:t>140</w:t>
      </w:r>
    </w:p>
    <w:p>
      <w:pPr>
        <w:pStyle w:val="ndicedoAnexo2"/>
        <w:rPr/>
      </w:pPr>
      <w:r>
        <w:rPr/>
        <w:t>C.4 Cyborg Beast</w:t>
        <w:tab/>
        <w:t>140</w:t>
      </w:r>
    </w:p>
    <w:p>
      <w:pPr>
        <w:pStyle w:val="ndicedoAnexo3"/>
        <w:tabs>
          <w:tab w:val="clear" w:pos="708"/>
          <w:tab w:val="right" w:pos="8204" w:leader="dot"/>
        </w:tabs>
        <w:rPr/>
      </w:pPr>
      <w:r>
        <w:rPr/>
        <w:t>C.4.1 Origem e estratégia de adaptação</w:t>
        <w:tab/>
        <w:t>140</w:t>
      </w:r>
    </w:p>
    <w:p>
      <w:pPr>
        <w:pStyle w:val="ndicedoAnexo3"/>
        <w:tabs>
          <w:tab w:val="clear" w:pos="708"/>
          <w:tab w:val="right" w:pos="8204" w:leader="dot"/>
        </w:tabs>
        <w:rPr/>
      </w:pPr>
      <w:r>
        <w:rPr/>
        <w:t>C.4.2 Entradas e escala da mão</w:t>
        <w:tab/>
        <w:t>140</w:t>
      </w:r>
    </w:p>
    <w:p>
      <w:pPr>
        <w:pStyle w:val="ndicedoAnexo3"/>
        <w:tabs>
          <w:tab w:val="clear" w:pos="708"/>
          <w:tab w:val="right" w:pos="8204" w:leader="dot"/>
        </w:tabs>
        <w:rPr/>
      </w:pPr>
      <w:r>
        <w:rPr/>
        <w:t>C.4.3 Divisão proximal–distal</w:t>
        <w:tab/>
        <w:t>140</w:t>
      </w:r>
    </w:p>
    <w:p>
      <w:pPr>
        <w:pStyle w:val="ndicedoAnexo3"/>
        <w:tabs>
          <w:tab w:val="clear" w:pos="708"/>
          <w:tab w:val="right" w:pos="8204" w:leader="dot"/>
        </w:tabs>
        <w:rPr/>
      </w:pPr>
      <w:r>
        <w:rPr/>
        <w:t>C.4.4 Braçadeira, folgas e parâmetros fixos</w:t>
        <w:tab/>
        <w:t>140</w:t>
      </w:r>
    </w:p>
    <w:p>
      <w:pPr>
        <w:pStyle w:val="ndicedoAnexo3"/>
        <w:tabs>
          <w:tab w:val="clear" w:pos="708"/>
          <w:tab w:val="right" w:pos="8204" w:leader="dot"/>
        </w:tabs>
        <w:rPr/>
      </w:pPr>
      <w:r>
        <w:rPr/>
        <w:t>C.4.5 Exemplo de propagação</w:t>
        <w:tab/>
        <w:t>140</w:t>
      </w:r>
    </w:p>
    <w:p>
      <w:pPr>
        <w:pStyle w:val="ndicedoAnexo3"/>
        <w:tabs>
          <w:tab w:val="clear" w:pos="708"/>
          <w:tab w:val="right" w:pos="8204" w:leader="dot"/>
        </w:tabs>
        <w:rPr/>
      </w:pPr>
      <w:r>
        <w:rPr/>
        <w:t>C.4.6 Limitações específicas</w:t>
        <w:tab/>
        <w:t>140</w:t>
      </w:r>
    </w:p>
    <w:p>
      <w:pPr>
        <w:pStyle w:val="ndicedoAnexo2"/>
        <w:rPr/>
      </w:pPr>
      <w:r>
        <w:rPr/>
        <w:t>C.5 Paraglider Hand</w:t>
        <w:tab/>
        <w:t>140</w:t>
      </w:r>
    </w:p>
    <w:p>
      <w:pPr>
        <w:pStyle w:val="ndicedoAnexo3"/>
        <w:tabs>
          <w:tab w:val="clear" w:pos="708"/>
          <w:tab w:val="right" w:pos="8204" w:leader="dot"/>
        </w:tabs>
        <w:rPr/>
      </w:pPr>
      <w:r>
        <w:rPr/>
        <w:t>C.5.1 Origem e estratégia de adaptação</w:t>
        <w:tab/>
        <w:t>140</w:t>
      </w:r>
    </w:p>
    <w:p>
      <w:pPr>
        <w:pStyle w:val="ndicedoAnexo3"/>
        <w:tabs>
          <w:tab w:val="clear" w:pos="708"/>
          <w:tab w:val="right" w:pos="8204" w:leader="dot"/>
        </w:tabs>
        <w:rPr/>
      </w:pPr>
      <w:r>
        <w:rPr/>
        <w:t>C.5.2 Relações implementadas</w:t>
        <w:tab/>
        <w:t>140</w:t>
      </w:r>
    </w:p>
    <w:p>
      <w:pPr>
        <w:pStyle w:val="ndicedoAnexo3"/>
        <w:tabs>
          <w:tab w:val="clear" w:pos="708"/>
          <w:tab w:val="right" w:pos="8204" w:leader="dot"/>
        </w:tabs>
        <w:rPr/>
      </w:pPr>
      <w:r>
        <w:rPr/>
        <w:t>C.5.3 Hardware e limites confirmáveis</w:t>
        <w:tab/>
        <w:t>140</w:t>
      </w:r>
    </w:p>
    <w:p>
      <w:pPr>
        <w:pStyle w:val="ndicedoAnexo3"/>
        <w:tabs>
          <w:tab w:val="clear" w:pos="708"/>
          <w:tab w:val="right" w:pos="8204" w:leader="dot"/>
        </w:tabs>
        <w:rPr/>
      </w:pPr>
      <w:r>
        <w:rPr/>
        <w:t>C.5.4 Exemplo de propagação</w:t>
        <w:tab/>
        <w:t>140</w:t>
      </w:r>
    </w:p>
    <w:p>
      <w:pPr>
        <w:pStyle w:val="ndicedoAnexo3"/>
        <w:tabs>
          <w:tab w:val="clear" w:pos="708"/>
          <w:tab w:val="right" w:pos="8204" w:leader="dot"/>
        </w:tabs>
        <w:rPr/>
      </w:pPr>
      <w:r>
        <w:rPr/>
        <w:t>C.5.5 Limitações específicas</w:t>
        <w:tab/>
        <w:t>140</w:t>
      </w:r>
    </w:p>
    <w:p>
      <w:pPr>
        <w:pStyle w:val="ndicedoAnexo2"/>
        <w:rPr/>
      </w:pPr>
      <w:r>
        <w:rPr/>
        <w:t>C.6 UnLimbited Phoenix Hand</w:t>
        <w:tab/>
        <w:t>140</w:t>
      </w:r>
    </w:p>
    <w:p>
      <w:pPr>
        <w:pStyle w:val="ndicedoAnexo3"/>
        <w:tabs>
          <w:tab w:val="clear" w:pos="708"/>
          <w:tab w:val="right" w:pos="8204" w:leader="dot"/>
        </w:tabs>
        <w:rPr/>
      </w:pPr>
      <w:r>
        <w:rPr/>
        <w:t>C.6.1 Origem e estratégia de adaptação</w:t>
        <w:tab/>
        <w:t>140</w:t>
      </w:r>
    </w:p>
    <w:p>
      <w:pPr>
        <w:pStyle w:val="ndicedoAnexo3"/>
        <w:tabs>
          <w:tab w:val="clear" w:pos="708"/>
          <w:tab w:val="right" w:pos="8204" w:leader="dot"/>
        </w:tabs>
        <w:rPr/>
      </w:pPr>
      <w:r>
        <w:rPr/>
        <w:t>C.6.2 Escala global e limite dimensional mínimo</w:t>
        <w:tab/>
        <w:t>140</w:t>
      </w:r>
    </w:p>
    <w:p>
      <w:pPr>
        <w:pStyle w:val="ndicedoAnexo3"/>
        <w:tabs>
          <w:tab w:val="clear" w:pos="708"/>
          <w:tab w:val="right" w:pos="8204" w:leader="dot"/>
        </w:tabs>
        <w:rPr/>
      </w:pPr>
      <w:r>
        <w:rPr/>
        <w:t>C.6.3 Comprimentos digitais e preservação dos furos</w:t>
        <w:tab/>
        <w:t>140</w:t>
      </w:r>
    </w:p>
    <w:p>
      <w:pPr>
        <w:pStyle w:val="ndicedoAnexo3"/>
        <w:tabs>
          <w:tab w:val="clear" w:pos="708"/>
          <w:tab w:val="right" w:pos="8204" w:leader="dot"/>
        </w:tabs>
        <w:rPr/>
      </w:pPr>
      <w:r>
        <w:rPr/>
        <w:t>C.6.4 Dependência entre comprimento digital e escala global</w:t>
        <w:tab/>
        <w:t>140</w:t>
      </w:r>
    </w:p>
    <w:p>
      <w:pPr>
        <w:pStyle w:val="ndicedoAnexo3"/>
        <w:tabs>
          <w:tab w:val="clear" w:pos="708"/>
          <w:tab w:val="right" w:pos="8204" w:leader="dot"/>
        </w:tabs>
        <w:rPr/>
      </w:pPr>
      <w:r>
        <w:rPr/>
        <w:t>C.6.5 Exemplo de propagação</w:t>
        <w:tab/>
        <w:t>140</w:t>
      </w:r>
    </w:p>
    <w:p>
      <w:pPr>
        <w:pStyle w:val="ndicedoAnexo3"/>
        <w:tabs>
          <w:tab w:val="clear" w:pos="708"/>
          <w:tab w:val="right" w:pos="8204" w:leader="dot"/>
        </w:tabs>
        <w:rPr/>
      </w:pPr>
      <w:r>
        <w:rPr/>
        <w:t>C.6.6 Componentes fixos e tolerâncias confirmáveis</w:t>
        <w:tab/>
        <w:t>140</w:t>
      </w:r>
    </w:p>
    <w:p>
      <w:pPr>
        <w:pStyle w:val="ndicedoAnexo3"/>
        <w:tabs>
          <w:tab w:val="clear" w:pos="708"/>
          <w:tab w:val="right" w:pos="8204" w:leader="dot"/>
        </w:tabs>
        <w:rPr/>
      </w:pPr>
      <w:r>
        <w:rPr/>
        <w:t>C.6.7 Limitações específicas</w:t>
        <w:tab/>
        <w:t>140</w:t>
      </w:r>
    </w:p>
    <w:p>
      <w:pPr>
        <w:pStyle w:val="ndicedoAnexo2"/>
        <w:rPr/>
      </w:pPr>
      <w:r>
        <w:rPr/>
        <w:t>C.7 Síntese comparativa das estratégias</w:t>
        <w:tab/>
        <w:t>140</w:t>
      </w:r>
    </w:p>
    <w:p>
      <w:pPr>
        <w:pStyle w:val="ndicedoAnexo2"/>
        <w:rPr/>
      </w:pPr>
      <w:r>
        <w:rPr/>
        <w:t>C.8 Critérios de aceitação, limitação e rejeição</w:t>
        <w:tab/>
        <w:t>140</w:t>
      </w:r>
    </w:p>
    <w:p>
      <w:pPr>
        <w:pStyle w:val="ndicedoAnexo2"/>
        <w:rPr/>
      </w:pPr>
      <w:r>
        <w:rPr/>
        <w:t>C.9 Relação com o suplemento dos ensaios principais</w:t>
        <w:tab/>
        <w:t>140</w:t>
      </w:r>
    </w:p>
    <w:p>
      <w:pPr>
        <w:pStyle w:val="ndicedoAnexo2"/>
        <w:rPr/>
      </w:pPr>
      <w:r>
        <w:rPr/>
        <w:t>C.10 Limite de interpretação</w:t>
        <w:tab/>
        <w:t>140</w:t>
      </w:r>
    </w:p>
    <w:p>
      <w:pPr>
        <w:pStyle w:val="ndicedoAnexo2"/>
        <w:rPr/>
      </w:pPr>
      <w:r>
        <w:rPr/>
        <w:t>C.11 Fontes técnicas consultadas</w:t>
        <w:tab/>
        <w:t>140</w:t>
      </w:r>
    </w:p>
    <w:p>
      <w:pPr>
        <w:pStyle w:val="ndicedoAnexo2"/>
        <w:rPr/>
      </w:pPr>
      <w:r>
        <w:rPr/>
        <w:t>C.12 Verificações executadas</w:t>
        <w:tab/>
        <w:t>140</w:t>
      </w:r>
    </w:p>
    <w:p>
      <w:pPr>
        <w:pStyle w:val="ndicedoAnexo2"/>
        <w:rPr/>
      </w:pPr>
      <w:r>
        <w:rPr/>
        <w:t>Tabela C.1 — Correspondência entre medidas normalizadas e parâmetros dos modelos</w:t>
        <w:tab/>
        <w:t>140</w:t>
      </w:r>
    </w:p>
    <w:p>
      <w:pPr>
        <w:pStyle w:val="ndicedoAnexo2"/>
        <w:rPr/>
      </w:pPr>
      <w:r>
        <w:rPr/>
        <w:t>Tabela C.2 — Parâmetros numéricos do Flexy Beast com efeito dimensional</w:t>
        <w:tab/>
        <w:t>141</w:t>
      </w:r>
    </w:p>
    <w:p>
      <w:pPr>
        <w:pStyle w:val="ndicedoAnexo2"/>
        <w:rPr/>
      </w:pPr>
      <w:r>
        <w:rPr/>
        <w:t>Tabela C.3 — Relações dimensionais do Paraglider Hand</w:t>
        <w:tab/>
        <w:t>141</w:t>
      </w:r>
    </w:p>
    <w:p>
      <w:pPr>
        <w:pStyle w:val="ndicedoAnexo2"/>
        <w:rPr/>
      </w:pPr>
      <w:r>
        <w:rPr/>
        <w:t>Tabela C.4 — Comparação das adaptações e excepções de escala</w:t>
        <w:tab/>
        <w:t>141</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rPr/>
      </w:pPr>
      <w:r>
        <w:rPr/>
        <w:t>O estado final examinado corresponde a 14 de Julho de 2026. Uma revisão imediatamente anterior integrou a braçadeira revista do Flexy Beast e alterou o dicionário usado nos ensaios principais: os antigos parâmetros de largura, comprimento e parede da braçadeira foram substituídos por circunferência do punho, inclinação, multiplicador de comprimento e furos de correia. O estado final examinado uniformizou a organização dos grupos e os nomes dos controlos equivalentes, sem modificar as relações geométricas descritas neste anexo.</w:t>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sz w:val="20"/>
        </w:rPr>
        <w:t>profileMapping.js</w:t>
      </w:r>
      <w:r>
        <w:rPr/>
        <w:t xml:space="preserve"> estabelece as correspondências apresentadas na Tabela C.1. A origem é a árvore normalizada </w:t>
      </w:r>
      <w:r>
        <w:rPr>
          <w:rFonts w:ascii="Consolas" w:hAnsi="Consolas"/>
          <w:sz w:val="20"/>
        </w:rPr>
        <w:t>profile.measurements</w:t>
      </w:r>
      <w:r>
        <w:rPr/>
        <w:t xml:space="preserve">; o vector </w:t>
      </w:r>
      <w:r>
        <w:rPr>
          <w:rFonts w:ascii="Consolas" w:hAnsi="Consolas"/>
          <w:sz w:val="20"/>
        </w:rPr>
        <w:t>geometry_parameters</w:t>
      </w:r>
      <w:r>
        <w:rPr/>
        <w:t xml:space="preserve"> produzido pelo importador não é utilizado nesta passagem porque foi concebido para outra organização geométrica e não partilha os nomes dos modelos activos.</w:t>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rPr/>
      </w:pPr>
      <w:r>
        <w:rPr>
          <w:rFonts w:cs="Liberation Mono" w:ascii="Liberation Mono" w:hAnsi="Liberation Mono"/>
          <w:sz w:val="18"/>
        </w:rPr>
        <w:t>g</w:t>
      </w:r>
      <w:r>
        <w:rPr>
          <w:rFonts w:cs="Liberation Mono" w:ascii="Liberation Mono" w:hAnsi="Liberation Mono"/>
          <w:i/>
          <w:sz w:val="18"/>
        </w:rPr>
        <w:t>hinge = (26,6 − 2,6) / 22,6</w:t>
        <w:br/>
        <w:t>g</w:t>
      </w:r>
      <w:r>
        <w:rPr>
          <w:rFonts w:cs="Liberation Mono" w:ascii="Liberation Mono" w:hAnsi="Liberation Mono"/>
          <w:sz w:val="18"/>
        </w:rPr>
        <w:t>depth = (wrist</w:t>
      </w:r>
      <w:r>
        <w:rPr>
          <w:rFonts w:cs="Liberation Mono" w:ascii="Liberation Mono" w:hAnsi="Liberation Mono"/>
          <w:i/>
          <w:sz w:val="18"/>
        </w:rPr>
        <w:t>circumference</w:t>
      </w:r>
      <w:r>
        <w:rPr>
          <w:rFonts w:cs="Liberation Mono" w:ascii="Liberation Mono" w:hAnsi="Liberation Mono"/>
          <w:sz w:val="18"/>
        </w:rPr>
        <w:t>mm / π + 6) / (49,88 × xScaleFactor)</w:t>
        <w:br/>
        <w:t>g</w:t>
      </w:r>
      <w:r>
        <w:rPr>
          <w:rFonts w:cs="Liberation Mono" w:ascii="Liberation Mono" w:hAnsi="Liberation Mono"/>
          <w:i/>
          <w:sz w:val="18"/>
        </w:rPr>
        <w:t>pin</w:t>
      </w:r>
      <w:r>
        <w:rPr>
          <w:rFonts w:cs="Liberation Mono" w:ascii="Liberation Mono" w:hAnsi="Liberation Mono"/>
          <w:sz w:val="18"/>
        </w:rPr>
        <w:t>bore = wrist</w:t>
      </w:r>
      <w:r>
        <w:rPr>
          <w:rFonts w:cs="Liberation Mono" w:ascii="Liberation Mono" w:hAnsi="Liberation Mono"/>
          <w:i/>
          <w:sz w:val="18"/>
        </w:rPr>
        <w:t>pin</w:t>
      </w:r>
      <w:r>
        <w:rPr>
          <w:rFonts w:cs="Liberation Mono" w:ascii="Liberation Mono" w:hAnsi="Liberation Mono"/>
          <w:sz w:val="18"/>
        </w:rPr>
        <w:t>dia + 2 × wrist</w:t>
      </w:r>
      <w:r>
        <w:rPr>
          <w:rFonts w:cs="Liberation Mono" w:ascii="Liberation Mono" w:hAnsi="Liberation Mono"/>
          <w:i/>
          <w:sz w:val="18"/>
        </w:rPr>
        <w:t>pin</w:t>
      </w:r>
      <w:r>
        <w:rPr>
          <w:rFonts w:cs="Liberation Mono" w:ascii="Liberation Mono" w:hAnsi="Liberation Mono"/>
          <w:sz w:val="18"/>
        </w:rPr>
        <w:t>clearance</w:t>
      </w:r>
    </w:p>
    <w:p>
      <w:pPr>
        <w:pStyle w:val="TextoNormal-IPCA"/>
        <w:rPr/>
      </w:pPr>
      <w:r>
        <w:rPr/>
        <w:t xml:space="preserve">O factor </w:t>
      </w:r>
      <w:r>
        <w:rPr>
          <w:rFonts w:ascii="Consolas" w:hAnsi="Consolas"/>
          <w:sz w:val="20"/>
        </w:rPr>
        <w:t>g_depth</w:t>
      </w:r>
      <w:r>
        <w:rPr/>
        <w:t xml:space="preserve"> inclui a divisão por </w:t>
      </w:r>
      <w:r>
        <w:rPr>
          <w:rFonts w:ascii="Consolas" w:hAnsi="Consola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Heading3"/>
        <w:numPr>
          <w:ilvl w:val="0"/>
          <w:numId w:val="0"/>
        </w:numPr>
        <w:ind w:hanging="0" w:start="0"/>
        <w:rPr/>
      </w:pPr>
      <w:r>
        <w:rPr/>
        <w:t>C.3.4 Exemplo de propagação já preservado</w:t>
      </w:r>
    </w:p>
    <w:p>
      <w:pPr>
        <w:pStyle w:val="TextoNormal-IPCA"/>
        <w:rPr/>
      </w:pPr>
      <w:r>
        <w:rPr/>
        <w:t>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dos ensaios principais.</w:t>
      </w:r>
    </w:p>
    <w:p>
      <w:pPr>
        <w:pStyle w:val="TextoNormal-IPCA"/>
        <w:rPr/>
      </w:pPr>
      <w:r>
        <w:rPr/>
        <w:t xml:space="preserve">O resultado central desse percurso continua a ser pertinente: </w:t>
      </w:r>
      <w:r>
        <w:rPr>
          <w:rFonts w:ascii="Consolas" w:hAnsi="Consolas"/>
          <w:sz w:val="20"/>
        </w:rPr>
        <w:t>palm_breadth_mm</w:t>
      </w:r>
      <w:r>
        <w:rPr/>
        <w:t xml:space="preserve"> alimenta uma fórmula herdada e não define directamente a extensão transversal da malha. O caso documenta a propagação do valor; não demonstra correspondência anatómica.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w:t>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Heading3"/>
        <w:numPr>
          <w:ilvl w:val="0"/>
          <w:numId w:val="0"/>
        </w:numPr>
        <w:ind w:hanging="0" w:start="0"/>
        <w:rPr/>
      </w:pPr>
      <w:r>
        <w:rPr/>
        <w:t>C.4.3 Divisão proximal–distal</w:t>
      </w:r>
    </w:p>
    <w:p>
      <w:pPr>
        <w:pStyle w:val="TextoNormal-IPCA"/>
        <w:rPr/>
      </w:pPr>
      <w:r>
        <w:rPr/>
        <w:t>Os valores iniciais dos segmentos proximais são 22, 24, 22 e 16 mm para indicador, médio, anelar e mindinho; os intervalos são 12–60 mm nos três primeiros e 10–55 mm no mindinho. O polegar inicia em 27 mm, com intervalo 12–45 mm.</w:t>
      </w:r>
    </w:p>
    <w:p>
      <w:pPr>
        <w:pStyle w:val="TextoNormal-IPCA"/>
        <w:rPr/>
      </w:pPr>
      <w:r>
        <w:rPr/>
        <w:t>Para os quatro dedos, a transformação é:</w:t>
      </w:r>
    </w:p>
    <w:p>
      <w:pPr>
        <w:pStyle w:val="TextoNormal-IPCA"/>
        <w:rPr/>
      </w:pPr>
      <w:r>
        <w:rPr>
          <w:rFonts w:cs="Liberation Mono" w:ascii="Liberation Mono" w:hAnsi="Liberation Mono"/>
          <w:sz w:val="18"/>
        </w:rPr>
        <w:t>alcance</w:t>
      </w:r>
      <w:r>
        <w:rPr>
          <w:rFonts w:cs="Liberation Mono" w:ascii="Liberation Mono" w:hAnsi="Liberation Mono"/>
          <w:i/>
          <w:sz w:val="18"/>
        </w:rPr>
        <w:t>proximal</w:t>
      </w:r>
      <w:r>
        <w:rPr>
          <w:rFonts w:cs="Liberation Mono" w:ascii="Liberation Mono" w:hAnsi="Liberation Mono"/>
          <w:sz w:val="18"/>
        </w:rPr>
        <w:t>local(lp) = 23 + (2/3) × lp</w:t>
        <w:br/>
        <w:t>lp = limitar((((base</w:t>
      </w:r>
      <w:r>
        <w:rPr>
          <w:rFonts w:cs="Liberation Mono" w:ascii="Liberation Mono" w:hAnsi="Liberation Mono"/>
          <w:i/>
          <w:sz w:val="18"/>
        </w:rPr>
        <w:t>mm / overall</w:t>
      </w:r>
      <w:r>
        <w:rPr>
          <w:rFonts w:cs="Liberation Mono" w:ascii="Liberation Mono" w:hAnsi="Liberation Mono"/>
          <w:sz w:val="18"/>
        </w:rPr>
        <w:t>scale) − 23) / (2/3)), −22, 50)</w:t>
        <w:br/>
        <w:t>alcance</w:t>
      </w:r>
      <w:r>
        <w:rPr>
          <w:rFonts w:cs="Liberation Mono" w:ascii="Liberation Mono" w:hAnsi="Liberation Mono"/>
          <w:i/>
          <w:sz w:val="18"/>
        </w:rPr>
        <w:t>distal</w:t>
      </w:r>
      <w:r>
        <w:rPr>
          <w:rFonts w:cs="Liberation Mono" w:ascii="Liberation Mono" w:hAnsi="Liberation Mono"/>
          <w:sz w:val="18"/>
        </w:rPr>
        <w:t>de</w:t>
      </w:r>
      <w:r>
        <w:rPr>
          <w:rFonts w:cs="Liberation Mono" w:ascii="Liberation Mono" w:hAnsi="Liberation Mono"/>
          <w:i/>
          <w:sz w:val="18"/>
        </w:rPr>
        <w:t>referência = 60,85 − 23 = 37,85</w:t>
        <w:br/>
        <w:t>ld = inversão da curva distal para preencher total</w:t>
      </w:r>
      <w:r>
        <w:rPr>
          <w:rFonts w:cs="Liberation Mono" w:ascii="Liberation Mono" w:hAnsi="Liberation Mono"/>
          <w:sz w:val="18"/>
        </w:rPr>
        <w:t>mm − base</w:t>
      </w:r>
      <w:r>
        <w:rPr>
          <w:rFonts w:cs="Liberation Mono" w:ascii="Liberation Mono" w:hAnsi="Liberation Mono"/>
          <w:i/>
          <w:sz w:val="18"/>
        </w:rPr>
        <w:t>mm</w:t>
      </w:r>
    </w:p>
    <w:p>
      <w:pPr>
        <w:pStyle w:val="TextoNormal-IPCA"/>
        <w:rPr/>
      </w:pPr>
      <w:r>
        <w:rPr/>
        <w:t>O segmento distal preenche o comprimento que resta depois do proximal, usando a inclinação correspondente ao sinal da alavanca. O posicionamento da ponta é igualmente deslocado para manter o eixo PIP coincidente.</w:t>
      </w:r>
    </w:p>
    <w:p>
      <w:pPr>
        <w:pStyle w:val="TextoNormal-IPCA"/>
        <w:rPr/>
      </w:pPr>
      <w:r>
        <w:rPr/>
        <w:t>No polegar, a relação foi ajustada por renderização sobre uma grelha de valores:</w:t>
      </w:r>
    </w:p>
    <w:p>
      <w:pPr>
        <w:pStyle w:val="TextoNormal-IPCA"/>
        <w:rPr/>
      </w:pPr>
      <w:r>
        <w:rPr>
          <w:rFonts w:cs="Liberation Mono" w:ascii="Liberation Mono" w:hAnsi="Liberation Mono"/>
          <w:sz w:val="18"/>
        </w:rPr>
        <w:t>alcance</w:t>
      </w:r>
      <w:r>
        <w:rPr>
          <w:rFonts w:cs="Liberation Mono" w:ascii="Liberation Mono" w:hAnsi="Liberation Mono"/>
          <w:i/>
          <w:sz w:val="18"/>
        </w:rPr>
        <w:t>local = 55,84 + 0,6185 × lp + 0,77 × ld</w:t>
        <w:br/>
        <w:t>deslocamento da junção = −(23,667 + lp/3 + ld/3)</w:t>
      </w:r>
    </w:p>
    <w:p>
      <w:pPr>
        <w:pStyle w:val="TextoNormal-IPCA"/>
        <w:rPr/>
      </w:pPr>
      <w:r>
        <w:rPr/>
        <w:t>O código declara um resíduo máximo de 0,74 mm para este ajuste. Trata-se de uma calibração geométrica da implementação, não de um modelo anatómico do polegar.</w:t>
      </w:r>
    </w:p>
    <w:p>
      <w:pPr>
        <w:pStyle w:val="Heading3"/>
        <w:numPr>
          <w:ilvl w:val="0"/>
          <w:numId w:val="0"/>
        </w:numPr>
        <w:ind w:hanging="0" w:start="0"/>
        <w:rPr/>
      </w:pPr>
      <w:r>
        <w:rPr/>
        <w:t>C.4.4 Braçadeira, folgas e parâmetros fixos</w:t>
      </w:r>
    </w:p>
    <w:p>
      <w:pPr>
        <w:pStyle w:val="TextoNormal-IPCA"/>
        <w:rPr/>
      </w:pPr>
      <w:r>
        <w:rPr/>
        <w:t xml:space="preserve">A braçadeira partilha a lógica descrita para o Flexy Beast. Recebe </w:t>
      </w:r>
      <w:r>
        <w:rPr>
          <w:rFonts w:ascii="Consolas" w:hAnsi="Consolas"/>
          <w:sz w:val="20"/>
        </w:rPr>
        <w:t>wrist_circumference_mm</w:t>
      </w:r>
      <w:r>
        <w:rP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rPr/>
        <w:t>.</w:t>
      </w:r>
    </w:p>
    <w:p>
      <w:pPr>
        <w:pStyle w:val="TextoNormal-IPCA"/>
        <w:rPr/>
      </w:pPr>
      <w:r>
        <w:rPr/>
        <w:t xml:space="preserve">As constantes de referência da palma incluem raio de nó de 4,85 mm, altura do punho de 10 mm, altura da palma de 20 mm, largura-base de 64 unidades e espessura </w:t>
      </w:r>
      <w:r>
        <w:rPr>
          <w:rFonts w:ascii="Consolas" w:hAnsi="Consolas"/>
          <w:sz w:val="20"/>
        </w:rPr>
        <w:t>th = 3</w:t>
      </w:r>
      <w:r>
        <w:rPr/>
        <w:t>. Estes valores são herdados ou calibrados no modelo e não estão expostos como medidas antropométricas.</w:t>
      </w:r>
    </w:p>
    <w:p>
      <w:pPr>
        <w:pStyle w:val="Heading3"/>
        <w:numPr>
          <w:ilvl w:val="0"/>
          <w:numId w:val="0"/>
        </w:numPr>
        <w:ind w:hanging="0" w:start="0"/>
        <w:rPr/>
      </w:pPr>
      <w:r>
        <w:rPr/>
        <w:t>C.4.5 Exemplo de propagação</w:t>
      </w:r>
    </w:p>
    <w:p>
      <w:pPr>
        <w:pStyle w:val="TextoNormal-IPCA"/>
        <w:rPr/>
      </w:pPr>
      <w:r>
        <w:rPr/>
        <w:t>Com largura da palma de 83 mm, comprimento do dedo médio de 72 mm e segmento proximal de 24 mm:</w:t>
      </w:r>
    </w:p>
    <w:p>
      <w:pPr>
        <w:pStyle w:val="TextoNormal-IPCA"/>
        <w:rPr/>
      </w:pPr>
      <w:r>
        <w:rPr>
          <w:rFonts w:cs="Liberation Mono" w:ascii="Liberation Mono" w:hAnsi="Liberation Mono"/>
          <w:sz w:val="18"/>
        </w:rPr>
        <w:t>overall</w:t>
      </w:r>
      <w:r>
        <w:rPr>
          <w:rFonts w:cs="Liberation Mono" w:ascii="Liberation Mono" w:hAnsi="Liberation Mono"/>
          <w:i/>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rPr/>
      </w:pPr>
      <w:r>
        <w:rPr/>
        <w:t>O exemplo confirma a coerência interna das equações para esta configuração. A correspondência entre o alcance calculado e uma medição corporal teria de ser verificada num protocolo dimensional próprio.</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exactamente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retorno</w:t>
            </w:r>
          </w:p>
        </w:tc>
      </w:tr>
    </w:tbl>
    <w:p>
      <w:pPr>
        <w:pStyle w:val="TextoNormal-IPCA"/>
        <w:rPr/>
      </w:pPr>
      <w:r>
        <w:rPr/>
        <w:t xml:space="preserve">A palma Reborn continha internamente </w:t>
      </w:r>
      <w:r>
        <w:rPr>
          <w:rFonts w:ascii="Consolas" w:hAnsi="Consolas"/>
          <w:sz w:val="20"/>
        </w:rPr>
        <w:t>overall_scale = 1,25</w:t>
      </w:r>
      <w:r>
        <w:rPr/>
        <w:t xml:space="preserve">. Como o módulo é carregado por </w:t>
      </w:r>
      <w:r>
        <w:rPr>
          <w:rFonts w:ascii="Consolas" w:hAnsi="Consolas"/>
          <w:sz w:val="20"/>
        </w:rPr>
        <w:t>use</w:t>
      </w:r>
      <w:r>
        <w:rPr/>
        <w:t>, esse valor permanecia no âmbito do ficheiro de origem e ignorava a escala calculada no modelo principal. A correcção foi aplicada no ponto de chamada:</w:t>
      </w:r>
    </w:p>
    <w:p>
      <w:pPr>
        <w:pStyle w:val="TextoNormal-IPCA"/>
        <w:rPr/>
      </w:pPr>
      <w:r>
        <w:rPr>
          <w:rFonts w:cs="Liberation Mono" w:ascii="Liberation Mono" w:hAnsi="Liberation Mono"/>
          <w:sz w:val="18"/>
        </w:rPr>
        <w:t>scale(overall</w:t>
      </w:r>
      <w:r>
        <w:rPr>
          <w:rFonts w:cs="Liberation Mono" w:ascii="Liberation Mono" w:hAnsi="Liberation Mono"/>
          <w:i/>
          <w:sz w:val="18"/>
        </w:rPr>
        <w:t>scale / 1,25) × scaled</w:t>
      </w:r>
      <w:r>
        <w:rPr>
          <w:rFonts w:cs="Liberation Mono" w:ascii="Liberation Mono" w:hAnsi="Liberation Mono"/>
          <w:sz w:val="18"/>
        </w:rPr>
        <w:t>palm()</w:t>
      </w:r>
    </w:p>
    <w:p>
      <w:pPr>
        <w:pStyle w:val="TextoNormal-IPCA"/>
        <w:rPr/>
      </w:pPr>
      <w:r>
        <w:rPr/>
        <w:t xml:space="preserve">O módulo continua a aplicar internamente 1,25; o efeito líquido passa a ser </w:t>
      </w:r>
      <w:r>
        <w:rPr>
          <w:rFonts w:ascii="Consolas" w:hAnsi="Consolas"/>
          <w:sz w:val="20"/>
        </w:rPr>
        <w:t>palm_breadth_mm / 66,4</w:t>
      </w:r>
      <w:r>
        <w:rPr/>
        <w:t xml:space="preserve">. A variante UnLimbited V3 não exigiu a mesma correcção porque é carregada por </w:t>
      </w:r>
      <w:r>
        <w:rPr>
          <w:rFonts w:ascii="Consolas" w:hAnsi="Consolas"/>
          <w:sz w:val="20"/>
        </w:rPr>
        <w:t>include</w:t>
      </w:r>
      <w:r>
        <w:rPr/>
        <w:t xml:space="preserve"> e recebe a escala do ficheiro principal.</w:t>
      </w:r>
    </w:p>
    <w:p>
      <w:pPr>
        <w:pStyle w:val="TextoNormal-IPCA"/>
        <w:rPr/>
      </w:pPr>
      <w:r>
        <w:rPr/>
        <w:t xml:space="preserve">Os dedos indicador, anelar e mindinho recebem uma razão própria em relação a </w:t>
      </w:r>
      <w:r>
        <w:rPr>
          <w:rFonts w:ascii="Consolas" w:hAnsi="Consolas"/>
          <w:sz w:val="20"/>
        </w:rPr>
        <w:t>global_scale</w:t>
      </w:r>
      <w:r>
        <w:rPr/>
        <w:t xml:space="preserve">. O médio define a escala-base dos módulos </w:t>
      </w:r>
      <w:r>
        <w:rPr>
          <w:rFonts w:ascii="Consolas" w:hAnsi="Consolas"/>
          <w:sz w:val="20"/>
        </w:rPr>
        <w:t>fingerator</w:t>
      </w:r>
      <w:r>
        <w:rPr/>
        <w:t xml:space="preserve">. No estado examinado, o polegar também usa essa escala-base; </w:t>
      </w:r>
      <w:r>
        <w:rPr>
          <w:rFonts w:ascii="Consolas" w:hAnsi="Consolas"/>
          <w:sz w:val="20"/>
        </w:rPr>
        <w:t>thumb_length_mm</w:t>
      </w:r>
      <w:r>
        <w:rPr/>
        <w:t xml:space="preserve"> é apresentado e pode ser preenchido pelo perfil, mas não controla autonomamente a geometria do polegar. Esta discrepância deve ser corrigida no modelo ou explicitada na especificação dos parâmetros.</w:t>
      </w:r>
    </w:p>
    <w:p>
      <w:pPr>
        <w:pStyle w:val="Heading3"/>
        <w:numPr>
          <w:ilvl w:val="0"/>
          <w:numId w:val="0"/>
        </w:numPr>
        <w:ind w:hanging="0" w:start="0"/>
        <w:rPr/>
      </w:pPr>
      <w:r>
        <w:rPr/>
        <w:t xml:space="preserve">C.5.3 </w:t>
      </w:r>
      <w:r>
        <w:rPr>
          <w:i/>
          <w:iCs/>
        </w:rPr>
        <w:t>Hardware</w:t>
      </w:r>
      <w:r>
        <w:rPr/>
        <w:t xml:space="preserve"> e limites confirmáveis</w:t>
      </w:r>
    </w:p>
    <w:p>
      <w:pPr>
        <w:pStyle w:val="TextoNormal-IPCA"/>
        <w:rPr/>
      </w:pPr>
      <w:r>
        <w:rPr/>
        <w:t xml:space="preserve">O selector </w:t>
      </w:r>
      <w:r>
        <w:rPr>
          <w:rFonts w:ascii="Consolas" w:hAnsi="Consolas"/>
          <w:sz w:val="20"/>
        </w:rPr>
        <w:t>pin_index</w:t>
      </w:r>
      <w:r>
        <w:rP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rPr/>
      </w:pPr>
      <w:r>
        <w:rPr/>
        <w:t xml:space="preserve">Estes valores são constantes ou opções de </w:t>
      </w:r>
      <w:r>
        <w:rPr>
          <w:i/>
          <w:iCs/>
        </w:rPr>
        <w:t>hardware</w:t>
      </w:r>
      <w:r>
        <w:rPr/>
        <w:t>.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rPr/>
      </w:pPr>
      <w:r>
        <w:rPr/>
        <w:t xml:space="preserve">Os parâmetros </w:t>
      </w:r>
      <w:r>
        <w:rPr>
          <w:rFonts w:ascii="Consolas" w:hAnsi="Consolas"/>
          <w:sz w:val="20"/>
        </w:rPr>
        <w:t>ARM_HandLen</w:t>
      </w:r>
      <w:r>
        <w:rPr/>
        <w:t xml:space="preserve">, </w:t>
      </w:r>
      <w:r>
        <w:rPr>
          <w:rFonts w:ascii="Consolas" w:hAnsi="Consolas"/>
          <w:sz w:val="20"/>
        </w:rPr>
        <w:t>ARM_ForearmLen</w:t>
      </w:r>
      <w:r>
        <w:rPr/>
        <w:t xml:space="preserve">, </w:t>
      </w:r>
      <w:r>
        <w:rPr>
          <w:rFonts w:ascii="Consolas" w:hAnsi="Consolas"/>
          <w:sz w:val="20"/>
        </w:rPr>
        <w:t>ARM_BicepCircum</w:t>
      </w:r>
      <w:r>
        <w:rPr/>
        <w:t xml:space="preserve">, </w:t>
      </w:r>
      <w:r>
        <w:rPr>
          <w:rFonts w:ascii="Consolas" w:hAnsi="Consolas"/>
          <w:sz w:val="20"/>
        </w:rPr>
        <w:t>ARM_CuffLength</w:t>
      </w:r>
      <w:r>
        <w:rPr/>
        <w:t xml:space="preserve"> e </w:t>
      </w:r>
      <w:r>
        <w:rPr>
          <w:rFonts w:ascii="Consolas" w:hAnsi="Consolas"/>
          <w:sz w:val="20"/>
        </w:rPr>
        <w:t>ARM_PinHoleDia</w:t>
      </w:r>
      <w:r>
        <w:rPr/>
        <w:t xml:space="preserve"> pertencem à extensão opcional do braço. Não participaram na comparação da mão isolada e não devem ser apresentados como dados testados nos ensaios principais.</w:t>
      </w:r>
    </w:p>
    <w:p>
      <w:pPr>
        <w:pStyle w:val="Heading3"/>
        <w:numPr>
          <w:ilvl w:val="0"/>
          <w:numId w:val="0"/>
        </w:numPr>
        <w:ind w:hanging="0" w:start="0"/>
        <w:rPr/>
      </w:pPr>
      <w:r>
        <w:rPr/>
        <w:t>C.5.4 Exemplo de propagação</w:t>
      </w:r>
    </w:p>
    <w:p>
      <w:pPr>
        <w:pStyle w:val="TextoNormal-IPCA"/>
        <w:rPr/>
      </w:pPr>
      <w:r>
        <w:rPr/>
        <w:t>Com largura da palma de 64 mm, dedo médio de 60 mm, indicador e anelar de 57 mm, mindinho de 46 mm e polegar declarado com 50 mm:</w:t>
      </w:r>
    </w:p>
    <w:p>
      <w:pPr>
        <w:pStyle w:val="TextoNormal-IPCA"/>
        <w:rPr/>
      </w:pPr>
      <w:r>
        <w:rPr>
          <w:rFonts w:cs="Liberation Mono" w:ascii="Liberation Mono" w:hAnsi="Liberation Mono"/>
          <w:sz w:val="18"/>
        </w:rPr>
        <w:t>overall</w:t>
      </w:r>
      <w:r>
        <w:rPr>
          <w:rFonts w:cs="Liberation Mono" w:ascii="Liberation Mono" w:hAnsi="Liberation Mono"/>
          <w:i/>
          <w:sz w:val="18"/>
        </w:rPr>
        <w:t>scale = 64 / 66,4 = 0,963855</w:t>
        <w:br/>
        <w:t>correcção no ponto de chamada Reborn = 0,963855 / 1,25 = 0,771084</w:t>
        <w:br/>
        <w:t>efeito líquido da palma = 1,25 × 0,771084 = 0,963855</w:t>
        <w:br/>
        <w:t>global</w:t>
      </w:r>
      <w:r>
        <w:rPr>
          <w:rFonts w:cs="Liberation Mono" w:ascii="Liberation Mono" w:hAnsi="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rPr/>
      </w:pPr>
      <w:r>
        <w:rPr/>
        <w:t>O último valor mostra que os 50 mm declarados para o polegar não são propagados como escala própria. O exemplo deve ser tratado como diagnóstico de uma limitação, não como prova de correspondência individual.</w:t>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Heading3"/>
        <w:numPr>
          <w:ilvl w:val="0"/>
          <w:numId w:val="0"/>
        </w:numPr>
        <w:ind w:hanging="0" w:start="0"/>
        <w:rPr/>
      </w:pPr>
      <w:r>
        <w:rPr/>
        <w:t>C.6.2 Escala global e limite dimensional mínimo</w:t>
      </w:r>
    </w:p>
    <w:p>
      <w:pPr>
        <w:pStyle w:val="TextoNormal-IPCA"/>
        <w:rPr/>
      </w:pPr>
      <w:r>
        <w:rPr/>
        <w:t>A largura de referência da palma é 82 mm. A percentagem de escala é:</w:t>
      </w:r>
    </w:p>
    <w:p>
      <w:pPr>
        <w:pStyle w:val="TextoNormal-IPCA"/>
        <w:rPr/>
      </w:pPr>
      <w:r>
        <w:rPr>
          <w:rFonts w:cs="Liberation Mono" w:ascii="Liberation Mono" w:hAnsi="Liberation Mono"/>
          <w:sz w:val="18"/>
        </w:rPr>
        <w:t>se HandPerc</w:t>
      </w:r>
      <w:r>
        <w:rPr>
          <w:rFonts w:cs="Liberation Mono" w:ascii="Liberation Mono" w:hAnsi="Liberation Mono"/>
          <w:i/>
          <w:sz w:val="18"/>
        </w:rPr>
        <w:t>override &gt; 0:</w:t>
        <w:br/>
        <w:t xml:space="preserve">    HandPerc = limitar(HandPerc</w:t>
      </w:r>
      <w:r>
        <w:rPr>
          <w:rFonts w:cs="Liberation Mono" w:ascii="Liberation Mono" w:hAnsi="Liberation Mono"/>
          <w:sz w:val="18"/>
        </w:rPr>
        <w:t>override, 100, 160)</w:t>
        <w:br/>
        <w:t>caso contrário:</w:t>
        <w:br/>
        <w:t xml:space="preserve">    HandPerc = limitar((palm</w:t>
      </w:r>
      <w:r>
        <w:rPr>
          <w:rFonts w:cs="Liberation Mono" w:ascii="Liberation Mono" w:hAnsi="Liberation Mono"/>
          <w:i/>
          <w:sz w:val="18"/>
        </w:rPr>
        <w:t>breadth</w:t>
      </w:r>
      <w:r>
        <w:rPr>
          <w:rFonts w:cs="Liberation Mono" w:ascii="Liberation Mono" w:hAnsi="Liberation Mono"/>
          <w:sz w:val="18"/>
        </w:rPr>
        <w:t>mm / 82) × 100, 100, 160)</w:t>
      </w:r>
    </w:p>
    <w:p>
      <w:pPr>
        <w:pStyle w:val="TextoNormal-IPCA"/>
        <w:rPr/>
      </w:pPr>
      <w:r>
        <w:rPr>
          <w:rFonts w:ascii="Consolas" w:hAnsi="Consolas"/>
          <w:sz w:val="20"/>
        </w:rPr>
        <w:t>palm_breadth_mm</w:t>
      </w:r>
      <w:r>
        <w:rPr/>
        <w:t xml:space="preserve"> é declarado entre 82 e 131 mm. O parâmetro manual </w:t>
      </w:r>
      <w:r>
        <w:rPr>
          <w:rFonts w:ascii="Consolas" w:hAnsi="Consolas"/>
          <w:sz w:val="20"/>
        </w:rPr>
        <w:t>HandPerc_override</w:t>
      </w:r>
      <w:r>
        <w:rPr/>
        <w:t xml:space="preserve"> aceita zero como instrução para derivar a escala; valores positivos ficam sujeitos ao mesmo limite mínimo de 100% e ao limite máximo de 160%. Um perfil com palma inferior a 82 mm produz o tamanho mínimo do modelo, não a medida pedida. A configuração deve ser rejeitada ou acompanhada por um aviso de cobertura, em vez de ser descrita como adaptação individual.</w:t>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Heading3"/>
        <w:numPr>
          <w:ilvl w:val="0"/>
          <w:numId w:val="0"/>
        </w:numPr>
        <w:ind w:hanging="0" w:start="0"/>
        <w:rPr/>
      </w:pPr>
      <w:r>
        <w:rPr/>
        <w:t>C.6.4 Dependência entre comprimento digital e escala global</w:t>
      </w:r>
    </w:p>
    <w:p>
      <w:pPr>
        <w:pStyle w:val="TextoNormal-IPCA"/>
        <w:rPr/>
      </w:pPr>
      <w:r>
        <w:rPr/>
        <w:t xml:space="preserve">Depois do alongamento local, toda a montagem é envolvida por </w:t>
      </w:r>
      <w:r>
        <w:rPr>
          <w:rFonts w:ascii="Consolas" w:hAnsi="Consolas"/>
          <w:sz w:val="20"/>
        </w:rPr>
        <w:t>scale(HandPerc/100)</w:t>
      </w:r>
      <w:r>
        <w:rPr/>
        <w:t xml:space="preserve">. Consequentemente, os parâmetros digitais não correspondem necessariamente ao comprimento final impresso quando </w:t>
      </w:r>
      <w:r>
        <w:rPr>
          <w:rFonts w:ascii="Consolas" w:hAnsi="Consolas"/>
          <w:sz w:val="20"/>
        </w:rPr>
        <w:t>HandPerc</w:t>
      </w:r>
      <w:r>
        <w:rPr/>
        <w:t xml:space="preserve"> é diferente de 100%. O resultado depende de duas operações sucessivas: alteração local do segmento e escala uniforme do conjunto.</w:t>
      </w:r>
    </w:p>
    <w:p>
      <w:pPr>
        <w:pStyle w:val="TextoNormal-IPCA"/>
        <w:rPr/>
      </w:pPr>
      <w:r>
        <w:rPr/>
        <w:t xml:space="preserve">Esta ordem é relevante para a interpretação dos nomes </w:t>
      </w:r>
      <w:r>
        <w:rPr>
          <w:rFonts w:ascii="Consolas" w:hAnsi="Consolas"/>
          <w:sz w:val="20"/>
        </w:rPr>
        <w:t>*_finger_length_mm</w:t>
      </w:r>
      <w:r>
        <w:rPr/>
        <w:t>. A documentação interna que descreve uma alteração de 1:1 só é confirmável à escala de 100%. Para outras larguras de palma, deve ser medida a malha resultante ou reformulada a transformação para compensar a escala global.</w:t>
      </w:r>
    </w:p>
    <w:p>
      <w:pPr>
        <w:pStyle w:val="Heading3"/>
        <w:numPr>
          <w:ilvl w:val="0"/>
          <w:numId w:val="0"/>
        </w:numPr>
        <w:ind w:hanging="0" w:start="0"/>
        <w:rPr/>
      </w:pPr>
      <w:r>
        <w:rPr/>
        <w:t>C.6.5 Exemplo de propagação</w:t>
      </w:r>
    </w:p>
    <w:p>
      <w:pPr>
        <w:pStyle w:val="TextoNormal-IPCA"/>
        <w:rPr/>
      </w:pPr>
      <w:r>
        <w:rPr/>
        <w:t>Para um dedo médio de 100 mm, segmento proximal de 40 mm e palma de 82 mm:</w:t>
      </w:r>
    </w:p>
    <w:p>
      <w:pPr>
        <w:pStyle w:val="TextoNormal-IPCA"/>
        <w:rPr/>
      </w:pPr>
      <w:r>
        <w:rPr>
          <w:rFonts w:cs="Liberation Mono" w:ascii="Liberation Mono" w:hAnsi="Liberation Mono"/>
          <w:sz w:val="18"/>
        </w:rPr>
        <w:t>HandPerc = 100%</w:t>
        <w:br/>
        <w:t>bd = 40 − 31 = 9 mm</w:t>
        <w:br/>
        <w:t>td = (100 − 40) − 41 = 19 mm</w:t>
        <w:br/>
        <w:t>comprimento local nominal = 72 + 9 + 19 = 100 mm</w:t>
      </w:r>
    </w:p>
    <w:p>
      <w:pPr>
        <w:pStyle w:val="TextoNormal-IPCA"/>
        <w:rPr/>
      </w:pPr>
      <w:r>
        <w:rPr/>
        <w:t>Se se mantiverem os mesmos valores digitais e a largura da palma passar a 100 mm:</w:t>
      </w:r>
    </w:p>
    <w:p>
      <w:pPr>
        <w:pStyle w:val="TextoNormal-IPCA"/>
        <w:rPr/>
      </w:pPr>
      <w:r>
        <w:rPr>
          <w:rFonts w:cs="Liberation Mono" w:ascii="Liberation Mono" w:hAnsi="Liberation Mono"/>
          <w:sz w:val="18"/>
        </w:rPr>
        <w:t>HandPerc = (100 / 82) × 100 = 121,951%</w:t>
        <w:br/>
        <w:t>comprimento local nominal antes da escala = 100 mm</w:t>
        <w:br/>
        <w:t>comprimento nominal após a escala global ≈ 121,951 mm</w:t>
      </w:r>
    </w:p>
    <w:p>
      <w:pPr>
        <w:pStyle w:val="TextoNormal-IPCA"/>
        <w:rPr/>
      </w:pPr>
      <w:r>
        <w:rPr/>
        <w:t>O segundo cálculo não substitui uma medição da caixa envolvente ou do trajecto MCP–ponta, mas demonstra que o valor digital é novamente afectado pela escala global.</w:t>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Heading2"/>
        <w:numPr>
          <w:ilvl w:val="0"/>
          <w:numId w:val="0"/>
        </w:numPr>
        <w:ind w:hanging="0" w:start="0"/>
        <w:rPr/>
      </w:pPr>
      <w:r>
        <w:rPr/>
        <w:t>C.8 Critérios de aceitação, limitação e rejeição</w:t>
      </w:r>
    </w:p>
    <w:p>
      <w:pPr>
        <w:pStyle w:val="TextoNormal-IPCA"/>
        <w:rPr/>
      </w:pPr>
      <w:r>
        <w:rPr/>
        <w:t>Uma configuração pode avançar para geração quando os campos necessários existem, os valores são numéricos positivos e permanecem nos intervalos declarados. Deve ser marcada como limitada quando uma entrada é fixada no limite mínimo do modelo, quando um campo é apenas contextual ou quando a transformação não produz uma correspondência directa entre valor e dimensão final.</w:t>
      </w:r>
    </w:p>
    <w:p>
      <w:pPr>
        <w:pStyle w:val="TextoNormal-IPCA"/>
        <w:rPr/>
      </w:pPr>
      <w:r>
        <w:rPr/>
        <w:t>Devem impedir a passagem directa para fabrico, ou exigir revisão técnica, as seguintes situações:</w:t>
      </w:r>
    </w:p>
    <w:p>
      <w:pPr>
        <w:pStyle w:val="TextoNormal-IPCA"/>
        <w:rPr/>
      </w:pPr>
      <w:r>
        <w:rPr/>
        <w:t>- perfil fora da gama dimensional do modelo;</w:t>
      </w:r>
    </w:p>
    <w:p>
      <w:pPr>
        <w:pStyle w:val="TextoNormal-IPCA"/>
        <w:rPr/>
      </w:pPr>
      <w:r>
        <w:rPr/>
        <w:t>- comprimento proximal igual ou superior ao comprimento total do dedo;</w:t>
      </w:r>
    </w:p>
    <w:p>
      <w:pPr>
        <w:pStyle w:val="TextoNormal-IPCA"/>
        <w:rPr/>
      </w:pPr>
      <w:r>
        <w:rPr/>
        <w:t>- alteração que faça um valor interno atingir os limites de uma alavanca calibrada;</w:t>
      </w:r>
    </w:p>
    <w:p>
      <w:pPr>
        <w:pStyle w:val="TextoNormal-IPCA"/>
        <w:rPr/>
      </w:pPr>
      <w:r>
        <w:rPr/>
        <w:t>- ausência de componentes necessários à função, como juntas flexíveis ou canais de tracção;</w:t>
      </w:r>
    </w:p>
    <w:p>
      <w:pPr>
        <w:pStyle w:val="TextoNormal-IPCA"/>
        <w:rPr/>
      </w:pPr>
      <w:r>
        <w:rPr/>
        <w:t>- malha aberta, não estanque ou com faces degeneradas sem justificação construtiva;</w:t>
      </w:r>
    </w:p>
    <w:p>
      <w:pPr>
        <w:pStyle w:val="TextoNormal-IPCA"/>
        <w:rPr/>
      </w:pPr>
      <w:r>
        <w:rPr/>
        <w:t>- folga ou espessura sem confirmação para a combinação de material, impressora e orientação;</w:t>
      </w:r>
    </w:p>
    <w:p>
      <w:pPr>
        <w:pStyle w:val="TextoNormal-IPCA"/>
        <w:rPr/>
      </w:pPr>
      <w:r>
        <w:rPr/>
        <w:t>- valor que chega ao modelo fora do intervalo declarado por contornar a interface.</w:t>
      </w:r>
    </w:p>
    <w:p>
      <w:pPr>
        <w:pStyle w:val="TextoNormal-IPCA"/>
        <w:rPr/>
      </w:pPr>
      <w:r>
        <w:rP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rPr/>
        <w:t>/</w:t>
      </w:r>
      <w:r>
        <w:rPr>
          <w:rFonts w:ascii="Consolas" w:hAnsi="Consolas"/>
          <w:sz w:val="20"/>
        </w:rPr>
        <w:t>max</w:t>
      </w:r>
      <w:r>
        <w:rPr/>
        <w:t>, e outras permanecem como critérios de revisão. A distinção deve ser mantida no texto da dissertação.</w:t>
      </w:r>
    </w:p>
    <w:p>
      <w:pPr>
        <w:pStyle w:val="Heading2"/>
        <w:numPr>
          <w:ilvl w:val="0"/>
          <w:numId w:val="0"/>
        </w:numPr>
        <w:ind w:hanging="0" w:start="0"/>
        <w:rPr/>
      </w:pPr>
      <w:r>
        <w:rPr/>
        <w:t>C.9 Relação com o suplemento dos ensaios principais</w:t>
      </w:r>
    </w:p>
    <w:p>
      <w:pPr>
        <w:pStyle w:val="TextoNormal-IPCA"/>
        <w:rPr/>
      </w:pPr>
      <w:r>
        <w:rPr/>
        <w:t>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 xml:space="preserve">Depois desse estado, a estrutura paramétrica da braçadeira do Flexy Beast foi alterada. Por esse motivo, </w:t>
      </w:r>
      <w:r>
        <w:rPr>
          <w:rFonts w:ascii="Consolas" w:hAnsi="Consolas"/>
          <w:sz w:val="20"/>
        </w:rPr>
        <w:t>gauntlet_width_mm</w:t>
      </w:r>
      <w:r>
        <w:rPr/>
        <w:t xml:space="preserve">, </w:t>
      </w:r>
      <w:r>
        <w:rPr>
          <w:rFonts w:ascii="Consolas" w:hAnsi="Consolas"/>
          <w:sz w:val="20"/>
        </w:rPr>
        <w:t>gauntlet_length_mm</w:t>
      </w:r>
      <w:r>
        <w:rPr/>
        <w:t xml:space="preserve">, </w:t>
      </w:r>
      <w:r>
        <w:rPr>
          <w:rFonts w:ascii="Consolas" w:hAnsi="Consolas"/>
          <w:sz w:val="20"/>
        </w:rPr>
        <w:t>gauntlet_wall_mm</w:t>
      </w:r>
      <w:r>
        <w:rPr/>
        <w:t xml:space="preserve">, </w:t>
      </w:r>
      <w:r>
        <w:rPr>
          <w:rFonts w:ascii="Consolas" w:hAnsi="Consolas"/>
          <w:sz w:val="20"/>
        </w:rPr>
        <w:t>gauntlet_pos_adjust</w:t>
      </w:r>
      <w:r>
        <w:rPr/>
        <w:t xml:space="preserve"> e </w:t>
      </w:r>
      <w:r>
        <w:rPr>
          <w:rFonts w:ascii="Consolas" w:hAnsi="Consolas"/>
          <w:sz w:val="20"/>
        </w:rPr>
        <w:t>strap_splay_adjust</w:t>
      </w:r>
      <w:r>
        <w:rPr/>
        <w:t xml:space="preserve"> não descrevem o estado final examinado. Foram substituídos, no essencial, por </w:t>
      </w:r>
      <w:r>
        <w:rPr>
          <w:rFonts w:ascii="Consolas" w:hAnsi="Consolas"/>
          <w:sz w:val="20"/>
        </w:rPr>
        <w:t>wrist_circumference_mm</w:t>
      </w:r>
      <w:r>
        <w:rPr/>
        <w:t xml:space="preserve">, </w:t>
      </w:r>
      <w:r>
        <w:rPr>
          <w:rFonts w:ascii="Consolas" w:hAnsi="Consolas"/>
          <w:sz w:val="20"/>
        </w:rPr>
        <w:t>gauntlet_tilt</w:t>
      </w:r>
      <w:r>
        <w:rPr/>
        <w:t xml:space="preserve">, </w:t>
      </w:r>
      <w:r>
        <w:rPr>
          <w:rFonts w:ascii="Consolas" w:hAnsi="Consolas"/>
          <w:sz w:val="20"/>
        </w:rPr>
        <w:t>gauntlet_length_scale</w:t>
      </w:r>
      <w:r>
        <w:rPr/>
        <w:t xml:space="preserve">, </w:t>
      </w:r>
      <w:r>
        <w:rPr>
          <w:rFonts w:ascii="Consolas" w:hAnsi="Consolas"/>
          <w:sz w:val="20"/>
        </w:rPr>
        <w:t>gauntlet_rim_hole_d</w:t>
      </w:r>
      <w:r>
        <w:rPr/>
        <w:t xml:space="preserve"> e uma colocação automática sobre o eixo do pino. O anexo presente deve acompanhar o suplemento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w:t>
      </w:r>
    </w:p>
    <w:p>
      <w:pPr>
        <w:pStyle w:val="TextoNormal-IPCA"/>
        <w:rPr/>
      </w:pPr>
      <w:r>
        <w:rPr/>
        <w:t>Paraglider Hand e UnLimbited Phoenix, incluindo as dependências de montagem;</w:t>
      </w:r>
    </w:p>
    <w:p>
      <w:pPr>
        <w:pStyle w:val="TextoNormal-IPCA"/>
        <w:rPr/>
      </w:pPr>
      <w:r>
        <w:rPr/>
        <w:t>- dicionário integral de parâmetros e percurso numérico do perfil de ensaio,</w:t>
      </w:r>
    </w:p>
    <w:p>
      <w:pPr>
        <w:pStyle w:val="TextoNormal-IPCA"/>
        <w:rPr/>
      </w:pPr>
      <w:r>
        <w:rPr/>
        <w:t>conservados no material suplementar do Anexo C;</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dos ensaios principais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155</w:t>
      </w:r>
    </w:p>
    <w:p>
      <w:pPr>
        <w:pStyle w:val="ndicedoAnexo2"/>
        <w:rPr/>
      </w:pPr>
      <w:r>
        <w:rPr/>
        <w:t>D.2 Distinção entre estimativa e medição real</w:t>
        <w:tab/>
        <w:t>155</w:t>
      </w:r>
    </w:p>
    <w:p>
      <w:pPr>
        <w:pStyle w:val="ndicedoAnexo2"/>
        <w:rPr/>
      </w:pPr>
      <w:r>
        <w:rPr/>
        <w:t>D.3 Variáveis, controlos e materiais</w:t>
        <w:tab/>
        <w:t>155</w:t>
      </w:r>
    </w:p>
    <w:p>
      <w:pPr>
        <w:pStyle w:val="ndicedoAnexo3"/>
        <w:tabs>
          <w:tab w:val="clear" w:pos="708"/>
          <w:tab w:val="right" w:pos="8204" w:leader="dot"/>
        </w:tabs>
        <w:rPr/>
      </w:pPr>
      <w:r>
        <w:rPr/>
        <w:t>D.3.1 Série A — projectos de preparação digital para impressão 3D com configuração analisada</w:t>
        <w:tab/>
        <w:t>155</w:t>
      </w:r>
    </w:p>
    <w:p>
      <w:pPr>
        <w:pStyle w:val="ndicedoAnexo3"/>
        <w:tabs>
          <w:tab w:val="clear" w:pos="708"/>
          <w:tab w:val="right" w:pos="8204" w:leader="dot"/>
        </w:tabs>
        <w:rPr/>
      </w:pPr>
      <w:r>
        <w:rPr/>
        <w:t>D.3.2 Série B — comparação digital controlada</w:t>
        <w:tab/>
        <w:t>155</w:t>
      </w:r>
    </w:p>
    <w:p>
      <w:pPr>
        <w:pStyle w:val="ndicedoAnexo2"/>
        <w:rPr/>
      </w:pPr>
      <w:r>
        <w:rPr/>
        <w:t>D.4 Resultados</w:t>
        <w:tab/>
        <w:t>155</w:t>
      </w:r>
    </w:p>
    <w:p>
      <w:pPr>
        <w:pStyle w:val="ndicedoAnexo3"/>
        <w:tabs>
          <w:tab w:val="clear" w:pos="708"/>
          <w:tab w:val="right" w:pos="8204" w:leader="dot"/>
        </w:tabs>
        <w:rPr/>
      </w:pPr>
      <w:r>
        <w:rPr/>
        <w:t>D.4.1 Série A</w:t>
        <w:tab/>
        <w:t>155</w:t>
      </w:r>
    </w:p>
    <w:p>
      <w:pPr>
        <w:pStyle w:val="ndicedoAnexo3"/>
        <w:tabs>
          <w:tab w:val="clear" w:pos="708"/>
          <w:tab w:val="right" w:pos="8204" w:leader="dot"/>
        </w:tabs>
        <w:rPr/>
      </w:pPr>
      <w:r>
        <w:rPr/>
        <w:t>D.4.2 Série B (condição comum)</w:t>
        <w:tab/>
        <w:t>155</w:t>
      </w:r>
    </w:p>
    <w:p>
      <w:pPr>
        <w:pStyle w:val="ndicedoAnexo3"/>
        <w:tabs>
          <w:tab w:val="clear" w:pos="708"/>
          <w:tab w:val="right" w:pos="8204" w:leader="dot"/>
        </w:tabs>
        <w:rPr/>
      </w:pPr>
      <w:r>
        <w:rPr/>
        <w:t>D.4.3 Geometria — tamanho do conjunto vs tamanho da peça</w:t>
        <w:tab/>
        <w:t>155</w:t>
      </w:r>
    </w:p>
    <w:p>
      <w:pPr>
        <w:pStyle w:val="ndicedoAnexo3"/>
        <w:tabs>
          <w:tab w:val="clear" w:pos="708"/>
          <w:tab w:val="right" w:pos="8204" w:leader="dot"/>
        </w:tabs>
        <w:rPr/>
      </w:pPr>
      <w:r>
        <w:rPr/>
        <w:t>D.4.4 Comparação entre entrada, malha e peça física</w:t>
        <w:tab/>
        <w:t>155</w:t>
      </w:r>
    </w:p>
    <w:p>
      <w:pPr>
        <w:pStyle w:val="ndicedoAnexo3"/>
        <w:tabs>
          <w:tab w:val="clear" w:pos="708"/>
          <w:tab w:val="right" w:pos="8204" w:leader="dot"/>
        </w:tabs>
        <w:rPr/>
      </w:pPr>
      <w:r>
        <w:rPr/>
        <w:t>D.4.5 Registo fotográfico dos protótipos</w:t>
        <w:tab/>
        <w:t>155</w:t>
      </w:r>
    </w:p>
    <w:p>
      <w:pPr>
        <w:pStyle w:val="ndicedoAnexo2"/>
        <w:rPr/>
      </w:pPr>
      <w:r>
        <w:rPr/>
        <w:t>D.5 Compatibilidade com orientações de dimensionamento</w:t>
        <w:tab/>
        <w:t>155</w:t>
      </w:r>
    </w:p>
    <w:p>
      <w:pPr>
        <w:pStyle w:val="ndicedoAnexo2"/>
        <w:rPr/>
      </w:pPr>
      <w:r>
        <w:rPr/>
        <w:t>D.6 Limites de comparabilidade</w:t>
        <w:tab/>
        <w:t>155</w:t>
      </w:r>
    </w:p>
    <w:p>
      <w:pPr>
        <w:pStyle w:val="ndicedoAnexo2"/>
        <w:rPr/>
      </w:pPr>
      <w:r>
        <w:rPr/>
        <w:t>D.7 Campos que não puderam ser obtidos</w:t>
        <w:tab/>
        <w:t>155</w:t>
      </w:r>
    </w:p>
    <w:p>
      <w:pPr>
        <w:pStyle w:val="ndicedoAnexo2"/>
        <w:rPr/>
      </w:pPr>
      <w:r>
        <w:rPr/>
        <w:t>D.8 O que pode e não pode ser afirmado na dissertação</w:t>
        <w:tab/>
        <w:t>155</w:t>
      </w:r>
    </w:p>
    <w:p>
      <w:pPr>
        <w:pStyle w:val="ndicedoAnexo2"/>
        <w:rPr/>
      </w:pPr>
      <w:r>
        <w:rPr/>
        <w:t>Tabela D.1 — Estimativas dos projectos de preparação digital para impressão 3D com configuração analisada</w:t>
        <w:tab/>
        <w:t>155</w:t>
      </w:r>
    </w:p>
    <w:p>
      <w:pPr>
        <w:pStyle w:val="ndicedoAnexo2"/>
        <w:rPr/>
      </w:pPr>
      <w:r>
        <w:rPr/>
        <w:t>Tabela D.2 — Estimativas de preparação para impressão na condição digital comum</w:t>
        <w:tab/>
        <w:t>155</w:t>
      </w:r>
    </w:p>
    <w:p>
      <w:pPr>
        <w:pStyle w:val="ndicedoAnexo2"/>
        <w:rPr/>
      </w:pPr>
      <w:r>
        <w:rPr/>
        <w:t>Tabela D.3 — Comparação dimensional da palma no eixo X em PLA e PETG</w:t>
        <w:tab/>
        <w:t>155</w:t>
      </w:r>
    </w:p>
    <w:p>
      <w:pPr>
        <w:pStyle w:val="Heading2"/>
        <w:numPr>
          <w:ilvl w:val="0"/>
          <w:numId w:val="0"/>
        </w:numPr>
        <w:ind w:hanging="0" w:start="0"/>
        <w:rPr/>
      </w:pPr>
      <w:r>
        <w:rPr/>
        <w:t>D.1 Finalidade</w:t>
      </w:r>
    </w:p>
    <w:p>
      <w:pPr>
        <w:pStyle w:val="TextoNormal-IPCA"/>
        <w:rPr/>
      </w:pPr>
      <w:r>
        <w:rPr/>
        <w:t xml:space="preserve">Este anexo reúne evidência verificável sobre a </w:t>
      </w:r>
      <w:r>
        <w:rPr>
          <w:b/>
        </w:rPr>
        <w:t>preparação para impressão</w:t>
      </w:r>
      <w:r>
        <w:rPr/>
        <w:t xml:space="preserve"> das mãos protésicas paramétricas geradas pela plataforma HandFab, no contexto de uma dissertação de </w:t>
      </w:r>
      <w:r>
        <w:rPr>
          <w:b/>
          <w:i/>
          <w:iCs/>
        </w:rPr>
        <w:t>Design</w:t>
      </w:r>
      <w:r>
        <w:rPr>
          <w:b/>
        </w:rPr>
        <w:t xml:space="preserve"> e Desenvolvimento de Produto</w:t>
      </w:r>
      <w:r>
        <w:rPr/>
        <w:t xml:space="preserve">. O objectivo não é demonstrar desempenho mecânico nem validar uma impressão física, mas sim caracterizar, sob condições documentadas, as </w:t>
      </w:r>
      <w:r>
        <w:rPr>
          <w:b/>
        </w:rPr>
        <w:t>exigências de fabrico digital</w:t>
      </w:r>
      <w:r>
        <w:rPr/>
        <w:t xml:space="preserve"> que o sistema paramétrico coloca a jusante do projecto: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inclui as palmas em PLA e PETG; a montagem e a articulação permanecem dependentes de observações sistemáticas nos protótipos correspondentes.</w:t>
      </w:r>
    </w:p>
    <w:p>
      <w:pPr>
        <w:pStyle w:val="TextoNormal-IPCA"/>
        <w:rPr/>
      </w:pPr>
      <w:r>
        <w:rP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rPr/>
      </w:pPr>
      <w:r>
        <w:rP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rPr/>
        <w:t xml:space="preserve"> e apoiar o planeamento do fabrico. Estes indicadores não demonstram, por si só, acessibilidade económica, viabilidade de implementação ou capacidade de utilização por não especialistas.</w:t>
      </w:r>
    </w:p>
    <w:p>
      <w:pPr>
        <w:pStyle w:val="Heading2"/>
        <w:numPr>
          <w:ilvl w:val="0"/>
          <w:numId w:val="0"/>
        </w:numPr>
        <w:ind w:hanging="0" w:start="0"/>
        <w:rPr/>
      </w:pPr>
      <w:r>
        <w:rPr/>
        <w:t>D.2 Distinção entre estimativa e medição real</w:t>
      </w:r>
    </w:p>
    <w:p>
      <w:pPr>
        <w:pStyle w:val="TextoNormal-IPCA"/>
        <w:rPr/>
      </w:pPr>
      <w:r>
        <w:rPr/>
        <w:t xml:space="preserve">Os valores de tempo, comprimento de filamento, massa, volume e custo deste anexo são </w:t>
      </w:r>
      <w:r>
        <w:rPr>
          <w:b/>
        </w:rPr>
        <w:t>estimativas produzidas por programas de preparação para impressão 3D</w:t>
      </w:r>
      <w:r>
        <w:rPr/>
        <w:t xml:space="preserve"> (Bambu Studio e PrusaSlicer). A Secção D.4.4 apresenta, em separado, </w:t>
      </w:r>
      <w:r>
        <w:rPr>
          <w:b/>
        </w:rPr>
        <w:t>medições físicas</w:t>
      </w:r>
      <w:r>
        <w:rPr/>
        <w:t xml:space="preserve">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xml:space="preserve">- </w:t>
      </w:r>
      <w:r>
        <w:rPr>
          <w:b/>
        </w:rPr>
        <w:t>As estimativas de preparação não são medições de impressões reais.</w:t>
      </w:r>
      <w:r>
        <w:rPr/>
        <w:t xml:space="preserve"> Uma impressão física difere por</w:t>
      </w:r>
    </w:p>
    <w:p>
      <w:pPr>
        <w:pStyle w:val="TextoNormal-IPCA"/>
        <w:rPr/>
      </w:pPr>
      <w:r>
        <w:rPr/>
        <w:t>factores de máquina, humidade do filamento, calibração e temperatura.</w:t>
      </w:r>
    </w:p>
    <w:p>
      <w:pPr>
        <w:pStyle w:val="TextoNormal-IPCA"/>
        <w:rPr/>
      </w:pPr>
      <w:r>
        <w:rPr/>
        <w:t xml:space="preserve">- </w:t>
      </w:r>
      <w:r>
        <w:rPr>
          <w:b/>
        </w:rPr>
        <w:t>Não são indicadores de desempenho estrutural.</w:t>
      </w:r>
      <w:r>
        <w:rPr/>
        <w:t xml:space="preserve"> O tempo ou a massa estimados</w:t>
      </w:r>
    </w:p>
    <w:p>
      <w:pPr>
        <w:pStyle w:val="TextoNormal-IPCA"/>
        <w:rPr/>
      </w:pPr>
      <w:r>
        <w:rPr/>
        <w:t>nada dizem sobre a resistência da peça.</w:t>
      </w:r>
    </w:p>
    <w:p>
      <w:pPr>
        <w:pStyle w:val="TextoNormal-IPCA"/>
        <w:rPr/>
      </w:pPr>
      <w:r>
        <w:rPr/>
        <w:t xml:space="preserve">- </w:t>
      </w:r>
      <w:r>
        <w:rPr>
          <w:b/>
        </w:rPr>
        <w:t>A verificação de malha é geométrica, não mecânica.</w:t>
      </w:r>
      <w:r>
        <w:rPr/>
        <w:t xml:space="preserve"> «Estanque/</w:t>
      </w:r>
      <w:r>
        <w:rPr>
          <w:i/>
          <w:iCs/>
        </w:rPr>
        <w:t>manifold</w:t>
      </w:r>
      <w:r>
        <w:rPr/>
        <w:t>» e</w:t>
      </w:r>
    </w:p>
    <w:p>
      <w:pPr>
        <w:pStyle w:val="TextoNormal-IPCA"/>
        <w:rPr/>
      </w:pPr>
      <w:r>
        <w:rPr/>
        <w:t>«faces degeneradas» descrevem a integridade do ficheiro 3D; não constituem uma medida da robustez do objecto impresso.</w:t>
      </w:r>
    </w:p>
    <w:p>
      <w:pPr>
        <w:pStyle w:val="TextoNormal-IPCA"/>
        <w:rPr/>
      </w:pPr>
      <w:r>
        <w:rPr/>
        <w:t xml:space="preserve">- </w:t>
      </w:r>
      <w:r>
        <w:rPr>
          <w:b/>
        </w:rPr>
        <w:t>As estimativas dependem da versão e do perfil.</w:t>
      </w:r>
      <w:r>
        <w:rPr/>
        <w:t xml:space="preserve"> Trocar de versão do programa,</w:t>
      </w:r>
    </w:p>
    <w:p>
      <w:pPr>
        <w:pStyle w:val="TextoNormal-IPCA"/>
        <w:rPr/>
      </w:pPr>
      <w:r>
        <w:rPr/>
        <w:t xml:space="preserve">de perfil de processo ou de </w:t>
      </w:r>
      <w:r>
        <w:rPr>
          <w:i/>
          <w:iCs/>
        </w:rPr>
        <w:t>firmware</w:t>
      </w:r>
      <w:r>
        <w:rPr/>
        <w:t xml:space="preserve"> altera os números.</w:t>
      </w:r>
    </w:p>
    <w:p>
      <w:pPr>
        <w:pStyle w:val="TextoNormal-IPCA"/>
        <w:rPr/>
      </w:pPr>
      <w:r>
        <w:rPr/>
        <w:t xml:space="preserve">As estimativas de tempo, material, volume e custo devem, pois, ser lidas como </w:t>
      </w:r>
      <w:r>
        <w:rPr>
          <w:b/>
        </w:rPr>
        <w:t>indicadores comparativos de exigência de preparação</w:t>
      </w:r>
      <w:r>
        <w:rPr/>
        <w:t>, e não como propriedades físicas do produto final. Esta restrição não abrange os valores dimensionais da Secção D.4.4, que correspondem a medições das palmas impressas.</w:t>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pPr>
      <w:r>
        <w:rPr>
          <w:b/>
        </w:rPr>
        <w:t>Programas: Bambu Studio 01.10.02.76; PrusaSlicer 2.8.1. Análise geométrica em Python 3.12 / NumPy 2.4 (sem preparação para impressão).</w:t>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rPr>
        <w:t>processados com a configuração própria de cada caso</w:t>
      </w:r>
      <w:r>
        <w:rP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t xml:space="preserve">Nesta série, cada projecto conserva as suas próprias definições (variáveis </w:t>
      </w:r>
      <w:r>
        <w:rPr>
          <w:b/>
        </w:rPr>
        <w:t>não</w:t>
      </w:r>
      <w:r>
        <w:rPr/>
        <w:t xml:space="preserve"> controladas entre casos): notavelmente, os três casos Bambu usam </w:t>
      </w:r>
      <w:r>
        <w:rPr>
          <w:b/>
        </w:rPr>
        <w:t>camada de 0,24 mm</w:t>
      </w:r>
      <w:r>
        <w:rPr/>
        <w:t xml:space="preserve"> e </w:t>
      </w:r>
      <w:r>
        <w:rPr>
          <w:b/>
        </w:rPr>
        <w:t>suportes em árvore orgânica</w:t>
      </w:r>
      <w:r>
        <w:rPr/>
        <w:t xml:space="preserve">, enquanto o caso PrusaSlicer usa </w:t>
      </w:r>
      <w:r>
        <w:rPr>
          <w:b/>
        </w:rPr>
        <w:t>camada de 0,20 mm</w:t>
      </w:r>
      <w:r>
        <w:rPr/>
        <w:t xml:space="preserve"> e </w:t>
      </w:r>
      <w:r>
        <w:rPr>
          <w:b/>
        </w:rPr>
        <w:t>sem suportes</w:t>
      </w:r>
      <w:r>
        <w:rPr/>
        <w:t>. A Série A documenta os projectos tal como foram preparados; não os compara entre si.</w:t>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rPr>
        <w:t>uma única condição virtual comum</w:t>
      </w:r>
      <w:r>
        <w:rPr/>
        <w:t xml:space="preserve">, para isolar o efeito do </w:t>
      </w:r>
      <w:r>
        <w:rPr>
          <w:b/>
        </w:rPr>
        <w:t>modelo</w:t>
      </w:r>
      <w:r>
        <w:rPr/>
        <w:t xml:space="preserve"> e da </w:t>
      </w:r>
      <w:r>
        <w:rPr>
          <w:b/>
        </w:rPr>
        <w:t>dimensão</w:t>
      </w:r>
      <w:r>
        <w:rPr/>
        <w:t>:</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rPr/>
        <w:t xml:space="preserve"> — </w:t>
      </w:r>
      <w:r>
        <w:rPr>
          <w:b/>
        </w:rPr>
        <w:t>não representa uma impressão física nem confirma que o modelo possa ser impresso com sucesso</w:t>
      </w:r>
      <w:r>
        <w:rPr/>
        <w:t>.</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t>D.4.1 Série A</w:t>
      </w:r>
    </w:p>
    <w:p>
      <w:pPr>
        <w:pStyle w:val="Caption"/>
        <w:rPr/>
      </w:pPr>
      <w:r>
        <w:rPr/>
        <w:t>Tabela D.1 — Estimativas dos projectos de preparação digital para impressão 3D com configuração analisada</w:t>
      </w:r>
    </w:p>
    <w:tbl>
      <w:tblPr>
        <w:tblStyle w:val="Tabelacomgrelha"/>
        <w:tblW w:w="14000" w:type="dxa"/>
        <w:jc w:val="start"/>
        <w:tblInd w:w="0" w:type="dxa"/>
        <w:tblLayout w:type="fixed"/>
        <w:tblCellMar>
          <w:top w:w="0" w:type="dxa"/>
          <w:start w:w="108" w:type="dxa"/>
          <w:bottom w:w="0" w:type="dxa"/>
          <w:end w:w="108" w:type="dxa"/>
        </w:tblCellMar>
      </w:tblPr>
      <w:tblGrid>
        <w:gridCol w:w="1800"/>
        <w:gridCol w:w="1200"/>
        <w:gridCol w:w="1400"/>
        <w:gridCol w:w="1900"/>
        <w:gridCol w:w="900"/>
        <w:gridCol w:w="998"/>
        <w:gridCol w:w="1802"/>
        <w:gridCol w:w="1499"/>
        <w:gridCol w:w="1400"/>
        <w:gridCol w:w="1101"/>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Massa estimada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 h 21 min 50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18 645,87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56,51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 h 12 min 44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40 756,68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123,52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 h 51 min 52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39 094,09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117,54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 h 32 min 11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12 727,61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37,96 g</w:t>
            </w:r>
          </w:p>
        </w:tc>
      </w:tr>
    </w:tbl>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Heading3"/>
        <w:numPr>
          <w:ilvl w:val="0"/>
          <w:numId w:val="0"/>
        </w:numPr>
        <w:ind w:hanging="0" w:start="0"/>
        <w:rPr/>
      </w:pPr>
      <w:r>
        <w:rPr/>
        <w:t>D.4.2 Série B (condição comum)</w:t>
      </w:r>
    </w:p>
    <w:p>
      <w:pPr>
        <w:pStyle w:val="Caption"/>
        <w:rPr/>
      </w:pPr>
      <w:r>
        <w:rPr/>
        <w:t>Tabela D.2 — Estimativas de preparação para impressão na condição digital comum</w:t>
      </w:r>
    </w:p>
    <w:tbl>
      <w:tblPr>
        <w:tblStyle w:val="Tabelacomgrelha"/>
        <w:tblW w:w="9000" w:type="dxa"/>
        <w:jc w:val="start"/>
        <w:tblInd w:w="0" w:type="dxa"/>
        <w:tblLayout w:type="fixed"/>
        <w:tblCellMar>
          <w:top w:w="0" w:type="dxa"/>
          <w:start w:w="108" w:type="dxa"/>
          <w:bottom w:w="0" w:type="dxa"/>
          <w:end w:w="108" w:type="dxa"/>
        </w:tblCellMar>
      </w:tblPr>
      <w:tblGrid>
        <w:gridCol w:w="749"/>
        <w:gridCol w:w="751"/>
        <w:gridCol w:w="750"/>
        <w:gridCol w:w="749"/>
        <w:gridCol w:w="751"/>
        <w:gridCol w:w="750"/>
        <w:gridCol w:w="749"/>
        <w:gridCol w:w="751"/>
        <w:gridCol w:w="750"/>
        <w:gridCol w:w="749"/>
        <w:gridCol w:w="751"/>
        <w:gridCol w:w="750"/>
      </w:tblGrid>
      <w:tr>
        <w:trPr>
          <w:tblHeader w:val="true"/>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Massa estimada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Custo (36,29 €/kg)</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 h 39 min 34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27 387,6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83,00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 h 51 min 52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43 180,9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130,87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 h 34 min 14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55 811,9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169,15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6,14 €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 h 52 min 57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47 602,0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144,27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5,24 €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 h 22 min 47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16 522,2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50,07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1,82 €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 h 45 min 18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27 695,5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83,94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55 min 41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38 449,4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116,53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4,23 €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09 min 05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29 627,5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89,79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29 min 44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30 673,7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92,96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3,37 €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30 min 45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36 335,2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110,12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56 min 20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38 179,8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115,71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4,20 €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49 min 09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32 412,0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98,23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3,56 €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t>Duas leituras de projecto sobressaem:</w:t>
      </w:r>
    </w:p>
    <w:p>
      <w:pPr>
        <w:pStyle w:val="TextoNormal-IPCA"/>
        <w:rPr/>
      </w:pPr>
      <w:r>
        <w:rPr/>
        <w:t xml:space="preserve">1. </w:t>
      </w:r>
      <w:r>
        <w:rPr>
          <w:b/>
        </w:rPr>
        <w:t>A exigência de preparação variou com as dimensões de entrada, e não com a</w:t>
      </w:r>
    </w:p>
    <w:p>
      <w:pPr>
        <w:pStyle w:val="TextoNormal-IPCA"/>
        <w:rPr/>
      </w:pPr>
      <w:r>
        <w:rP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pPr>
      <w:r>
        <w:rPr/>
        <w:t xml:space="preserve">2. </w:t>
      </w:r>
      <w:r>
        <w:rPr>
          <w:b/>
        </w:rPr>
        <w:t>O número de placas depende da geometria, da orientação e da disposição</w:t>
      </w:r>
    </w:p>
    <w:p>
      <w:pPr>
        <w:pStyle w:val="TextoNormal-IPCA"/>
        <w:rPr/>
      </w:pPr>
      <w:r>
        <w:rP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respectivo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6"/>
      </w:tblGrid>
      <w:tr>
        <w:trPr>
          <w:tblHeader w:val="true"/>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resultante do projecto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rP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pPr>
      <w:r>
        <w:rPr/>
        <w:t xml:space="preserve">- </w:t>
      </w:r>
      <w:r>
        <w:rPr>
          <w:b/>
        </w:rPr>
        <w:t>Verificação de montagem e articulação:</w:t>
      </w:r>
      <w:r>
        <w:rPr/>
        <w:t xml:space="preserve"> o protocolo e a folha de registo</w:t>
      </w:r>
    </w:p>
    <w:p>
      <w:pPr>
        <w:pStyle w:val="TextoNormal-IPCA"/>
        <w:rPr/>
      </w:pPr>
      <w:r>
        <w:rPr/>
        <w:t>foram preparados, mas não existem ainda observações preenchidas que permitam apresentar resultados de movimento, fecho ou retorno.</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 estas propriedades não constituem resultados experimentais desta dissertação.</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orient="landscape" w:w="16838" w:h="11906"/>
      <w:pgMar w:left="1134" w:right="1134"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08:37:0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Trocar “feedback”</w:t>
      </w:r>
    </w:p>
  </w:comment>
  <w:comment w:id="1" w:author="Unknown Author" w:date="2026-07-16T18:39:33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39:5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3" w:author="Unknown Author" w:date="2026-07-16T18:40:43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4" w:author="Unknown Author" w:date="2026-07-16T18:45:09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5" w:author="Unknown Author" w:date="2026-07-16T18:46:11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true"/>
        <w:spacing w:lineRule="auto" w:line="240"/>
        <w:jc w:val="start"/>
        <w:rPr/>
      </w:pPr>
      <w:r>
        <w:rPr>
          <w:rFonts w:asciiTheme="minorHAnsi" w:cstheme="minorBidi" w:eastAsiaTheme="minorHAnsi" w:hAnsiTheme="minorHAnsi" w:cs="" w:ascii="Calibri" w:hAnsi="Calibri"/>
          <w:sz w:val="24"/>
        </w:rPr>
      </w:r>
    </w:p>
  </w:comment>
  <w:comment w:id="6" w:author="Unknown Author" w:date="2026-07-16T18:50:2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 o que significa em nota de rodapé</w:t>
      </w:r>
    </w:p>
  </w:comment>
  <w:comment w:id="7" w:author="Unknown Author" w:date="2026-07-16T18:54:04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biblio</w:t>
      </w:r>
    </w:p>
  </w:comment>
  <w:comment w:id="8" w:author="Unknown Author" w:date="2026-07-16T18:57:08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Explicar melhor a “encomenda online”</w:t>
      </w:r>
    </w:p>
  </w:comment>
  <w:comment w:id="9" w:author="Unknown Author" w:date="2026-07-16T19:00:02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Explicar o que são fronteiras de pareto.</w:t>
      </w:r>
    </w:p>
  </w:comment>
  <w:comment w:id="10" w:author="Unknown Author" w:date="2026-07-16T19:10:1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true"/>
        <w:spacing w:lineRule="auto" w:line="240"/>
        <w:jc w:val="start"/>
        <w:rPr/>
      </w:pPr>
      <w:r>
        <w:rPr>
          <w:rFonts w:asciiTheme="minorHAnsi" w:cstheme="minorBidi" w:eastAsiaTheme="minorHAnsi" w:hAnsiTheme="minorHAnsi" w:cs="" w:ascii="Calibri" w:hAnsi="Calibri"/>
          <w:sz w:val="24"/>
        </w:rPr>
      </w:r>
    </w:p>
  </w:comment>
  <w:comment w:id="11" w:author="Unknown Author" w:date="2026-07-17T01:30:14Z" w:initials="">
    <w:p>
      <w:pPr>
        <w:overflowPunct w:val="false"/>
        <w:spacing w:lineRule="auto" w:line="240"/>
        <w:jc w:val="start"/>
        <w:rPr/>
      </w:pPr>
      <w:r>
        <w:annotationRef/>
      </w:r>
      <w:r>
        <w:rPr>
          <w:rFonts w:asciiTheme="minorHAnsi" w:cstheme="minorBidi" w:eastAsiaTheme="minorHAnsi" w:hAnsiTheme="minorHAnsi" w:cs="" w:ascii="Calibri" w:hAnsi="Calibri"/>
          <w:sz w:val="24"/>
        </w:rPr>
        <w:t>Arranjar uma expressão melhor que limite de evidência.</w:t>
      </w:r>
    </w:p>
    <w:p>
      <w:pPr>
        <w:overflowPunct w:val="false"/>
        <w:spacing w:lineRule="auto" w:line="240"/>
        <w:jc w:val="start"/>
        <w:rPr/>
      </w:pPr>
      <w:r>
        <w:rPr>
          <w:rFonts w:asciiTheme="minorHAnsi" w:cstheme="minorBidi" w:eastAsiaTheme="minorHAnsi" w:hAnsiTheme="minorHAnsi" w:cs="" w:ascii="Calibri" w:hAnsi="Calibri"/>
          <w:sz w:val="24"/>
        </w:rPr>
        <w:t>Parece-me brasileiro.</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 w:name="Liberation Mono">
    <w:altName w:val="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155</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155</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170</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170</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Propriocepção designa a perceção corporal da posição, movimento e esforço dos segmentos do corpo. Em próteses acionadas pelo corpo, o </w:t>
      </w:r>
      <w:r>
        <w:rPr>
          <w:i/>
          <w:iCs/>
        </w:rPr>
        <w:t>feedback</w:t>
      </w:r>
      <w:r>
        <w:rPr/>
        <w:t xml:space="preserve">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4">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5">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6">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7">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8">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9">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0">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1">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2">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3">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8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uiPriority w:val="99"/>
    <w:semiHidden/>
    <w:unhideWhenUsed/>
    <w:qFormat/>
    <w:rsid w:val="00102e90"/>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uiPriority w:val="99"/>
    <w:semiHidden/>
    <w:unhideWhenUsed/>
    <w:qFormat/>
    <w:rsid w:val="00853a05"/>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Application>LibreOffice/26.2.4.2$Linux_X86_64 LibreOffice_project/3346a99e6b841765b75a9b29714a5b95c6761ce3</Application>
  <AppVersion>15.0000</AppVersion>
  <Pages>192</Pages>
  <Words>64065</Words>
  <Characters>385476</Characters>
  <CharactersWithSpaces>446466</CharactersWithSpaces>
  <Paragraphs>3393</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2026-07-17T02:00:45Z</dcterms:modified>
  <cp:revision>17</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