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w:t>
      </w:r>
      <w:r>
        <w:rPr>
          <w:i/>
          <w:iCs/>
        </w:rPr>
        <w:t>Metacarpophalangeal</w:t>
      </w:r>
      <w:r>
        <w:rPr/>
        <w:t>; articulação metacarpofalângica.</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39</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46</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58</w:t>
      </w:r>
    </w:p>
    <w:p>
      <w:pPr>
        <w:pStyle w:val="TOC1"/>
        <w:rPr/>
      </w:pPr>
      <w:r>
        <w:rPr/>
        <w:t>Tabela 4.11 — Cronologia das principais iterações paramétricas</w:t>
        <w:tab/>
        <w:t>59</w:t>
      </w:r>
    </w:p>
    <w:p>
      <w:pPr>
        <w:pStyle w:val="TOC1"/>
        <w:rPr/>
      </w:pPr>
      <w:r>
        <w:rPr/>
        <w:t>Tabela 5.1 — Fluxo de dados e responsabilidades da plataforma</w:t>
        <w:tab/>
        <w:t>63</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80</w:t>
      </w:r>
    </w:p>
    <w:p>
      <w:pPr>
        <w:pStyle w:val="TOC1"/>
        <w:rPr/>
      </w:pPr>
      <w:r>
        <w:rPr/>
        <w:t>Tabela 6.2 — Distribuição de tarefas entre regras, IA e supervisão humana</w:t>
        <w:tab/>
        <w:t>83</w:t>
      </w:r>
    </w:p>
    <w:p>
      <w:pPr>
        <w:pStyle w:val="TOC1"/>
        <w:rPr/>
      </w:pPr>
      <w:r>
        <w:rPr/>
        <w:t>Tabela 8.1 — Evidência do funcionamento da plataforma no processo de projeto</w:t>
        <w:tab/>
        <w:t>89</w:t>
      </w:r>
    </w:p>
    <w:p>
      <w:pPr>
        <w:pStyle w:val="TOC1"/>
        <w:rPr/>
      </w:pPr>
      <w:r>
        <w:rPr/>
        <w:t>Tabela 8.2 — Projetos de preparação digital para impressão 3D com configuração analisada</w:t>
        <w:tab/>
        <w:t>91</w:t>
      </w:r>
    </w:p>
    <w:p>
      <w:pPr>
        <w:pStyle w:val="TOC1"/>
        <w:rPr/>
      </w:pPr>
      <w:r>
        <w:rPr/>
        <w:t>Tabela 8.3 — Inspeção computacional das malhas geradas para um perfil antropométrico de 8 anos</w:t>
        <w:tab/>
        <w:t>93</w:t>
      </w:r>
    </w:p>
    <w:p>
      <w:pPr>
        <w:pStyle w:val="TOC1"/>
        <w:rPr/>
      </w:pPr>
      <w:r>
        <w:rPr/>
        <w:t>Tabela 8.4 — Descrições submetidas nos cenários de avaliação da IA</w:t>
        <w:tab/>
        <w:t>96</w:t>
      </w:r>
    </w:p>
    <w:p>
      <w:pPr>
        <w:pStyle w:val="TOC1"/>
        <w:rPr/>
      </w:pPr>
      <w:r>
        <w:rPr/>
        <w:t>Tabela 8.5 — Síntese da avaliação das sugestões de IA</w:t>
        <w:tab/>
        <w:t>98</w:t>
      </w:r>
    </w:p>
    <w:p>
      <w:pPr>
        <w:pStyle w:val="TOC1"/>
        <w:rPr/>
      </w:pPr>
      <w:r>
        <w:rPr/>
        <w:t>Tabela 8.6 — Modelos e mecanismos de escala avaliados</w:t>
        <w:tab/>
        <w:t>99</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103</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37</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 Fab</w:t>
        <w:tab/>
        <w:t>62</w:t>
      </w:r>
    </w:p>
    <w:p>
      <w:pPr>
        <w:pStyle w:val="TOC1"/>
        <w:rPr/>
      </w:pPr>
      <w:r>
        <w:rPr/>
        <w:t>Figura 5.2 — Painel de configuração dos perfis de utilizador na plataforma HandFab.</w:t>
        <w:tab/>
        <w:t>63</w:t>
      </w:r>
    </w:p>
    <w:p>
      <w:pPr>
        <w:pStyle w:val="TOC1"/>
        <w:rPr/>
      </w:pPr>
      <w:r>
        <w:rPr/>
        <w:t>Figura 5.3 — Arquitetura da plataforma e fronteiras entre navegador, servidor, serviço externo de IA e preparação do fabrico.</w:t>
        <w:tab/>
        <w:t>65</w:t>
      </w:r>
    </w:p>
    <w:p>
      <w:pPr>
        <w:pStyle w:val="TOC1"/>
        <w:rPr/>
      </w:pPr>
      <w:r>
        <w:rPr/>
        <w:t>Figura 5.4 — Sequência de dados e decisões desde o perfil ou descrição até à sugestão, confirmação, geração determinística e exportação.</w:t>
        <w:tab/>
        <w:t>66</w:t>
      </w:r>
    </w:p>
    <w:p>
      <w:pPr>
        <w:pStyle w:val="TOC1"/>
        <w:rPr/>
      </w:pPr>
      <w:r>
        <w:rPr/>
        <w:t>Figura 5.5 — Fluxo geral de produção personalizada de próteses a partir de digitalização, CAD adaptativo e fabrico aditivo.</w:t>
        <w:tab/>
        <w:t>68</w:t>
      </w:r>
    </w:p>
    <w:p>
      <w:pPr>
        <w:pStyle w:val="TOC1"/>
        <w:rPr/>
      </w:pPr>
      <w:r>
        <w:rPr/>
        <w:t>Figura 5.6 — Visualização do código OpenSCAD e da geometria correspondente na plataforma HandFab.</w:t>
        <w:tab/>
        <w:t>71</w:t>
      </w:r>
    </w:p>
    <w:p>
      <w:pPr>
        <w:pStyle w:val="TOC1"/>
        <w:rPr/>
      </w:pPr>
      <w:r>
        <w:rPr/>
        <w:t>Figura 5.7 — Ferramenta paramétrica para configuração de ajudas técnicas com variação de dimensões, materiais e peso.</w:t>
        <w:tab/>
        <w:t>72</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84</w:t>
      </w:r>
    </w:p>
    <w:p>
      <w:pPr>
        <w:pStyle w:val="TOC1"/>
        <w:rPr/>
      </w:pPr>
      <w:r>
        <w:rPr/>
        <w:t>Figura 7.1 — Exemplo publicado de teste de uma prótese impressa em 3D com um utilizador; esta atividade não integrou a avaliação da presente dissertação.</w:t>
        <w:tab/>
        <w:t>87</w:t>
      </w:r>
    </w:p>
    <w:p>
      <w:pPr>
        <w:pStyle w:val="TOC1"/>
        <w:rPr/>
      </w:pPr>
      <w:r>
        <w:rPr/>
        <w:t>Figura 8.1 — Componentes impressos e estados preliminares de montagem: segmentos digitais articulados, palma e elementos separados.</w:t>
        <w:tab/>
        <w:t>94</w:t>
      </w:r>
    </w:p>
    <w:p>
      <w:pPr>
        <w:pStyle w:val="TOC1"/>
        <w:rPr/>
      </w:pPr>
      <w:r>
        <w:rPr/>
        <w:t>Figura 8.2 — Séries físicas de segmentos identificados pelos perfis de ensaio de 8, 15, 28 e 70 anos.</w:t>
        <w:tab/>
        <w:t>94</w:t>
      </w:r>
    </w:p>
    <w:p>
      <w:pPr>
        <w:pStyle w:val="TOC1"/>
        <w:rPr/>
      </w:pPr>
      <w:r>
        <w:rPr/>
        <w:t>Figura 8.3 — UnLimbited Phoenix configurada para o perfil de ensaio de 15 anos, apresentada em sete vistas da montagem física.</w:t>
        <w:tab/>
        <w:t>95</w:t>
      </w:r>
    </w:p>
    <w:p>
      <w:pPr>
        <w:pStyle w:val="TOC1"/>
        <w:rPr/>
      </w:pPr>
      <w:r>
        <w:rPr/>
        <w:t>Figura 8.4 — Tarefas funcionais usadas em avaliação de prótese personalizada de membro superior.</w:t>
        <w:tab/>
        <w:t>95</w:t>
      </w:r>
    </w:p>
    <w:p>
      <w:pPr>
        <w:pStyle w:val="TOC1"/>
        <w:rPr/>
      </w:pPr>
      <w:r>
        <w:rPr/>
        <w:t>Figura C.1 — Fluxo entre dados de entrada, mapa comum, regras específicas dos modelos e geometria exportável. Produção própria.</w:t>
        <w:tab/>
        <w:t>144</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28</w:t>
      </w:r>
    </w:p>
    <w:p>
      <w:pPr>
        <w:pStyle w:val="TOC2"/>
        <w:rPr/>
      </w:pPr>
      <w:r>
        <w:rPr/>
        <w:t>Fluxos participativos e infra-estruturas remotas</w:t>
        <w:tab/>
        <w:t>28</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34</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de investigação</w:t>
        <w:tab/>
        <w:t>37</w:t>
      </w:r>
    </w:p>
    <w:p>
      <w:pPr>
        <w:pStyle w:val="TOC2"/>
        <w:rPr/>
      </w:pPr>
      <w:r>
        <w:rPr/>
        <w:t>3.3 Estrutura metodológica do projeto</w:t>
        <w:tab/>
        <w:t>38</w:t>
      </w:r>
    </w:p>
    <w:p>
      <w:pPr>
        <w:pStyle w:val="TOC2"/>
        <w:rPr/>
      </w:pPr>
      <w:r>
        <w:rPr/>
        <w:t>3.4 Métodos de recolha e análise de dados</w:t>
        <w:tab/>
        <w:t>40</w:t>
      </w:r>
    </w:p>
    <w:p>
      <w:pPr>
        <w:pStyle w:val="TOC2"/>
        <w:rPr/>
      </w:pPr>
      <w:r>
        <w:rPr/>
        <w:t>3.5 Critérios de avaliação e limitações metodológicas</w:t>
        <w:tab/>
        <w:t>42</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54</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projeto</w:t>
        <w:tab/>
        <w:t>59</w:t>
      </w:r>
    </w:p>
    <w:p>
      <w:pPr>
        <w:pStyle w:val="TOC1"/>
        <w:rPr/>
      </w:pPr>
      <w:r>
        <w:rPr/>
        <w:t>Capítulo 5 — Plataforma Web e Integração Digital</w:t>
        <w:tab/>
        <w:t>61</w:t>
      </w:r>
    </w:p>
    <w:p>
      <w:pPr>
        <w:pStyle w:val="TOC2"/>
        <w:rPr/>
      </w:pPr>
      <w:r>
        <w:rPr/>
        <w:t>5.1 Enquadramento conceptual e perfis de utilizador</w:t>
        <w:tab/>
        <w:t>61</w:t>
      </w:r>
    </w:p>
    <w:p>
      <w:pPr>
        <w:pStyle w:val="TOC2"/>
        <w:rPr/>
      </w:pPr>
      <w:r>
        <w:rPr/>
        <w:t>5.2 Arquitetura geral do sistema</w:t>
        <w:tab/>
        <w:t>63</w:t>
      </w:r>
    </w:p>
    <w:p>
      <w:pPr>
        <w:pStyle w:val="TOC2"/>
        <w:rPr/>
      </w:pPr>
      <w:r>
        <w:rPr/>
        <w:t>5.3 Integração OpenSCAD via WebAssembly (WASM)</w:t>
        <w:tab/>
        <w:t>69</w:t>
      </w:r>
    </w:p>
    <w:p>
      <w:pPr>
        <w:pStyle w:val="TOC2"/>
        <w:rPr/>
      </w:pPr>
      <w:r>
        <w:rPr/>
        <w:t>5.4 Estrutura funcional da plataforma</w:t>
        <w:tab/>
        <w:t>71</w:t>
      </w:r>
    </w:p>
    <w:p>
      <w:pPr>
        <w:pStyle w:val="TOC2"/>
        <w:rPr/>
      </w:pPr>
      <w:r>
        <w:rPr/>
        <w:t>5.5 Gestão de parâmetros, versões e expansão</w:t>
        <w:tab/>
        <w:t>77</w:t>
      </w:r>
    </w:p>
    <w:p>
      <w:pPr>
        <w:pStyle w:val="TOC1"/>
        <w:rPr/>
      </w:pPr>
      <w:r>
        <w:rPr/>
        <w:t>Capítulo 6 — Integração da Inteligência Artificial</w:t>
        <w:tab/>
        <w:t>79</w:t>
      </w:r>
    </w:p>
    <w:p>
      <w:pPr>
        <w:pStyle w:val="TOC2"/>
        <w:rPr/>
      </w:pPr>
      <w:r>
        <w:rPr/>
        <w:t>6.1 Papel da IA no sistema proposto</w:t>
        <w:tab/>
        <w:t>79</w:t>
      </w:r>
    </w:p>
    <w:p>
      <w:pPr>
        <w:pStyle w:val="TOC2"/>
        <w:rPr/>
      </w:pPr>
      <w:r>
        <w:rPr/>
        <w:t>6.2 IA na parametrização, personalização e apoio à decisão</w:t>
        <w:tab/>
        <w:t>79</w:t>
      </w:r>
    </w:p>
    <w:p>
      <w:pPr>
        <w:pStyle w:val="TOC2"/>
        <w:rPr/>
      </w:pPr>
      <w:r>
        <w:rPr/>
        <w:t>6.3 Avaliação das sugestões paramétricas apoiadas por IA</w:t>
        <w:tab/>
        <w:t>82</w:t>
      </w:r>
    </w:p>
    <w:p>
      <w:pPr>
        <w:pStyle w:val="TOC2"/>
        <w:rPr/>
      </w:pPr>
      <w:r>
        <w:rPr/>
        <w:t>6.4 Ajuste, verificação e limitações éticas e técnicas</w:t>
        <w:tab/>
        <w:t>83</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85</w:t>
      </w:r>
    </w:p>
    <w:p>
      <w:pPr>
        <w:pStyle w:val="TOC2"/>
        <w:rPr/>
      </w:pPr>
      <w:r>
        <w:rPr/>
        <w:t>7.3 Mediação do processo de design e reflexão crítica</w:t>
        <w:tab/>
        <w:t>87</w:t>
      </w:r>
    </w:p>
    <w:p>
      <w:pPr>
        <w:pStyle w:val="TOC1"/>
        <w:rPr/>
      </w:pPr>
      <w:r>
        <w:rPr/>
        <w:t>Capítulo 8 — Avaliação e Discussão</w:t>
        <w:tab/>
        <w:t>89</w:t>
      </w:r>
    </w:p>
    <w:p>
      <w:pPr>
        <w:pStyle w:val="TOC2"/>
        <w:rPr/>
      </w:pPr>
      <w:r>
        <w:rPr/>
        <w:t>8.1 Estratégia e critérios de avaliação</w:t>
        <w:tab/>
        <w:t>89</w:t>
      </w:r>
    </w:p>
    <w:p>
      <w:pPr>
        <w:pStyle w:val="TOC3"/>
        <w:tabs>
          <w:tab w:val="clear" w:pos="708"/>
          <w:tab w:val="right" w:pos="8204" w:leader="dot"/>
        </w:tabs>
        <w:rPr/>
      </w:pPr>
      <w:r>
        <w:rPr/>
        <w:t>8.1.1 Verificação técnica da plataforma</w:t>
        <w:tab/>
        <w:t>89</w:t>
      </w:r>
    </w:p>
    <w:p>
      <w:pPr>
        <w:pStyle w:val="TOC3"/>
        <w:tabs>
          <w:tab w:val="clear" w:pos="708"/>
          <w:tab w:val="right" w:pos="8204" w:leader="dot"/>
        </w:tabs>
        <w:rPr/>
      </w:pPr>
      <w:r>
        <w:rPr/>
        <w:t>8.1.2 Avaliação complementar da consistência da geração, recuperação e acessibilidade</w:t>
        <w:tab/>
        <w:t>90</w:t>
      </w:r>
    </w:p>
    <w:p>
      <w:pPr>
        <w:pStyle w:val="TOC3"/>
        <w:tabs>
          <w:tab w:val="clear" w:pos="708"/>
          <w:tab w:val="right" w:pos="8204" w:leader="dot"/>
        </w:tabs>
        <w:rPr/>
      </w:pPr>
      <w:r>
        <w:rPr/>
        <w:t>8.1.3 Preparação para impressão e protótipos físicos</w:t>
        <w:tab/>
        <w:t>91</w:t>
      </w:r>
    </w:p>
    <w:p>
      <w:pPr>
        <w:pStyle w:val="TOC2"/>
        <w:rPr/>
      </w:pPr>
      <w:r>
        <w:rPr/>
        <w:t>8.2 Avaliação da coerência das sugestões de IA</w:t>
        <w:tab/>
        <w:t>96</w:t>
      </w:r>
    </w:p>
    <w:p>
      <w:pPr>
        <w:pStyle w:val="TOC2"/>
        <w:rPr/>
      </w:pPr>
      <w:r>
        <w:rPr/>
        <w:t>8.3 Verificação geométrica entre modelos</w:t>
        <w:tab/>
        <w:t>99</w:t>
      </w:r>
    </w:p>
    <w:p>
      <w:pPr>
        <w:pStyle w:val="TOC2"/>
        <w:rPr/>
      </w:pPr>
      <w:r>
        <w:rPr/>
        <w:t>8.4 Discussão dos resultados face aos objetivos</w:t>
        <w:tab/>
        <w:t>100</w:t>
      </w:r>
    </w:p>
    <w:p>
      <w:pPr>
        <w:pStyle w:val="TOC1"/>
        <w:rPr/>
      </w:pPr>
      <w:r>
        <w:rPr/>
        <w:t>Capítulo 9 — Conclusões e Trabalhos Futuros</w:t>
        <w:tab/>
        <w:t>103</w:t>
      </w:r>
    </w:p>
    <w:p>
      <w:pPr>
        <w:pStyle w:val="TOC2"/>
        <w:rPr/>
      </w:pPr>
      <w:r>
        <w:rPr/>
        <w:t>9.1 Resposta ao problema e às perguntas de investigação</w:t>
        <w:tab/>
        <w:t>103</w:t>
      </w:r>
    </w:p>
    <w:p>
      <w:pPr>
        <w:pStyle w:val="TOC2"/>
        <w:rPr/>
      </w:pPr>
      <w:r>
        <w:rPr/>
        <w:t>9.2 Contributos da investigação</w:t>
        <w:tab/>
        <w:t>104</w:t>
      </w:r>
    </w:p>
    <w:p>
      <w:pPr>
        <w:pStyle w:val="TOC2"/>
        <w:rPr/>
      </w:pPr>
      <w:r>
        <w:rPr/>
        <w:t>9.3 Limitações</w:t>
        <w:tab/>
        <w:t>105</w:t>
      </w:r>
    </w:p>
    <w:p>
      <w:pPr>
        <w:pStyle w:val="TOC2"/>
        <w:rPr/>
      </w:pPr>
      <w:r>
        <w:rPr/>
        <w:t>9.4 Trabalho futuro</w:t>
        <w:tab/>
        <w:t>105</w:t>
      </w:r>
    </w:p>
    <w:p>
      <w:pPr>
        <w:pStyle w:val="TOC1"/>
        <w:rPr/>
      </w:pPr>
      <w:r>
        <w:rPr/>
        <w:t>Referências Bibliográficas</w:t>
        <w:tab/>
        <w:t>107</w:t>
      </w:r>
    </w:p>
    <w:p>
      <w:pPr>
        <w:pStyle w:val="TOC1"/>
        <w:rPr/>
      </w:pPr>
      <w:r>
        <w:rPr/>
        <w:t>Anexo A — Metodologia de extração e codificação de dados antropométricos da mão</w:t>
        <w:tab/>
        <w:t>119</w:t>
      </w:r>
    </w:p>
    <w:p>
      <w:pPr>
        <w:pStyle w:val="TOC1"/>
        <w:rPr/>
      </w:pPr>
      <w:r>
        <w:rPr/>
        <w:t>Anexo B — Avaliação do processo paramétrico e da interface da plataforma HandFab</w:t>
        <w:tab/>
        <w:t>134</w:t>
      </w:r>
    </w:p>
    <w:p>
      <w:pPr>
        <w:pStyle w:val="TOC1"/>
        <w:rPr/>
      </w:pPr>
      <w:r>
        <w:rPr/>
        <w:t>Anexo C — Adaptação paramétrica dos modelos de mão protésica</w:t>
        <w:tab/>
        <w:t>140</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155</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 xml:space="preserve">Um atributo particularmente relevante é o </w:t>
      </w:r>
      <w:commentRangeStart w:id="0"/>
      <w:r>
        <w:rPr>
          <w:i/>
          <w:iCs/>
        </w:rPr>
        <w:t>feedback</w:t>
      </w:r>
      <w:r>
        <w:rPr>
          <w:i/>
          <w:iCs/>
        </w:rPr>
      </w:r>
      <w:commentRangeEnd w:id="0"/>
      <w:r>
        <w:commentReference w:id="0"/>
      </w:r>
      <w:r>
        <w:rPr/>
        <w:t xml:space="preserve"> proprioceptivo indireto</w:t>
      </w:r>
      <w:r>
        <w:rPr>
          <w:rStyle w:val="FootnoteReference"/>
        </w:rPr>
        <w:footnoteReference w:id="2"/>
      </w:r>
      <w:r>
        <w:rPr/>
        <w:t xml:space="preserve">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1"/>
      <w:r>
        <w:rPr/>
        <w:t>Regulamento 2017/745 (MDR) - https://eur-lex.europa.eu/eli/reg/2017/745/oj/eng</w:t>
      </w:r>
      <w:r>
        <w:rPr/>
      </w:r>
      <w:commentRangeEnd w:id="1"/>
      <w:r>
        <w:commentReference w:id="1"/>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2"/>
      <w:r>
        <w:rPr/>
        <w:t>CE (Parlamento Europeu e Conselho da União Europeia, 2017).</w:t>
      </w:r>
      <w:commentRangeEnd w:id="2"/>
      <w:r>
        <w:commentReference w:id="2"/>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3"/>
      <w:r>
        <w:rPr/>
        <w:t>ISO/TC 168</w:t>
      </w:r>
      <w:r>
        <w:rPr/>
      </w:r>
      <w:commentRangeEnd w:id="3"/>
      <w:r>
        <w:commentReference w:id="3"/>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4"/>
      <w:r>
        <w:rPr/>
        <w:t>Ron Mace</w:t>
      </w:r>
      <w:r>
        <w:rPr/>
      </w:r>
      <w:commentRangeEnd w:id="4"/>
      <w:r>
        <w:commentReference w:id="4"/>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5"/>
      <w:r>
        <w:rPr/>
        <w:t>ISO 62366</w:t>
      </w:r>
      <w:r>
        <w:rPr/>
      </w:r>
      <w:commentRangeEnd w:id="5"/>
      <w:r>
        <w:commentReference w:id="5"/>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w:t>
      </w:r>
      <w:commentRangeStart w:id="6"/>
      <w:r>
        <w:rPr/>
        <w:t>PRISMA</w:t>
      </w:r>
      <w:r>
        <w:rPr>
          <w:rStyle w:val="FootnoteReference"/>
        </w:rPr>
        <w:footnoteReference w:id="3"/>
      </w:r>
      <w:r>
        <w:rPr/>
      </w:r>
      <w:commentRangeEnd w:id="6"/>
      <w:r>
        <w:commentReference w:id="6"/>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commentRangeStart w:id="7"/>
      <w:r>
        <w:rPr/>
        <w:t xml:space="preserve"> [^9]</w:t>
      </w:r>
      <w:commentRangeEnd w:id="7"/>
      <w:r>
        <w:commentReference w:id="7"/>
      </w:r>
      <w:r>
        <w:rPr/>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4"/>
      </w:r>
      <w:r>
        <w:rPr/>
        <w:t xml:space="preserve"> viabiliza fluxos digitais em que o ficheiro parametrizado é convertido directamente em instruções de fabrico, seja localmente (impressão 3D descentralizada) ou por meio de </w:t>
      </w:r>
      <w:commentRangeStart w:id="8"/>
      <w:r>
        <w:rPr/>
        <w:t xml:space="preserve">uma encomenda </w:t>
      </w:r>
      <w:r>
        <w:rPr>
          <w:i/>
          <w:iCs/>
        </w:rPr>
        <w:t>online</w:t>
      </w:r>
      <w:r>
        <w:rPr>
          <w:i/>
          <w:iCs/>
        </w:rPr>
      </w:r>
      <w:commentRangeEnd w:id="8"/>
      <w:r>
        <w:commentReference w:id="8"/>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 xml:space="preserve">A parametrização é frequentemente combinada com métodos de optimização topológica, de geração de estruturas reticuladas e de abordagens multiobjectivo. Estas estratégias permitem gerir compromissos entre peso, resistência, custo e tempo de fabrico, explorando </w:t>
      </w:r>
      <w:commentRangeStart w:id="9"/>
      <w:r>
        <w:rPr/>
        <w:t>fronteiras de Pareto</w:t>
      </w:r>
      <w:r>
        <w:rPr>
          <w:rStyle w:val="FootnoteReference"/>
        </w:rPr>
        <w:footnoteReference w:id="5"/>
      </w:r>
      <w:r>
        <w:rPr/>
      </w:r>
      <w:commentRangeEnd w:id="9"/>
      <w:r>
        <w:commentReference w:id="9"/>
      </w:r>
      <w:r>
        <w:rPr/>
        <w:t xml:space="preserve">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e/ou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apoio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10"/>
      <w:r>
        <w:rPr/>
        <w:t>ISO 7250</w:t>
      </w:r>
      <w:r>
        <w:rPr/>
      </w:r>
      <w:commentRangeEnd w:id="10"/>
      <w:r>
        <w:commentReference w:id="10"/>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6"/>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7"/>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8"/>
      </w:r>
      <w:r>
        <w:rPr/>
        <w:t xml:space="preserve">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9"/>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10"/>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1"/>
      </w:r>
      <w:r>
        <w:rPr/>
        <w:t xml:space="preserve">, </w:t>
      </w:r>
      <w:r>
        <w:rPr>
          <w:i/>
          <w:iCs/>
        </w:rPr>
        <w:t>serious games</w:t>
      </w:r>
      <w:r>
        <w:rPr>
          <w:rStyle w:val="FootnoteReference"/>
        </w:rPr>
        <w:footnoteReference w:id="12"/>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3"/>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dignidade, autonomia quotidiana e avaliação situada dos significados estéticos e simbólicos</w:t>
            </w:r>
          </w:p>
        </w:tc>
      </w:tr>
    </w:tbl>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em 13 e 14 de Julho de 2026, séries automatizadas de ensaios orientadas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suplementar arquivado.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Heading3"/>
        <w:numPr>
          <w:ilvl w:val="0"/>
          <w:numId w:val="0"/>
        </w:numPr>
        <w:ind w:hanging="0" w:start="0"/>
        <w:rPr/>
      </w:pPr>
      <w:r>
        <w:rPr/>
        <w:t>4.3.4 Dicionário operacional de parâmetros</w:t>
      </w:r>
    </w:p>
    <w:p>
      <w:pPr>
        <w:pStyle w:val="TextoNormal-IPCA"/>
        <w:rPr/>
      </w:pPr>
      <w:r>
        <w:rPr/>
        <w:t>Para tornar auditável a passagem entre dados, configuração e geometria, a Tabela 4.9 consolida os parâmetros numéricos com efeito antropométrico, geométrico ou mecânico nos três modelos comparados. O dicionário corresponde ao estado da plataforma usado nos ensaios principais. A unidade é o milímetro, excepto quando a tabela indica percentagem ou razão adimensional. Os valores iniciais não são médias universais: constituem a configuração de referência do modelo. Os intervalos são limites de implementação e não limites clínicos.</w:t>
      </w:r>
    </w:p>
    <w:p>
      <w:pPr>
        <w:pStyle w:val="TextoNormal-IPCA"/>
        <w:rPr/>
      </w:pPr>
      <w:r>
        <w:rP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Regra ou efeito geométrico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4</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 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0,35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95; 32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0,9; 0,9</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3–6;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0–160;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18–55;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31</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 polegar e divisão proximal–distal</w:t>
            </w:r>
          </w:p>
        </w:tc>
      </w:tr>
    </w:tbl>
    <w:p>
      <w:pPr>
        <w:pStyle w:val="TextoNormal-IPCA"/>
        <w:rPr/>
      </w:pPr>
      <w:r>
        <w:rP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Heading3"/>
        <w:numPr>
          <w:ilvl w:val="0"/>
          <w:numId w:val="0"/>
        </w:numPr>
        <w:ind w:hanging="0" w:start="0"/>
        <w:rPr/>
      </w:pPr>
      <w:r>
        <w:rPr/>
        <w:t>4.3.5 Exemplo numérico completo: perfil infantil no Flexy Beast</w:t>
      </w:r>
    </w:p>
    <w:p>
      <w:pPr>
        <w:pStyle w:val="TextoNormal-IPCA"/>
        <w:rPr/>
      </w:pPr>
      <w:r>
        <w:rP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302"/>
        <w:gridCol w:w="3521"/>
        <w:gridCol w:w="3964"/>
      </w:tblGrid>
      <w:tr>
        <w:trPr>
          <w:tblHeader w:val="true"/>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Etapa</w:t>
            </w:r>
          </w:p>
        </w:tc>
        <w:tc>
          <w:tcPr>
            <w:tcW w:w="352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Operação ou evidência</w:t>
            </w:r>
          </w:p>
        </w:tc>
        <w:tc>
          <w:tcPr>
            <w:tcW w:w="396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Valor obtido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 Vector aplicado</w:t>
            </w:r>
          </w:p>
        </w:tc>
        <w:tc>
          <w:tcPr>
            <w:tcW w:w="352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Palma; indicador; médio; anelar; mindinho; polegar</w:t>
            </w:r>
          </w:p>
        </w:tc>
        <w:tc>
          <w:tcPr>
            <w:tcW w:w="396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64; 57; 60; 57; 46; 50 mm</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2. Verificação pelo esquema</w:t>
            </w:r>
          </w:p>
        </w:tc>
        <w:tc>
          <w:tcPr>
            <w:tcW w:w="352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Comparação com os intervalos da Tabela 4.9</w:t>
            </w:r>
          </w:p>
        </w:tc>
        <w:tc>
          <w:tcPr>
            <w:tcW w:w="396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Seis valores nos intervalos; sem limitação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 Escala global</w:t>
            </w:r>
          </w:p>
        </w:tc>
        <w:tc>
          <w:tcPr>
            <w:tcW w:w="352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xScaleFactor = (64 + 5) / 55</w:t>
            </w:r>
          </w:p>
        </w:tc>
        <w:tc>
          <w:tcPr>
            <w:tcW w:w="396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1,254545</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4. Multiplicador mestre</w:t>
            </w:r>
          </w:p>
        </w:tc>
        <w:tc>
          <w:tcPr>
            <w:tcW w:w="352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fingerLength = 60 / (37 × 1,254545)</w:t>
            </w:r>
          </w:p>
        </w:tc>
        <w:tc>
          <w:tcPr>
            <w:tcW w:w="396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1,292597</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Proporções digitais</w:t>
            </w:r>
          </w:p>
        </w:tc>
        <w:tc>
          <w:tcPr>
            <w:tcW w:w="352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Indicador/60; médio/60; anelar/60; mindinho/60; polegar/60</w:t>
            </w:r>
          </w:p>
        </w:tc>
        <w:tc>
          <w:tcPr>
            <w:tcW w:w="396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0,950000; 1,000000; 0,950000; 0,766667; 0,833333</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 Parâmetros mecânicos</w:t>
            </w:r>
          </w:p>
        </w:tc>
        <w:tc>
          <w:tcPr>
            <w:tcW w:w="352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joint_dia; joint_thick; braçadeira L × C × parede; wrist_pin_dia</w:t>
            </w:r>
          </w:p>
        </w:tc>
        <w:tc>
          <w:tcPr>
            <w:tcW w:w="396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mm; 2 mm; 47 × 80 × 2 mm; 5 mm; dentro dos limites</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7. Malha da palma</w:t>
            </w:r>
          </w:p>
        </w:tc>
        <w:tc>
          <w:tcPr>
            <w:tcW w:w="352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97,385 × 80,103 × 37,123 mm; 51,381 cm³; 11.186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8. Proximal do dedo médio</w:t>
            </w:r>
          </w:p>
        </w:tc>
        <w:tc>
          <w:tcPr>
            <w:tcW w:w="352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37,451 × 14,913 × 14,775 mm; 5,225 cm³; 888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 Distal do dedo médio</w:t>
            </w:r>
          </w:p>
        </w:tc>
        <w:tc>
          <w:tcPr>
            <w:tcW w:w="352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faces; estanquidade</w:t>
            </w:r>
          </w:p>
        </w:tc>
        <w:tc>
          <w:tcPr>
            <w:tcW w:w="396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52,183 × 14,913 × 22,697 mm; 1.198 faces; aberta</w:t>
            </w:r>
          </w:p>
        </w:tc>
      </w:tr>
    </w:tbl>
    <w:p>
      <w:pPr>
        <w:pStyle w:val="TextoNormal-IPCA"/>
        <w:rPr/>
      </w:pPr>
      <w:r>
        <w:rP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rPr/>
      </w:pPr>
      <w:r>
        <w:rP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rPr/>
      </w:pPr>
      <w:r>
        <w:rPr/>
        <w:t>Os registos de parâmetros, as malhas, o percurso de transformação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rPr/>
      </w:pPr>
      <w:r>
        <w:rP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Heading2"/>
        <w:numPr>
          <w:ilvl w:val="0"/>
          <w:numId w:val="0"/>
        </w:numPr>
        <w:ind w:hanging="0" w:start="0"/>
        <w:rPr/>
      </w:pPr>
      <w:r>
        <w:rPr/>
        <w:t>4.4 Iterações e decisões de projecto</w:t>
      </w:r>
    </w:p>
    <w:p>
      <w:pPr>
        <w:pStyle w:val="TextoNormal-IPCA"/>
        <w:rPr/>
      </w:pPr>
      <w:r>
        <w:rPr/>
        <w:t>A evolução dos modelos foi documentada com base em episódios em que uma configuração, uma malha ou uma montagem tornou visível uma limitação e conduziu a uma alteração específica. A Tabela 4.11 resume os episódios com maior influência na estrutura paramétrica. As alterações posteriores ao fecho da comparação principal são apresentadas como desenvolvimento subsequente e não como resultados retroactivos dos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1448"/>
        <w:gridCol w:w="2366"/>
        <w:gridCol w:w="2559"/>
        <w:gridCol w:w="2414"/>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Data</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15–16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Ficheiros Paraglider dispersos e nomes incompatíveis com a plataforma</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Consolidação da família num modelo com componentes e duas palmas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Integrar um modelo aberto exige declarar dependências, variantes e campos comuns antes de expor parâmetros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28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Reborn permanecia no tamanho médio apesar de variar palm_breadth_mm</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Compensação da escala 1,25 preservada no módulo carregado por use</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resposta de um controlo não pode ser inferida pelo nome; deve ser confirmada na malha gerada</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HandPerc_override permitia ao Phoenix contornar o limite mínimo de 100%</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Aplicação do mesmo intervalo de 100%–160% aos dois percursos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t>Limites equivalentes devem actuar em todos os percursos que conduzem à mesma transformação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IA alterava a lateralidade apesar de esta ser uma decisão binária do projecto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Lateralidade transferida para a interface determinística e excluída das sugestões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Decisões inequívocas e críticas não devem permanecer num processo probabilístico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9–10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 sem controlo independente dos segmentos e com desalinhamentos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Calibração do alcance, divisão proximal–distal e reposicionamento sobre os eixos MCP/PIP</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adaptação paramétrica exige preservar interfaces articulares enquanto se altera o alcance dos segmentos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desligada da circunferência do punho e polegar sem correspondência estável</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dimensionada por circunferência/π, assentamento automático no pino e calibração do polegar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Mão, punho e antebraço não devem depender de uma única escala global</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10–11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Dedos Phoenix constituídos por malhas fixas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Divisão das colunas e alongamento apenas das faixas sem furos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Modelos de malha podem receber variação local se as zonas funcionais forem isoladas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Flexy sem ligação directa ao mapa do punho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Adopção da braçadeira comum do Cyborg e de wrist_circumference_mm</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Uma gramática comum deve ligar a mesma medida corporal a funções equivalentes entre modelos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Grupos e nomes de controlos equivalentes variavam entre modelos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Ordem comum; LeftRight passou a mirrored no Phoenix e show_assembled passou a print_layout no Paraglider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coerência da interface beneficia de nomes comuns para decisões equivalentes, sem uniformizar diferenças geométricas legítimas</w:t>
            </w:r>
          </w:p>
        </w:tc>
      </w:tr>
    </w:tbl>
    <w:p>
      <w:pPr>
        <w:pStyle w:val="TextoNormal-IPCA"/>
        <w:rPr/>
      </w:pPr>
      <w:r>
        <w:rP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rPr/>
      </w:pPr>
      <w:r>
        <w:rPr/>
        <w:t>O estado final examinado corresponde a 14 de Julho de 2026. 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 Fab</w:t>
      </w:r>
    </w:p>
    <w:p>
      <w:pPr>
        <w:pStyle w:val="Nota-IPCA"/>
        <w:rPr/>
      </w:pPr>
      <w:r>
        <w:rPr/>
        <w:t>Fonte: produção própria.</w:t>
      </w:r>
    </w:p>
    <w:p>
      <w:pPr>
        <w:pStyle w:val="TextoNormal-IPCA"/>
        <w:rPr/>
      </w:pPr>
      <w:r>
        <w:rP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Etapa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Configuração do modelo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3</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4</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Web Worker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OFF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7</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Malha STL ou pacote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8</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9</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t>A Tabela 5.2 identifica o estado técnico necessário para interpretar o artefacto sem converter esta dissertação numa descrição exaustiva da implementação. Os estados e componentes são registados porque condicionam a leitura dos ensaios; a sua enumeração não constitui comparação entre tecnologias.</w:t>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 xml:space="preserve">Função no processo de </w:t>
            </w:r>
            <w:r>
              <w:rPr>
                <w:rFonts w:eastAsia="Calibri"/>
                <w:b/>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commentRangeStart w:id="11"/>
            <w:r>
              <w:rPr>
                <w:rFonts w:eastAsia="Calibri"/>
                <w:b/>
                <w:kern w:val="0"/>
                <w:szCs w:val="24"/>
                <w:lang w:val="pt-PT" w:eastAsia="en-US" w:bidi="ar-SA"/>
              </w:rPr>
              <w:t>Limite da evidência</w:t>
            </w:r>
            <w:commentRangeEnd w:id="11"/>
            <w:r>
              <w:commentReference w:id="11"/>
            </w:r>
            <w:r>
              <w:rPr>
                <w:rFonts w:eastAsia="Calibri"/>
                <w:b/>
                <w:kern w:val="0"/>
                <w:szCs w:val="24"/>
                <w:lang w:val="pt-PT" w:eastAsia="en-US" w:bidi="ar-SA"/>
              </w:rPr>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 demonstração pública em handfab.pedrocandeias.net</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O tempo e a conclusão dependem do modelo e dos recursos do equipamento; não houve estudo comparativo de desempenho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O funcionamento foi examinado em casos delimitados; não foram avaliados carga, acessos simultâneos ou segurança integral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Adequado ao protótipo examinado; não foi comparado com outras soluções nem testado em utilização intensiva</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Anthropic ou OpenAI, seleccionável; claude-sonnet-4-6 no ensaio reportado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a argumentação do projeto.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a captura anatómica por digitalização não foi implementada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12"/>
      <w:r>
        <w:rPr/>
        <w:t>geração contínua</w:t>
      </w:r>
      <w:r>
        <w:rPr/>
      </w:r>
      <w:commentRangeEnd w:id="12"/>
      <w:r>
        <w:commentReference w:id="12"/>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w:t>
      </w:r>
      <w:commentRangeStart w:id="13"/>
      <w:r>
        <w:rPr/>
        <w:t>, sem demonstrar, por si só, acessibilidade ou facilidade de utilização</w:t>
      </w:r>
      <w:r>
        <w:rPr/>
      </w:r>
      <w:commentRangeEnd w:id="13"/>
      <w:r>
        <w:commentReference w:id="13"/>
      </w:r>
      <w:r>
        <w:rPr/>
        <w:t xml:space="preserv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w:t>
      </w:r>
      <w:r>
        <w:rPr/>
        <w:t xml:space="preserve">uma </w:t>
      </w:r>
      <w:r>
        <w:rPr/>
        <w:t xml:space="preserve">caixa negra geométrica. A plataforma não substitui o OpenSCAD por uma representação simplificada desligada do código; antes, torna o próprio núcleo algorítmico operável em ambiente </w:t>
      </w:r>
      <w:r>
        <w:rPr>
          <w:i/>
          <w:iCs/>
        </w:rPr>
        <w:t>web</w:t>
      </w:r>
      <w:r>
        <w:rPr/>
        <w:t xml:space="preserve">. Esta integração </w:t>
      </w:r>
      <w:r>
        <w:rPr/>
        <w:t xml:space="preserve">permite ainda </w:t>
      </w:r>
      <w:r>
        <w:rPr/>
        <w:t>reduz</w:t>
      </w:r>
      <w:r>
        <w:rPr/>
        <w:t>ir</w:t>
      </w:r>
      <w:r>
        <w:rPr/>
        <w:t xml:space="preserve">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Em vez de expor o utilizador a um ambiente indiferenciado de opções, a plataforma reparte o trabalho por etapas e componentes com funções distintas. Esta organização é coerente com a literatura sobre configuradores digitai</w:t>
      </w:r>
      <w:r>
        <w:rPr/>
        <w:t>s que realça que</w:t>
      </w:r>
      <w:r>
        <w:rPr/>
        <w:t xml:space="preserv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 xml:space="preserve">Por fim, o módulo administrativo suporta a criação de contas </w:t>
      </w:r>
      <w:r>
        <w:rPr/>
        <w:t>de utilizador</w:t>
      </w:r>
      <w:r>
        <w:rPr/>
        <w:t xml:space="preserve">, a diferenciação de permissões e a atribuição de utilizadores a técnicos. </w:t>
      </w:r>
      <w:r>
        <w:rPr/>
        <w:t>Esta funcionalidade</w:t>
      </w:r>
      <w:r>
        <w:rPr/>
        <w:t xml:space="preserve"> permite representar diferentes níveis de intervenção no protótipo. </w:t>
      </w:r>
      <w:commentRangeStart w:id="14"/>
      <w:r>
        <w:rPr/>
        <w:t xml:space="preserve">Os resultados funcionais disponíveis são </w:t>
      </w:r>
      <w:r>
        <w:rPr/>
        <w:t xml:space="preserve">discutidos </w:t>
      </w:r>
      <w:r>
        <w:rPr/>
        <w:t>na Secção 8.1 e no Anexo B.</w:t>
      </w:r>
      <w:commentRangeEnd w:id="14"/>
      <w:r>
        <w:commentReference w:id="14"/>
      </w:r>
      <w:r>
        <w:rPr/>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w:t>
            </w:r>
            <w:r>
              <w:rPr/>
              <w:t>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w:t>
            </w:r>
            <w:r>
              <w:rPr/>
              <w:t xml:space="preserve"> Prusa Mini</w:t>
            </w:r>
            <w:r>
              <w:rPr/>
              <w:t xml:space="preserve">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Dimensional, IA, exportação, malha, ficheiro de preparação para </w:t>
            </w:r>
            <w:r>
              <w:rPr/>
              <w:t xml:space="preserve">Bambu Lab A1, </w:t>
            </w:r>
            <w:r>
              <w:rPr/>
              <w:t xml:space="preserve">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MakerBlock/e-NABLE; CC BY-NC-SA </w:t>
            </w:r>
            <w:r>
              <w:rPr/>
              <w:t>3</w:t>
            </w:r>
            <w:r>
              <w:rPr/>
              <w:t>.0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 xml:space="preserve">Na documentação original, o Flexy Beast é apresentado como uma combinação do Parametric Cyborg Beast, de MakerBlock, com o Flexy Hand, de Steve Wood/Gyrobot,  </w:t>
      </w:r>
      <w:r>
        <w:rPr/>
        <w:t>h</w:t>
      </w:r>
      <w:r>
        <w:rPr/>
        <w:t>erda</w:t>
      </w:r>
      <w:r>
        <w:rPr/>
        <w:t>ndo</w:t>
      </w:r>
      <w:r>
        <w:rPr/>
        <w:t xml:space="preserve"> deste último </w:t>
      </w:r>
      <w:r>
        <w:rPr/>
        <w:t>modelo</w:t>
      </w:r>
      <w:r>
        <w:rPr/>
        <w:t xml:space="preserve"> </w:t>
      </w:r>
      <w:r>
        <w:rPr/>
        <w:t xml:space="preserve">as </w:t>
      </w:r>
      <w:r>
        <w:rPr/>
        <w:t>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 xml:space="preserve">No caso do </w:t>
      </w:r>
      <w:r>
        <w:rPr/>
        <w:t xml:space="preserve">modelo </w:t>
      </w:r>
      <w:r>
        <w:rPr/>
        <w:t>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 e não constituem avaliação centrada no utilizador, porque nenhuma pessoa participou no estudo.</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apenas no material técnico suplementar.</w:t>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inferência paramétrica sem medições directas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directas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rPr/>
      </w:pPr>
      <w:r>
        <w:rP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rPr/>
      </w:pPr>
      <w:r>
        <w:rPr/>
        <w:t>A lateralidade foi examinada num ensaio separado com 12 pedidos repetidos. Onze pedidos produziram resposta interpretável e um terminou por falha de análise. Nos sete pedidos de mão esquerda com resposta, o campo mirrored indicou mão direita; os quatro pedidos de mão direita foram devolvidos como mão direita. A alteração subsequente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a IA preservou os valores directamente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uma medição directa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o sistema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antes da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 respostas correctas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após 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 xml:space="preserve">A bateria complementar reuniu 15 cenários com descrições vagas, comparativas, multilingues, sem medidas ou com valores fora dos limites. Os registos preservam as descrições submetidas e as respostas, mas o estudo não reuniu extracções suficientes para estimar estatisticamente a estabilidade do modelo de linguagem. Em algumas execuções, parâmetros de </w:t>
      </w:r>
      <w:r>
        <w:rPr>
          <w:i/>
          <w:iCs/>
        </w:rPr>
        <w:t>hardware</w:t>
      </w:r>
      <w:r>
        <w:rPr/>
        <w:t xml:space="preserve"> foram incluídos; noutras, permaneceram nos valores correntes. Assim, a conclusão limita-se à conformidade dos casos registados e ao valor das salvaguardas determinísticas. Descrições equivalentes podem originar números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nos intervalos declarados. O ensaio compara a resposta dimensional das geometrias; não avalia ajuste ao corpo, conforto, função ou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Respondeu aos três perfis após a correcção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correcção, um percurso alternativo do Phoenix produziu um factor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rPr/>
      </w:pPr>
      <w:r>
        <w:rPr/>
        <w:t>A correcção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Heading3"/>
        <w:numPr>
          <w:ilvl w:val="0"/>
          <w:numId w:val="0"/>
        </w:numPr>
        <w:ind w:hanging="0" w:start="0"/>
        <w:rPr/>
      </w:pPr>
      <w:r>
        <w:rPr/>
        <w:t>8.4 Discussão dos resultados face aos objectivos</w:t>
      </w:r>
    </w:p>
    <w:p>
      <w:pPr>
        <w:pStyle w:val="TextoNormal-IPCA"/>
        <w:rPr/>
      </w:pPr>
      <w:r>
        <w:rPr/>
        <w:t xml:space="preserve">Face aos objectivos,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projecto,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correcções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e requisito seleccionado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Limite remanescente</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estabelece relações empíricas entre medidas objectivas,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medidos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e interacção: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arquitectura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 arquitectura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avaliados custo total,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correcções,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de projecto documentado, e não como validação de uma solução protésica pronta para utilização.</w:t>
      </w:r>
    </w:p>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mão protésica com base em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rPr/>
      </w:pPr>
      <w:r>
        <w:rPr/>
        <w:t xml:space="preserve">Quanto à primeira pergunta aprovada, o </w:t>
      </w:r>
      <w:r>
        <w:rPr>
          <w:i/>
          <w:iCs/>
        </w:rPr>
        <w:t>design</w:t>
      </w:r>
      <w:r>
        <w:rPr/>
        <w:t xml:space="preserve"> paramétrico e a IA apoiaram parcialmente a personalização por meio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o ajuste, a acessibilidade do processo e o controlo das decisões de projecto. Não foram medidos conforto percebido, adequação anatómica individual ou desempenho funcional em utilização.</w:t>
      </w:r>
    </w:p>
    <w:p>
      <w:pPr>
        <w:pStyle w:val="TextoNormal-IPCA"/>
        <w:rPr/>
      </w:pPr>
      <w:r>
        <w:rPr/>
        <w:t xml:space="preserve">Quanto à segunda pergunta aprovada, a combinação de ciclos de </w:t>
      </w:r>
      <w:r>
        <w:rPr>
          <w:i/>
          <w:iCs/>
        </w:rPr>
        <w:t>Research Through Design</w:t>
      </w:r>
      <w:r>
        <w:rPr/>
        <w:t>, ensaios unitários, cenários simulados, inspecção de respostas JSON, medição de malhas, exportação, preparação para impressão, observação e medição de peças físicas permitiu avaliar parcialmente a coerência e a repetição técnica de diferentes etapas. A Série B acrescentou uma comparação digital sob condição comum; a análise dimensional reuniu 36 extensões X/Y/Z das malhas e 72 medições das palmas em PLA e PETG. Estes métodos não avaliaram eficácia protésica, usabilidade com participantes ou durabilidade. A comparação dimensional permanece descritiva e não estima a incerteza de medição; montagem completa e ensaios de utilização ficaram igualmente fora do âmbito avaliado.</w:t>
      </w:r>
    </w:p>
    <w:p>
      <w:pPr>
        <w:pStyle w:val="TextoNormal-IPCA"/>
        <w:rPr/>
      </w:pPr>
      <w:r>
        <w:rPr/>
        <w:t xml:space="preserve">Quanto à terceira pergunta aprovada, o </w:t>
      </w:r>
      <w:r>
        <w:rPr>
          <w:i/>
          <w:iCs/>
        </w:rPr>
        <w:t>design</w:t>
      </w:r>
      <w:r>
        <w:rPr/>
        <w:t xml:space="preserve">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 pessoas concretas,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projecto: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projecto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projecto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inspeccionado e os dez ensaios unitários disponíveis foram concluídos, mas a bateria completa no navegador não foi novamente executada no fecho da dissertação.</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Os tempos, o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Uma eventual extensão metrológica poderá aprofundar a comparação dimensional já realizada. As medidas de entrada, as extensões X/Y/Z das malhas e um valor físico por eixo para as palmas em PLA e PETG encontram-se registados no Anexo D. Caso um estudo futuro pretenda calcular média, amplitude e incerteza associada ao reposicionamento do paquímetro, deverá efectuar três leituras independentes por eixo. Esta extensão é opcional e não é necessária para a comparação descritiva nem para as conclusões apresentadas nesta dissertação. Os pontos usados correspondem a extremos geométricos e não são apresentados como pontos anatómicos sem demonstração da sua equivalência.</w:t>
      </w:r>
    </w:p>
    <w:p>
      <w:pPr>
        <w:pStyle w:val="TextoNormal-IPCA"/>
        <w:rPr/>
      </w:pPr>
      <w:r>
        <w:rPr/>
        <w:t>Uma eventual extensão orientada para a estabilidade do modelo de linguagem poderá executar cada cenário várias vezes, com registo do modelo, dos parâmetros de geração, da resposta completa, dos erros, dos campos omitidos e da taxa de cumprimento de cada regra. Esta extensão permitiria caracterizar a dispersão entre chamadas, mas não é necessária para as conclusões delimitadas apresentadas nesta dissertação. Independentemente dessa campanha, a interface deverá mostrar a fonte populacional usada, os dados em falta e avisos quando a dimensão estimada fica fora da gama do modelo escolhido. A validação do esquema JSON deverá ocorrer no servidor antes de a sugestão chegar à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de dados da mão com dados de várias populações,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extracção e codificação de dados antropométricos da mão</w:t>
      </w:r>
    </w:p>
    <w:p>
      <w:pPr>
        <w:pStyle w:val="TextoNormal-IPCA"/>
        <w:keepNext w:val="true"/>
        <w:spacing w:before="240" w:after="160"/>
        <w:rPr/>
      </w:pPr>
      <w:r>
        <w:rPr>
          <w:b/>
          <w:sz w:val="28"/>
          <w:szCs w:val="28"/>
        </w:rPr>
        <w:t>Índice do Anexo A</w:t>
      </w:r>
    </w:p>
    <w:p>
      <w:pPr>
        <w:pStyle w:val="ndicedoAnexo2"/>
        <w:rPr/>
      </w:pPr>
      <w:r>
        <w:rPr/>
        <w:t>A.1 Contexto e Objectivo</w:t>
        <w:tab/>
        <w:t>119</w:t>
      </w:r>
    </w:p>
    <w:p>
      <w:pPr>
        <w:pStyle w:val="ndicedoAnexo2"/>
        <w:rPr/>
      </w:pPr>
      <w:r>
        <w:rPr/>
        <w:t>A.2 Estratégia de Pesquisa Bibliográfica</w:t>
        <w:tab/>
        <w:t>119</w:t>
      </w:r>
    </w:p>
    <w:p>
      <w:pPr>
        <w:pStyle w:val="ndicedoAnexo3"/>
        <w:tabs>
          <w:tab w:val="clear" w:pos="708"/>
          <w:tab w:val="right" w:pos="8204" w:leader="dot"/>
        </w:tabs>
        <w:rPr/>
      </w:pPr>
      <w:r>
        <w:rPr/>
        <w:t>A.2.1 Pesquisa bibliográfica orientada</w:t>
        <w:tab/>
        <w:t>119</w:t>
      </w:r>
    </w:p>
    <w:p>
      <w:pPr>
        <w:pStyle w:val="ndicedoAnexo3"/>
        <w:tabs>
          <w:tab w:val="clear" w:pos="708"/>
          <w:tab w:val="right" w:pos="8204" w:leader="dot"/>
        </w:tabs>
        <w:rPr/>
      </w:pPr>
      <w:r>
        <w:rPr/>
        <w:t>A.2.2 Base ANSUR 1988</w:t>
        <w:tab/>
        <w:t>119</w:t>
      </w:r>
    </w:p>
    <w:p>
      <w:pPr>
        <w:pStyle w:val="ndicedoAnexo2"/>
        <w:rPr/>
      </w:pPr>
      <w:r>
        <w:rPr/>
        <w:t>A.3 Critérios de Inclusão e Exclusão de Estudos</w:t>
        <w:tab/>
        <w:t>119</w:t>
      </w:r>
    </w:p>
    <w:p>
      <w:pPr>
        <w:pStyle w:val="ndicedoAnexo3"/>
        <w:tabs>
          <w:tab w:val="clear" w:pos="708"/>
          <w:tab w:val="right" w:pos="8204" w:leader="dot"/>
        </w:tabs>
        <w:rPr/>
      </w:pPr>
      <w:r>
        <w:rPr/>
        <w:t>A.3.1 Critérios de inclusão</w:t>
        <w:tab/>
        <w:t>119</w:t>
      </w:r>
    </w:p>
    <w:p>
      <w:pPr>
        <w:pStyle w:val="ndicedoAnexo3"/>
        <w:tabs>
          <w:tab w:val="clear" w:pos="708"/>
          <w:tab w:val="right" w:pos="8204" w:leader="dot"/>
        </w:tabs>
        <w:rPr/>
      </w:pPr>
      <w:r>
        <w:rPr/>
        <w:t>A.3.2 Critérios de exclusão</w:t>
        <w:tab/>
        <w:t>119</w:t>
      </w:r>
    </w:p>
    <w:p>
      <w:pPr>
        <w:pStyle w:val="ndicedoAnexo2"/>
        <w:rPr/>
      </w:pPr>
      <w:r>
        <w:rPr/>
        <w:t>A.4 Processo de Extracção de Dados</w:t>
        <w:tab/>
        <w:t>119</w:t>
      </w:r>
    </w:p>
    <w:p>
      <w:pPr>
        <w:pStyle w:val="ndicedoAnexo3"/>
        <w:tabs>
          <w:tab w:val="clear" w:pos="708"/>
          <w:tab w:val="right" w:pos="8204" w:leader="dot"/>
        </w:tabs>
        <w:rPr/>
      </w:pPr>
      <w:r>
        <w:rPr/>
        <w:t>A.4.1 Leitura dos PDFs e localização das tabelas</w:t>
        <w:tab/>
        <w:t>119</w:t>
      </w:r>
    </w:p>
    <w:p>
      <w:pPr>
        <w:pStyle w:val="ndicedoAnexo3"/>
        <w:tabs>
          <w:tab w:val="clear" w:pos="708"/>
          <w:tab w:val="right" w:pos="8204" w:leader="dot"/>
        </w:tabs>
        <w:rPr/>
      </w:pPr>
      <w:r>
        <w:rPr/>
        <w:t>A.4.2 Identificação das unidades e conversão</w:t>
        <w:tab/>
        <w:t>119</w:t>
      </w:r>
    </w:p>
    <w:p>
      <w:pPr>
        <w:pStyle w:val="ndicedoAnexo3"/>
        <w:tabs>
          <w:tab w:val="clear" w:pos="708"/>
          <w:tab w:val="right" w:pos="8204" w:leader="dot"/>
        </w:tabs>
        <w:rPr/>
      </w:pPr>
      <w:r>
        <w:rPr/>
        <w:t>A.4.3 Decomposição em linhas atómicas</w:t>
        <w:tab/>
        <w:t>119</w:t>
      </w:r>
    </w:p>
    <w:p>
      <w:pPr>
        <w:pStyle w:val="ndicedoAnexo3"/>
        <w:tabs>
          <w:tab w:val="clear" w:pos="708"/>
          <w:tab w:val="right" w:pos="8204" w:leader="dot"/>
        </w:tabs>
        <w:rPr/>
      </w:pPr>
      <w:r>
        <w:rPr/>
        <w:t>A.4.4 Registo fiel do contexto da medição</w:t>
        <w:tab/>
        <w:t>119</w:t>
      </w:r>
    </w:p>
    <w:p>
      <w:pPr>
        <w:pStyle w:val="ndicedoAnexo2"/>
        <w:rPr/>
      </w:pPr>
      <w:r>
        <w:rPr/>
        <w:t>A.5 Decisões por Estudo</w:t>
        <w:tab/>
        <w:t>119</w:t>
      </w:r>
    </w:p>
    <w:p>
      <w:pPr>
        <w:pStyle w:val="ndicedoAnexo3"/>
        <w:tabs>
          <w:tab w:val="clear" w:pos="708"/>
          <w:tab w:val="right" w:pos="8204" w:leader="dot"/>
        </w:tabs>
        <w:rPr/>
      </w:pPr>
      <w:r>
        <w:rPr/>
        <w:t>A.5.1 ANSUR 1988 — EUA, militares (Gordon et al., 1989)</w:t>
        <w:tab/>
        <w:t>119</w:t>
      </w:r>
    </w:p>
    <w:p>
      <w:pPr>
        <w:pStyle w:val="ndicedoAnexo3"/>
        <w:tabs>
          <w:tab w:val="clear" w:pos="708"/>
          <w:tab w:val="right" w:pos="8204" w:leader="dot"/>
        </w:tabs>
        <w:rPr/>
      </w:pPr>
      <w:r>
        <w:rPr/>
        <w:t>A.5.2 Turquia — jovens adultos (Chatzioglou et al., 2024)</w:t>
        <w:tab/>
        <w:t>119</w:t>
      </w:r>
    </w:p>
    <w:p>
      <w:pPr>
        <w:pStyle w:val="ndicedoAnexo3"/>
        <w:tabs>
          <w:tab w:val="clear" w:pos="708"/>
          <w:tab w:val="right" w:pos="8204" w:leader="dot"/>
        </w:tabs>
        <w:rPr/>
      </w:pPr>
      <w:r>
        <w:rPr/>
        <w:t>A.5.3 México — população geral (Rodríguez-Vega &amp; Rodríguez-Vega, 2024)</w:t>
        <w:tab/>
        <w:t>119</w:t>
      </w:r>
    </w:p>
    <w:p>
      <w:pPr>
        <w:pStyle w:val="ndicedoAnexo3"/>
        <w:tabs>
          <w:tab w:val="clear" w:pos="708"/>
          <w:tab w:val="right" w:pos="8204" w:leader="dot"/>
        </w:tabs>
        <w:rPr/>
      </w:pPr>
      <w:r>
        <w:rPr/>
        <w:t>A.5.4 Índia — mulheres trabalhadoras (Nag et al., 2003)</w:t>
        <w:tab/>
        <w:t>119</w:t>
      </w:r>
    </w:p>
    <w:p>
      <w:pPr>
        <w:pStyle w:val="ndicedoAnexo3"/>
        <w:tabs>
          <w:tab w:val="clear" w:pos="708"/>
          <w:tab w:val="right" w:pos="8204" w:leader="dot"/>
        </w:tabs>
        <w:rPr/>
      </w:pPr>
      <w:r>
        <w:rPr/>
        <w:t>A.5.5 Portugal — trabalhadores industriais (Anacleto Filho et al., 2023)</w:t>
        <w:tab/>
        <w:t>119</w:t>
      </w:r>
    </w:p>
    <w:p>
      <w:pPr>
        <w:pStyle w:val="ndicedoAnexo3"/>
        <w:tabs>
          <w:tab w:val="clear" w:pos="708"/>
          <w:tab w:val="right" w:pos="8204" w:leader="dot"/>
        </w:tabs>
        <w:rPr/>
      </w:pPr>
      <w:r>
        <w:rPr/>
        <w:t>A.5.6 Nigéria — atletas universitários (Ibiwari et al., 2025)</w:t>
        <w:tab/>
        <w:t>119</w:t>
      </w:r>
    </w:p>
    <w:p>
      <w:pPr>
        <w:pStyle w:val="ndicedoAnexo3"/>
        <w:tabs>
          <w:tab w:val="clear" w:pos="708"/>
          <w:tab w:val="right" w:pos="8204" w:leader="dot"/>
        </w:tabs>
        <w:rPr/>
      </w:pPr>
      <w:r>
        <w:rPr/>
        <w:t>A.5.7 Jordânia — trabalhadores com deficiência (Mistarihi, 2020)</w:t>
        <w:tab/>
        <w:t>119</w:t>
      </w:r>
    </w:p>
    <w:p>
      <w:pPr>
        <w:pStyle w:val="ndicedoAnexo3"/>
        <w:tabs>
          <w:tab w:val="clear" w:pos="708"/>
          <w:tab w:val="right" w:pos="8204" w:leader="dot"/>
        </w:tabs>
        <w:rPr/>
      </w:pPr>
      <w:r>
        <w:rPr/>
        <w:t>A.5.8 EUA — dedo indicador (Lim et al., 2018)</w:t>
        <w:tab/>
        <w:t>119</w:t>
      </w:r>
    </w:p>
    <w:p>
      <w:pPr>
        <w:pStyle w:val="ndicedoAnexo3"/>
        <w:tabs>
          <w:tab w:val="clear" w:pos="708"/>
          <w:tab w:val="right" w:pos="8204" w:leader="dot"/>
        </w:tabs>
        <w:rPr/>
      </w:pPr>
      <w:r>
        <w:rPr/>
        <w:t>A.5.9 Estudo excluído: Moreo (2016)</w:t>
        <w:tab/>
        <w:t>119</w:t>
      </w:r>
    </w:p>
    <w:p>
      <w:pPr>
        <w:pStyle w:val="ndicedoAnexo3"/>
        <w:tabs>
          <w:tab w:val="clear" w:pos="708"/>
          <w:tab w:val="right" w:pos="8204" w:leader="dot"/>
        </w:tabs>
        <w:rPr/>
      </w:pPr>
      <w:r>
        <w:rPr/>
        <w:t>A.5.10 EUA — militares ANSUR II (Gordon et al., 2015)</w:t>
        <w:tab/>
        <w:t>119</w:t>
      </w:r>
    </w:p>
    <w:p>
      <w:pPr>
        <w:pStyle w:val="ndicedoAnexo3"/>
        <w:tabs>
          <w:tab w:val="clear" w:pos="708"/>
          <w:tab w:val="right" w:pos="8204" w:leader="dot"/>
        </w:tabs>
        <w:rPr/>
      </w:pPr>
      <w:r>
        <w:rPr/>
        <w:t>A.5.11 Países Baixos — DINED (TU Delft, 1993–2004)</w:t>
        <w:tab/>
        <w:t>119</w:t>
      </w:r>
    </w:p>
    <w:p>
      <w:pPr>
        <w:pStyle w:val="ndicedoAnexo3"/>
        <w:tabs>
          <w:tab w:val="clear" w:pos="708"/>
          <w:tab w:val="right" w:pos="8204" w:leader="dot"/>
        </w:tabs>
        <w:rPr/>
      </w:pPr>
      <w:r>
        <w:rPr/>
        <w:t>A.5.12 China — idosos de Pequim (Hu et al., 2007)</w:t>
        <w:tab/>
        <w:t>119</w:t>
      </w:r>
    </w:p>
    <w:p>
      <w:pPr>
        <w:pStyle w:val="ndicedoAnexo3"/>
        <w:tabs>
          <w:tab w:val="clear" w:pos="708"/>
          <w:tab w:val="right" w:pos="8204" w:leader="dot"/>
        </w:tabs>
        <w:rPr/>
      </w:pPr>
      <w:r>
        <w:rPr/>
        <w:t>A.5.13 Estudo excluído: reconstrução corporal 3D a partir de fotografias ortogonais</w:t>
        <w:tab/>
        <w:t>119</w:t>
      </w:r>
    </w:p>
    <w:p>
      <w:pPr>
        <w:pStyle w:val="ndicedoAnexo2"/>
        <w:rPr/>
      </w:pPr>
      <w:r>
        <w:rPr/>
        <w:t>A.6 Estrutura do CSV e esquema de dados</w:t>
        <w:tab/>
        <w:t>119</w:t>
      </w:r>
    </w:p>
    <w:p>
      <w:pPr>
        <w:pStyle w:val="ndicedoAnexo3"/>
        <w:tabs>
          <w:tab w:val="clear" w:pos="708"/>
          <w:tab w:val="right" w:pos="8204" w:leader="dot"/>
        </w:tabs>
        <w:rPr/>
      </w:pPr>
      <w:r>
        <w:rPr/>
        <w:t>A.6.1 Campos</w:t>
        <w:tab/>
        <w:t>119</w:t>
      </w:r>
    </w:p>
    <w:p>
      <w:pPr>
        <w:pStyle w:val="ndicedoAnexo3"/>
        <w:tabs>
          <w:tab w:val="clear" w:pos="708"/>
          <w:tab w:val="right" w:pos="8204" w:leader="dot"/>
        </w:tabs>
        <w:rPr/>
      </w:pPr>
      <w:r>
        <w:rPr/>
        <w:t>A.6.2 Formato longo (long format)</w:t>
        <w:tab/>
        <w:t>119</w:t>
      </w:r>
    </w:p>
    <w:p>
      <w:pPr>
        <w:pStyle w:val="ndicedoAnexo2"/>
        <w:rPr/>
      </w:pPr>
      <w:r>
        <w:rPr/>
        <w:t>A.7 Controlo de Qualidade dos Dados</w:t>
        <w:tab/>
        <w:t>119</w:t>
      </w:r>
    </w:p>
    <w:p>
      <w:pPr>
        <w:pStyle w:val="ndicedoAnexo3"/>
        <w:tabs>
          <w:tab w:val="clear" w:pos="708"/>
          <w:tab w:val="right" w:pos="8204" w:leader="dot"/>
        </w:tabs>
        <w:rPr/>
      </w:pPr>
      <w:r>
        <w:rPr/>
        <w:t>A.7.1 Marcação inline de limitações</w:t>
        <w:tab/>
        <w:t>119</w:t>
      </w:r>
    </w:p>
    <w:p>
      <w:pPr>
        <w:pStyle w:val="ndicedoAnexo3"/>
        <w:tabs>
          <w:tab w:val="clear" w:pos="708"/>
          <w:tab w:val="right" w:pos="8204" w:leader="dot"/>
        </w:tabs>
        <w:rPr/>
      </w:pPr>
      <w:r>
        <w:rPr/>
        <w:t>A.7.2 Verificação de unidades</w:t>
        <w:tab/>
        <w:t>119</w:t>
      </w:r>
    </w:p>
    <w:p>
      <w:pPr>
        <w:pStyle w:val="ndicedoAnexo3"/>
        <w:tabs>
          <w:tab w:val="clear" w:pos="708"/>
          <w:tab w:val="right" w:pos="8204" w:leader="dot"/>
        </w:tabs>
        <w:rPr/>
      </w:pPr>
      <w:r>
        <w:rPr/>
        <w:t>A.7.3 Ligação à fonte</w:t>
        <w:tab/>
        <w:t>119</w:t>
      </w:r>
    </w:p>
    <w:p>
      <w:pPr>
        <w:pStyle w:val="ndicedoAnexo2"/>
        <w:rPr/>
      </w:pPr>
      <w:r>
        <w:rPr/>
        <w:t>A.8 Escrita do Código de Geração</w:t>
        <w:tab/>
        <w:t>119</w:t>
      </w:r>
    </w:p>
    <w:p>
      <w:pPr>
        <w:pStyle w:val="ndicedoAnexo3"/>
        <w:tabs>
          <w:tab w:val="clear" w:pos="708"/>
          <w:tab w:val="right" w:pos="8204" w:leader="dot"/>
        </w:tabs>
        <w:rPr/>
      </w:pPr>
      <w:r>
        <w:rPr/>
        <w:t>A.8.1 Correspondência entre os CSV e os parâmetros da plataforma</w:t>
        <w:tab/>
        <w:t>119</w:t>
      </w:r>
    </w:p>
    <w:p>
      <w:pPr>
        <w:pStyle w:val="ndicedoAnexo2"/>
        <w:rPr/>
      </w:pPr>
      <w:r>
        <w:rPr/>
        <w:t>A.9 Resultado Final</w:t>
        <w:tab/>
        <w:t>119</w:t>
      </w:r>
    </w:p>
    <w:p>
      <w:pPr>
        <w:pStyle w:val="ndicedoAnexo2"/>
        <w:rPr/>
      </w:pPr>
      <w:r>
        <w:rPr/>
        <w:t>A.10 Cobertura Global da Base de Dados e Lacunas</w:t>
        <w:tab/>
        <w:t>119</w:t>
      </w:r>
    </w:p>
    <w:p>
      <w:pPr>
        <w:pStyle w:val="ndicedoAnexo3"/>
        <w:tabs>
          <w:tab w:val="clear" w:pos="708"/>
          <w:tab w:val="right" w:pos="8204" w:leader="dot"/>
        </w:tabs>
        <w:rPr/>
      </w:pPr>
      <w:r>
        <w:rPr/>
        <w:t>A.10.1 O que está coberto</w:t>
        <w:tab/>
        <w:t>119</w:t>
      </w:r>
    </w:p>
    <w:p>
      <w:pPr>
        <w:pStyle w:val="ndicedoAnexo4"/>
        <w:tabs>
          <w:tab w:val="clear" w:pos="708"/>
          <w:tab w:val="right" w:pos="8204" w:leader="dot"/>
        </w:tabs>
        <w:rPr/>
      </w:pPr>
      <w:r>
        <w:rPr/>
        <w:t>A.10.1.1 Cobertura geográfica</w:t>
        <w:tab/>
        <w:t>120</w:t>
      </w:r>
    </w:p>
    <w:p>
      <w:pPr>
        <w:pStyle w:val="ndicedoAnexo4"/>
        <w:tabs>
          <w:tab w:val="clear" w:pos="708"/>
          <w:tab w:val="right" w:pos="8204" w:leader="dot"/>
        </w:tabs>
        <w:rPr/>
      </w:pPr>
      <w:r>
        <w:rPr/>
        <w:t>A.10.1.2 Cobertura etária</w:t>
        <w:tab/>
        <w:t>120</w:t>
      </w:r>
    </w:p>
    <w:p>
      <w:pPr>
        <w:pStyle w:val="ndicedoAnexo4"/>
        <w:tabs>
          <w:tab w:val="clear" w:pos="708"/>
          <w:tab w:val="right" w:pos="8204" w:leader="dot"/>
        </w:tabs>
        <w:rPr/>
      </w:pPr>
      <w:r>
        <w:rPr/>
        <w:t>A.10.1.3 Cobertura estatística</w:t>
        <w:tab/>
        <w:t>120</w:t>
      </w:r>
    </w:p>
    <w:p>
      <w:pPr>
        <w:pStyle w:val="ndicedoAnexo3"/>
        <w:tabs>
          <w:tab w:val="clear" w:pos="708"/>
          <w:tab w:val="right" w:pos="8204" w:leader="dot"/>
        </w:tabs>
        <w:rPr/>
      </w:pPr>
      <w:r>
        <w:rPr/>
        <w:t>A.10.2 Onde a cobertura falha</w:t>
        <w:tab/>
        <w:t>120</w:t>
      </w:r>
    </w:p>
    <w:p>
      <w:pPr>
        <w:pStyle w:val="ndicedoAnexo4"/>
        <w:tabs>
          <w:tab w:val="clear" w:pos="708"/>
          <w:tab w:val="right" w:pos="8204" w:leader="dot"/>
        </w:tabs>
        <w:rPr/>
      </w:pPr>
      <w:r>
        <w:rPr/>
        <w:t>A.10.2.1 Lacunas geográficas</w:t>
        <w:tab/>
        <w:t>120</w:t>
      </w:r>
    </w:p>
    <w:p>
      <w:pPr>
        <w:pStyle w:val="ndicedoAnexo4"/>
        <w:tabs>
          <w:tab w:val="clear" w:pos="708"/>
          <w:tab w:val="right" w:pos="8204" w:leader="dot"/>
        </w:tabs>
        <w:rPr/>
      </w:pPr>
      <w:r>
        <w:rPr/>
        <w:t>A.10.2.2 Lacunas demográficas</w:t>
        <w:tab/>
        <w:t>120</w:t>
      </w:r>
    </w:p>
    <w:p>
      <w:pPr>
        <w:pStyle w:val="ndicedoAnexo4"/>
        <w:tabs>
          <w:tab w:val="clear" w:pos="708"/>
          <w:tab w:val="right" w:pos="8204" w:leader="dot"/>
        </w:tabs>
        <w:rPr/>
      </w:pPr>
      <w:r>
        <w:rPr/>
        <w:t>A.10.2.3 Limitações qualitativas dos dados existentes</w:t>
        <w:tab/>
        <w:t>120</w:t>
      </w:r>
    </w:p>
    <w:p>
      <w:pPr>
        <w:pStyle w:val="ndicedoAnexo3"/>
        <w:tabs>
          <w:tab w:val="clear" w:pos="708"/>
          <w:tab w:val="right" w:pos="8204" w:leader="dot"/>
        </w:tabs>
        <w:rPr/>
      </w:pPr>
      <w:r>
        <w:rPr/>
        <w:t>A.10.3 Frentes identificadas para expansão futura</w:t>
        <w:tab/>
        <w:t>120</w:t>
      </w:r>
    </w:p>
    <w:p>
      <w:pPr>
        <w:pStyle w:val="ndicedoAnexo4"/>
        <w:tabs>
          <w:tab w:val="clear" w:pos="708"/>
          <w:tab w:val="right" w:pos="8204" w:leader="dot"/>
        </w:tabs>
        <w:rPr/>
      </w:pPr>
      <w:r>
        <w:rPr/>
        <w:t>A.10.3.1 Prioridade alta</w:t>
        <w:tab/>
        <w:t>120</w:t>
      </w:r>
    </w:p>
    <w:p>
      <w:pPr>
        <w:pStyle w:val="ndicedoAnexo4"/>
        <w:tabs>
          <w:tab w:val="clear" w:pos="708"/>
          <w:tab w:val="right" w:pos="8204" w:leader="dot"/>
        </w:tabs>
        <w:rPr/>
      </w:pPr>
      <w:r>
        <w:rPr/>
        <w:t>A.10.3.2 Prioridade média</w:t>
        <w:tab/>
        <w:t>120</w:t>
      </w:r>
    </w:p>
    <w:p>
      <w:pPr>
        <w:pStyle w:val="ndicedoAnexo4"/>
        <w:tabs>
          <w:tab w:val="clear" w:pos="708"/>
          <w:tab w:val="right" w:pos="8204" w:leader="dot"/>
        </w:tabs>
        <w:rPr/>
      </w:pPr>
      <w:r>
        <w:rPr/>
        <w:t>A.10.3.3 Pertinência directa para o tema da tese</w:t>
        <w:tab/>
        <w:t>120</w:t>
      </w:r>
    </w:p>
    <w:p>
      <w:pPr>
        <w:pStyle w:val="Heading3"/>
        <w:numPr>
          <w:ilvl w:val="0"/>
          <w:numId w:val="0"/>
        </w:numPr>
        <w:ind w:hanging="0" w:start="0"/>
        <w:rPr/>
      </w:pPr>
      <w:r>
        <w:rPr/>
        <w:t>A.1 Contexto e Objectivo</w:t>
      </w:r>
    </w:p>
    <w:p>
      <w:pPr>
        <w:pStyle w:val="TextoNormal-IPCA"/>
        <w:rPr/>
      </w:pPr>
      <w:r>
        <w:rP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Heading3"/>
        <w:numPr>
          <w:ilvl w:val="0"/>
          <w:numId w:val="0"/>
        </w:numPr>
        <w:ind w:hanging="0" w:start="0"/>
        <w:rPr/>
      </w:pPr>
      <w:r>
        <w:rPr/>
        <w:t>A.4.3 Decomposição em linhas atómicas</w:t>
      </w:r>
    </w:p>
    <w:p>
      <w:pPr>
        <w:pStyle w:val="Bibliography"/>
        <w:jc w:val="start"/>
        <w:rPr/>
      </w:pPr>
      <w:r>
        <w:rP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phy"/>
        <w:jc w:val="start"/>
        <w:rPr/>
      </w:pPr>
      <w:r>
        <w:rPr/>
        <w:t>Esta estrutura longa (</w:t>
      </w:r>
      <w:r>
        <w:rPr>
          <w:i/>
          <w:iCs/>
        </w:rPr>
        <w:t>long format</w:t>
      </w:r>
      <w:r>
        <w:rPr/>
        <w:t>) permite filtrar e agregar por qualquer combinação de variáveis sem necessidade de transformação prévia.</w:t>
      </w:r>
    </w:p>
    <w:p>
      <w:pPr>
        <w:pStyle w:val="Heading3"/>
        <w:numPr>
          <w:ilvl w:val="0"/>
          <w:numId w:val="0"/>
        </w:numPr>
        <w:ind w:hanging="0" w:start="0"/>
        <w:rPr/>
      </w:pPr>
      <w:r>
        <w:rPr/>
        <w:t>A.4.4 Registo fiel do contexto da medição</w:t>
      </w:r>
    </w:p>
    <w:p>
      <w:pPr>
        <w:pStyle w:val="Bibliography"/>
        <w:jc w:val="start"/>
        <w:rPr/>
      </w:pPr>
      <w:r>
        <w:rPr/>
        <w:t>O campo measurementmethodnote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Bibliography"/>
        <w:jc w:val="start"/>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ibliography"/>
        <w:jc w:val="start"/>
        <w:rPr/>
      </w:pPr>
      <w:r>
        <w:rP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dataqualitynote.</w:t>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Nota metodológica: O estudo mediu o lado esquerdo por limitação de instalações; este facto é registado em measurementmethodnote.</w:t>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reflectem uma selecção fisicamente activa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0"/>
          <w:numId w:val="0"/>
        </w:numPr>
        <w:ind w:hanging="0" w:start="0"/>
        <w:rPr/>
      </w:pPr>
      <w:r>
        <w:rPr/>
        <w:t>A.5.8 EUA — dedo indicador (Lim et al., 2018)</w:t>
      </w:r>
    </w:p>
    <w:p>
      <w:pPr>
        <w:pStyle w:val="Bibliography"/>
        <w:jc w:val="start"/>
        <w:rPr/>
      </w:pPr>
      <w:r>
        <w:rPr/>
        <w:t>Fonte: Trabalho académico UC Berkeley. n=50 adultos, idade 18–30. Apenas duas dimensões do dedo indicador (D2): comprimento MCP-ponta (média=90,9 mm) e largura na articulação PIP (média=16,9 mm). Apenas médias reportadas, sem SD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directamente relevantes para o objectivo desta dissertação. O coeficiente de determinação R² = 0,18 entre comprimento e largura do dedo é registado como indicador de correlação fraca.</w:t>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Heading3"/>
        <w:numPr>
          <w:ilvl w:val="0"/>
          <w:numId w:val="0"/>
        </w:numPr>
        <w:ind w:hanging="0" w:start="0"/>
        <w:rPr/>
      </w:pPr>
      <w:r>
        <w:rPr/>
        <w:t>A.5.10 EUA — militares ANSUR II (Gordon et al., 2015)</w:t>
      </w:r>
    </w:p>
    <w:p>
      <w:pPr>
        <w:pStyle w:val="Bibliography"/>
        <w:jc w:val="start"/>
        <w:rPr/>
      </w:pPr>
      <w:r>
        <w:rP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usa a designação do padrão GB/T 5703 sem especificar o dígito; assume-se o dedo médio, documentado em dataqualitynote.</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 (&lt; 5 MB).</w:t>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O campo dataqualitynote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Heading3"/>
        <w:numPr>
          <w:ilvl w:val="0"/>
          <w:numId w:val="0"/>
        </w:numPr>
        <w:ind w:hanging="0" w:start="0"/>
        <w:rPr/>
      </w:pPr>
      <w:r>
        <w:rPr/>
        <w:t>A.7.2 Verificação de unidades</w:t>
      </w:r>
    </w:p>
    <w:p>
      <w:pPr>
        <w:pStyle w:val="Bibliography"/>
        <w:jc w:val="start"/>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exacto (sourcepage), permitindo que qualquer valor seja verificado directamente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pPr>
      <w:r>
        <w:rPr/>
        <w:t xml:space="preserve">O mapeamento canónico liga apenas medidas com correspondência anatómica explícita: </w:t>
      </w:r>
      <w:r>
        <w:rPr>
          <w:rFonts w:ascii="Consolas" w:hAnsi="Consolas"/>
          <w:sz w:val="20"/>
        </w:rPr>
        <w:t>palm.width_mm</w:t>
      </w:r>
      <w:r>
        <w:rPr/>
        <w:t xml:space="preserve"> a </w:t>
      </w:r>
      <w:r>
        <w:rPr>
          <w:rFonts w:ascii="Consolas" w:hAnsi="Consolas"/>
          <w:sz w:val="20"/>
        </w:rPr>
        <w:t>palm_breadth_mm</w:t>
      </w:r>
      <w:r>
        <w:rPr/>
        <w:t xml:space="preserve">; </w:t>
      </w:r>
      <w:r>
        <w:rPr>
          <w:rFonts w:ascii="Consolas" w:hAnsi="Consolas"/>
          <w:sz w:val="20"/>
        </w:rPr>
        <w:t>palm.length_mm</w:t>
      </w:r>
      <w:r>
        <w:rPr/>
        <w:t xml:space="preserve"> a </w:t>
      </w:r>
      <w:r>
        <w:rPr>
          <w:rFonts w:ascii="Consolas" w:hAnsi="Consolas"/>
          <w:sz w:val="20"/>
        </w:rPr>
        <w:t>palm_length_mm</w:t>
      </w:r>
      <w:r>
        <w:rPr/>
        <w:t xml:space="preserve">; </w:t>
      </w:r>
      <w:r>
        <w:rPr>
          <w:rFonts w:ascii="Consolas" w:hAnsi="Consolas"/>
          <w:sz w:val="20"/>
        </w:rPr>
        <w:t>palm.thickness_mm</w:t>
      </w:r>
      <w:r>
        <w:rPr/>
        <w:t xml:space="preserve"> a </w:t>
      </w:r>
      <w:r>
        <w:rPr>
          <w:rFonts w:ascii="Consolas" w:hAnsi="Consolas"/>
          <w:sz w:val="20"/>
        </w:rPr>
        <w:t>palm_thickness_mm</w:t>
      </w:r>
      <w:r>
        <w:rPr/>
        <w:t xml:space="preserve">; os comprimentos totais de </w:t>
      </w:r>
      <w:r>
        <w:rPr>
          <w:rFonts w:ascii="Consolas" w:hAnsi="Consolas"/>
          <w:sz w:val="20"/>
        </w:rPr>
        <w:t>digits.index</w:t>
      </w:r>
      <w:r>
        <w:rPr/>
        <w:t xml:space="preserve">, </w:t>
      </w:r>
      <w:r>
        <w:rPr>
          <w:rFonts w:ascii="Consolas" w:hAnsi="Consolas"/>
          <w:sz w:val="20"/>
        </w:rPr>
        <w:t>middle</w:t>
      </w:r>
      <w:r>
        <w:rPr/>
        <w:t xml:space="preserve">, </w:t>
      </w:r>
      <w:r>
        <w:rPr>
          <w:rFonts w:ascii="Consolas" w:hAnsi="Consolas"/>
          <w:sz w:val="20"/>
        </w:rPr>
        <w:t>ring</w:t>
      </w:r>
      <w:r>
        <w:rPr/>
        <w:t xml:space="preserve">, </w:t>
      </w:r>
      <w:r>
        <w:rPr>
          <w:rFonts w:ascii="Consolas" w:hAnsi="Consolas"/>
          <w:sz w:val="20"/>
        </w:rPr>
        <w:t>pinky</w:t>
      </w:r>
      <w:r>
        <w:rPr/>
        <w:t xml:space="preserve"> e </w:t>
      </w:r>
      <w:r>
        <w:rPr>
          <w:rFonts w:ascii="Consolas" w:hAnsi="Consolas"/>
          <w:sz w:val="20"/>
        </w:rPr>
        <w:t>thumb</w:t>
      </w:r>
      <w:r>
        <w:rPr/>
        <w:t xml:space="preserve"> aos cinco parâmetros </w:t>
      </w:r>
      <w:r>
        <w:rPr>
          <w:rFonts w:ascii="Consolas" w:hAnsi="Consolas"/>
          <w:sz w:val="20"/>
        </w:rPr>
        <w:t>*_finger_length_mm</w:t>
      </w:r>
      <w:r>
        <w:rPr/>
        <w:t xml:space="preserve">; os comprimentos proximais dos mesmos dedos aos parâmetros </w:t>
      </w:r>
      <w:r>
        <w:rPr>
          <w:rFonts w:ascii="Consolas" w:hAnsi="Consolas"/>
          <w:sz w:val="20"/>
        </w:rPr>
        <w:t>*_base_length_mm</w:t>
      </w:r>
      <w:r>
        <w:rPr/>
        <w:t xml:space="preserve">; e </w:t>
      </w:r>
      <w:r>
        <w:rPr>
          <w:rFonts w:ascii="Consolas" w:hAnsi="Consolas"/>
          <w:sz w:val="20"/>
        </w:rPr>
        <w:t>wrist.circumference_mm</w:t>
      </w:r>
      <w:r>
        <w:rPr/>
        <w:t xml:space="preserve"> a </w:t>
      </w:r>
      <w:r>
        <w:rPr>
          <w:rFonts w:ascii="Consolas" w:hAnsi="Consolas"/>
          <w:sz w:val="20"/>
        </w:rPr>
        <w:t>wrist_circumference_mm</w:t>
      </w:r>
      <w:r>
        <w:rPr/>
        <w:t>. Um valor só é aplicado quando o parâmetro existe no modelo activo,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activo e a geometria gerada após confirmação humana. O percurso pode, assim, ser reconstruído desde a fonte e a página registadas no CSV até ao caminho antropométrico, ao nome do parâmetro e ao limite aplicado pelo modelo.</w:t>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 xml:space="preserve">Na inspecção final da base local da aplicação, a tabela antropométrica continha 100 perfis agregados: 97 com origem </w:t>
      </w:r>
      <w:r>
        <w:rPr>
          <w:rFonts w:ascii="Consolas" w:hAnsi="Consolas"/>
          <w:sz w:val="20"/>
        </w:rPr>
        <w:t>csv_bulk</w:t>
      </w:r>
      <w:r>
        <w:rPr/>
        <w:t xml:space="preserve">, dois com origem </w:t>
      </w:r>
      <w:r>
        <w:rPr>
          <w:rFonts w:ascii="Consolas" w:hAnsi="Consolas"/>
          <w:sz w:val="20"/>
        </w:rPr>
        <w:t>csv</w:t>
      </w:r>
      <w:r>
        <w:rPr/>
        <w:t xml:space="preserve"> e um criado manualmente. Este total representa perfis processados pela aplicação e não linhas dos três CSV; cada perfil pode reunir várias estatísticas e medidas da mesma população.</w:t>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actual.</w:t>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xml:space="preserve">- Ásia Oriental — China tem uma única fonte (n=108, apenas idosos de Pequim). Japão e Coreia do Sul estão completamente ausentes, apesar de serem países com literatura ergonómica activa. O conjunto ANSUR é amplamente usado como </w:t>
      </w:r>
      <w:r>
        <w:rPr>
          <w:i/>
          <w:iCs/>
        </w:rPr>
        <w:t>proxy</w:t>
      </w:r>
      <w:r>
        <w:rPr/>
        <w:t xml:space="preserve"> para populações ocidentais, mas os valores diferem sistematicamente das populações do leste asiático (mãos tendencialmente mais pequenas nos estudos disponíveis).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Heading3"/>
        <w:numPr>
          <w:ilvl w:val="0"/>
          <w:numId w:val="0"/>
        </w:numPr>
        <w:ind w:hanging="0" w:start="0"/>
        <w:rPr/>
      </w:pPr>
      <w:r>
        <w:rPr/>
        <w:t>A.10.3 Frentes identificadas para expansão futura</w:t>
      </w:r>
    </w:p>
    <w:p>
      <w:pPr>
        <w:pStyle w:val="Bibliography"/>
        <w:jc w:val="start"/>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profundidades articulares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Heading4"/>
        <w:numPr>
          <w:ilvl w:val="0"/>
          <w:numId w:val="0"/>
        </w:numPr>
        <w:ind w:hanging="0" w:start="0"/>
        <w:rPr/>
      </w:pPr>
      <w:r>
        <w:rPr/>
        <w:t>A.10.3.3 Pertinência directa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134</w:t>
      </w:r>
    </w:p>
    <w:p>
      <w:pPr>
        <w:pStyle w:val="ndicedoAnexo2"/>
        <w:rPr/>
      </w:pPr>
      <w:r>
        <w:rPr/>
        <w:t>B.2 Âmbito e limites</w:t>
        <w:tab/>
        <w:t>134</w:t>
      </w:r>
    </w:p>
    <w:p>
      <w:pPr>
        <w:pStyle w:val="ndicedoAnexo2"/>
        <w:rPr/>
      </w:pPr>
      <w:r>
        <w:rPr/>
        <w:t>B.3 Procedimento</w:t>
        <w:tab/>
        <w:t>134</w:t>
      </w:r>
    </w:p>
    <w:p>
      <w:pPr>
        <w:pStyle w:val="ndicedoAnexo2"/>
        <w:rPr/>
      </w:pPr>
      <w:r>
        <w:rPr/>
        <w:t>B.4 Resultados de consistência da geração</w:t>
        <w:tab/>
        <w:t>134</w:t>
      </w:r>
    </w:p>
    <w:p>
      <w:pPr>
        <w:pStyle w:val="ndicedoAnexo3"/>
        <w:tabs>
          <w:tab w:val="clear" w:pos="708"/>
          <w:tab w:val="right" w:pos="8204" w:leader="dot"/>
        </w:tabs>
        <w:rPr/>
      </w:pPr>
      <w:r>
        <w:rPr/>
        <w:t>B.4.1 Repetição da mesma configuração</w:t>
        <w:tab/>
        <w:t>134</w:t>
      </w:r>
    </w:p>
    <w:p>
      <w:pPr>
        <w:pStyle w:val="ndicedoAnexo3"/>
        <w:tabs>
          <w:tab w:val="clear" w:pos="708"/>
          <w:tab w:val="right" w:pos="8204" w:leader="dot"/>
        </w:tabs>
        <w:rPr/>
      </w:pPr>
      <w:r>
        <w:rPr/>
        <w:t>B.4.2 Comparação entre navegadores</w:t>
        <w:tab/>
        <w:t>134</w:t>
      </w:r>
    </w:p>
    <w:p>
      <w:pPr>
        <w:pStyle w:val="ndicedoAnexo2"/>
        <w:rPr/>
      </w:pPr>
      <w:r>
        <w:rPr/>
        <w:t>B.5 Resultados de recuperação e controlo</w:t>
        <w:tab/>
        <w:t>134</w:t>
      </w:r>
    </w:p>
    <w:p>
      <w:pPr>
        <w:pStyle w:val="ndicedoAnexo2"/>
        <w:rPr/>
      </w:pPr>
      <w:r>
        <w:rPr/>
        <w:t>B.6 Resultados da verificação automática de acessibilidade digital</w:t>
        <w:tab/>
        <w:t>134</w:t>
      </w:r>
    </w:p>
    <w:p>
      <w:pPr>
        <w:pStyle w:val="ndicedoAnexo3"/>
        <w:tabs>
          <w:tab w:val="clear" w:pos="708"/>
          <w:tab w:val="right" w:pos="8204" w:leader="dot"/>
        </w:tabs>
        <w:rPr/>
      </w:pPr>
      <w:r>
        <w:rPr/>
        <w:t>B.6.1 Percurso local autenticado</w:t>
        <w:tab/>
        <w:t>134</w:t>
      </w:r>
    </w:p>
    <w:p>
      <w:pPr>
        <w:pStyle w:val="ndicedoAnexo3"/>
        <w:tabs>
          <w:tab w:val="clear" w:pos="708"/>
          <w:tab w:val="right" w:pos="8204" w:leader="dot"/>
        </w:tabs>
        <w:rPr/>
      </w:pPr>
      <w:r>
        <w:rPr/>
        <w:t>B.6.2 Superfície pública</w:t>
        <w:tab/>
        <w:t>134</w:t>
      </w:r>
    </w:p>
    <w:p>
      <w:pPr>
        <w:pStyle w:val="ndicedoAnexo3"/>
        <w:tabs>
          <w:tab w:val="clear" w:pos="708"/>
          <w:tab w:val="right" w:pos="8204" w:leader="dot"/>
        </w:tabs>
        <w:rPr/>
      </w:pPr>
      <w:r>
        <w:rPr/>
        <w:t>B.6.3 Verificação manual pendente</w:t>
        <w:tab/>
        <w:t>134</w:t>
      </w:r>
    </w:p>
    <w:p>
      <w:pPr>
        <w:pStyle w:val="ndicedoAnexo2"/>
        <w:rPr/>
      </w:pPr>
      <w:r>
        <w:rPr/>
        <w:t>B.7 Aprendizagens para o Design Industrial</w:t>
        <w:tab/>
        <w:t>134</w:t>
      </w:r>
    </w:p>
    <w:p>
      <w:pPr>
        <w:pStyle w:val="ndicedoAnexo2"/>
        <w:rPr/>
      </w:pPr>
      <w:r>
        <w:rPr/>
        <w:t>B.8 Conclusão</w:t>
        <w:tab/>
        <w:t>134</w:t>
      </w:r>
    </w:p>
    <w:p>
      <w:pPr>
        <w:pStyle w:val="ndicedoAnexo2"/>
        <w:rPr/>
      </w:pPr>
      <w:r>
        <w:rPr/>
        <w:t>B.9 Ficha técnica e proveniência das evidências</w:t>
        <w:tab/>
        <w:t>134</w:t>
      </w:r>
    </w:p>
    <w:p>
      <w:pPr>
        <w:pStyle w:val="ndicedoAnexo2"/>
        <w:rPr/>
      </w:pPr>
      <w:r>
        <w:rPr/>
        <w:t>B.10 Referências normativas</w:t>
        <w:tab/>
        <w:t>134</w:t>
      </w:r>
    </w:p>
    <w:p>
      <w:pPr>
        <w:pStyle w:val="ndicedoAnexo2"/>
        <w:rPr/>
      </w:pPr>
      <w:r>
        <w:rPr/>
        <w:t>Tabela B.1 — Resultados da repetição da mesma configuração por modelo</w:t>
        <w:tab/>
        <w:t>134</w:t>
      </w:r>
    </w:p>
    <w:p>
      <w:pPr>
        <w:pStyle w:val="ndicedoAnexo2"/>
        <w:rPr/>
      </w:pPr>
      <w:r>
        <w:rPr/>
        <w:t>Tabela B.2 — Resultados do percurso examinado em três navegadores</w:t>
        <w:tab/>
        <w:t>134</w:t>
      </w:r>
    </w:p>
    <w:p>
      <w:pPr>
        <w:pStyle w:val="ndicedoAnexo2"/>
        <w:rPr/>
      </w:pPr>
      <w:r>
        <w:rPr/>
        <w:t>Tabela B.3 — Comportamento observado perante limites, entradas inválidas e falhas previstas</w:t>
        <w:tab/>
        <w:t>134</w:t>
      </w:r>
    </w:p>
    <w:p>
      <w:pPr>
        <w:pStyle w:val="ndicedoAnexo2"/>
        <w:rPr/>
      </w:pPr>
      <w:r>
        <w:rPr/>
        <w:t>Tabela B.4 — Categorias de problemas de acessibilidade digital detectadas automaticamente</w:t>
        <w:tab/>
        <w:t>134</w:t>
      </w:r>
    </w:p>
    <w:p>
      <w:pPr>
        <w:pStyle w:val="ndicedoAnexo2"/>
        <w:rPr/>
      </w:pPr>
      <w:r>
        <w:rPr/>
        <w:t>Tabela B.5 — Identificação das séries complementares de avaliação da plataforma</w:t>
        <w:tab/>
        <w:t>134</w:t>
      </w:r>
      <w:r>
        <w:br w:type="page"/>
      </w:r>
    </w:p>
    <w:p>
      <w:pPr>
        <w:pStyle w:val="TextoNormal-IPCA"/>
        <w:spacing w:before="0" w:after="0"/>
        <w:rPr/>
      </w:pPr>
      <w:r>
        <w:rPr>
          <w:b/>
        </w:rPr>
        <w:t>Data das séries de ensaios: 13 e 14 de Julho de 2026</w:t>
      </w:r>
    </w:p>
    <w:p>
      <w:pPr>
        <w:pStyle w:val="TextoNormal-IPCA"/>
        <w:rPr/>
      </w:pPr>
      <w:r>
        <w:rPr>
          <w:b/>
        </w:rPr>
        <w:t>Estado avaliado: HandFab durante a série complementar</w:t>
      </w:r>
    </w:p>
    <w:p>
      <w:pPr>
        <w:pStyle w:val="TextoNormal-IPCA"/>
        <w:rPr/>
      </w:pPr>
      <w:r>
        <w:rPr>
          <w:b/>
        </w:rPr>
        <w:t>Plataforma pública:</w:t>
      </w:r>
      <w:r>
        <w:rPr/>
        <w:t xml:space="preserve"> &lt;https://handfab.pedrocandeias.net/&gt;</w:t>
      </w:r>
    </w:p>
    <w:p>
      <w:pPr>
        <w:pStyle w:val="TextoNormal-IPCA"/>
        <w:rPr/>
      </w:pPr>
      <w:r>
        <w:rPr>
          <w:b/>
        </w:rPr>
        <w:t>Estado da avaliação:</w:t>
      </w:r>
      <w:r>
        <w:rPr/>
        <w:t xml:space="preserve"> executada, com resultados parciais e verificações manuais ainda por realizar</w:t>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actividade de projecto, se preserva o trabalho realizado quando surgem entradas ou falhas problemáticas e se a interface apresenta problemas detectáveis por regras automáticas de acessibilidade digital.</w:t>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seleccionadas de acessibilidade digital</w:t>
      </w:r>
      <w:r>
        <w:rPr/>
        <w:t>, entendida como a identificação de barreiras detectáveis nos estados examinados, sem a confundir com usabilidade, acessibilidade percebida por participantes ou conformidade global com as WCAG.</w:t>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 xml:space="preserve">Por conseguinte, este anexo não avalia conforto, ajuste anatómico individual, eficácia protésica, segurança, durabilidade, aprendizagem, satisfação ou uso quotidiano. Também não constitui declaração de conformidade com as </w:t>
      </w:r>
      <w:r>
        <w:rPr>
          <w:i/>
          <w:iCs/>
        </w:rPr>
        <w:t>Web Content Accessibility Guidelines</w:t>
      </w:r>
      <w:r>
        <w:rPr/>
        <w:t xml:space="preserve"> (WCAG) 2.2.</w:t>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rPr/>
      </w:pPr>
      <w:r>
        <w:rPr/>
        <w:t>Os cenários de controlo abrangeram valores nos limites, abaixo deles e acima deles; campos obrigatórios ausentes; texto num campo numérico; contradição entre idade e descrição; país sem correspondência directa na base; e perfil inferior ao limite de um modelo. Abrangeram também indisponibilidade da sugestão de IA, resposta inválida, falha de geração e tentativa de exportação sem geometria.</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de projecto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Heading2"/>
        <w:numPr>
          <w:ilvl w:val="0"/>
          <w:numId w:val="0"/>
        </w:numPr>
        <w:ind w:hanging="0" w:start="0"/>
        <w:rPr/>
      </w:pPr>
      <w:r>
        <w:rPr/>
        <w:t>B.6 Resultados da verificação automática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Estados afectados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Pode originar foco e activação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 de selecção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numPr>
          <w:ilvl w:val="0"/>
          <w:numId w:val="0"/>
        </w:numPr>
        <w:ind w:hanging="0" w:start="0"/>
        <w:rPr/>
      </w:pPr>
      <w:r>
        <w:rPr/>
        <w:t>B.6.2 Superfície pública</w:t>
      </w:r>
    </w:p>
    <w:p>
      <w:pPr>
        <w:pStyle w:val="TextoNormal-IPCA"/>
        <w:rPr/>
      </w:pPr>
      <w:r>
        <w:rP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numPr>
          <w:ilvl w:val="0"/>
          <w:numId w:val="0"/>
        </w:numPr>
        <w:ind w:hanging="0" w:start="0"/>
        <w:rPr/>
      </w:pPr>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numPr>
          <w:ilvl w:val="0"/>
          <w:numId w:val="0"/>
        </w:numPr>
        <w:ind w:hanging="0" w:start="0"/>
        <w:rPr/>
      </w:pPr>
      <w:r>
        <w:rPr/>
        <w:t xml:space="preserve">B.7 Aprendizagens para o </w:t>
      </w:r>
      <w:r>
        <w:rPr>
          <w:i/>
          <w:iCs/>
        </w:rPr>
        <w:t>Design</w:t>
      </w:r>
      <w:r>
        <w:rPr/>
        <w:t xml:space="preserve">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actuar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de projecto.</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rPr/>
        <w:t>.</w:t>
      </w:r>
    </w:p>
    <w:p>
      <w:pPr>
        <w:pStyle w:val="Heading2"/>
        <w:numPr>
          <w:ilvl w:val="0"/>
          <w:numId w:val="0"/>
        </w:numPr>
        <w:ind w:hanging="0" w:start="0"/>
        <w:rPr/>
      </w:pPr>
      <w:r>
        <w:rPr/>
        <w:t>B.9 Ficha técnica e proveniência das evidências</w:t>
      </w:r>
    </w:p>
    <w:p>
      <w:pPr>
        <w:pStyle w:val="TextoNormal-IPCA"/>
        <w:rPr/>
      </w:pPr>
      <w:r>
        <w:rPr/>
        <w:t>Esta secção conserva apenas a informação necessária para identificar as séries de ensaios. Os pormenores de implementação dos testes não integram o argumento principal da dissertação.</w:t>
      </w:r>
    </w:p>
    <w:p>
      <w:pPr>
        <w:pStyle w:val="Caption"/>
        <w:rPr/>
      </w:pPr>
      <w:r>
        <w:rPr/>
        <w:t>Tabela B.5 — Identificação das séries complementares de avaliação da plataforma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Série de ensaios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Ambiente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Instrumentos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principal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2026-07-13_23-22-21_repetition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 análise de STL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modelo, ficheiros exportados e comparação entre navegadores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2026-07-14_00-02-40_robustness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nominais, limites, entradas inválidas e recuperação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2026-07-14_00-03-19_a11y-local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local autenticado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estado e lista de verificação manual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2026-07-14_00-06-48_a11y-public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Página pública não autenticada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automático da página de entrada</w:t>
            </w:r>
          </w:p>
        </w:tc>
      </w:tr>
    </w:tbl>
    <w:p>
      <w:pPr>
        <w:pStyle w:val="TextoNormal-IPCA"/>
        <w:rPr/>
      </w:pPr>
      <w:r>
        <w:rPr/>
        <w:t>As séries de ensaios correspondem ao estado da plataforma usado na avaliação complementar. O código de ensaio, os resultados estruturados e os registos necessários à interpretação das execuções foram conservados em conjunto no material suplementar.</w:t>
      </w:r>
    </w:p>
    <w:p>
      <w:pPr>
        <w:pStyle w:val="TextoNormal-IPCA"/>
        <w:rPr/>
      </w:pPr>
      <w:r>
        <w:rPr/>
        <w:t>Os resultados estruturados e as saídas brutas de maior dimensão integram o material suplementar associado ao Anexo B, organizados pelos identificadores técnicos originais de cada série.</w:t>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140</w:t>
      </w:r>
    </w:p>
    <w:p>
      <w:pPr>
        <w:pStyle w:val="ndicedoAnexo2"/>
        <w:rPr/>
      </w:pPr>
      <w:r>
        <w:rPr/>
        <w:t>C.2 Princípio comum de adaptação</w:t>
        <w:tab/>
        <w:t>140</w:t>
      </w:r>
    </w:p>
    <w:p>
      <w:pPr>
        <w:pStyle w:val="ndicedoAnexo3"/>
        <w:tabs>
          <w:tab w:val="clear" w:pos="708"/>
          <w:tab w:val="right" w:pos="8204" w:leader="dot"/>
        </w:tabs>
        <w:rPr/>
      </w:pPr>
      <w:r>
        <w:rPr/>
        <w:t>C.2.1 Campos antropométricos comuns</w:t>
        <w:tab/>
        <w:t>140</w:t>
      </w:r>
    </w:p>
    <w:p>
      <w:pPr>
        <w:pStyle w:val="ndicedoAnexo3"/>
        <w:tabs>
          <w:tab w:val="clear" w:pos="708"/>
          <w:tab w:val="right" w:pos="8204" w:leader="dot"/>
        </w:tabs>
        <w:rPr/>
      </w:pPr>
      <w:r>
        <w:rPr/>
        <w:t>C.2.2 Tipos de parâmetros</w:t>
        <w:tab/>
        <w:t>140</w:t>
      </w:r>
    </w:p>
    <w:p>
      <w:pPr>
        <w:pStyle w:val="ndicedoAnexo3"/>
        <w:tabs>
          <w:tab w:val="clear" w:pos="708"/>
          <w:tab w:val="right" w:pos="8204" w:leader="dot"/>
        </w:tabs>
        <w:rPr/>
      </w:pPr>
      <w:r>
        <w:rPr/>
        <w:t>C.2.3 Coerência dos controlos no estado final examinado</w:t>
        <w:tab/>
        <w:t>140</w:t>
      </w:r>
    </w:p>
    <w:p>
      <w:pPr>
        <w:pStyle w:val="ndicedoAnexo2"/>
        <w:rPr/>
      </w:pPr>
      <w:r>
        <w:rPr/>
        <w:t>C.3 Flexy Beast</w:t>
        <w:tab/>
        <w:t>140</w:t>
      </w:r>
    </w:p>
    <w:p>
      <w:pPr>
        <w:pStyle w:val="ndicedoAnexo3"/>
        <w:tabs>
          <w:tab w:val="clear" w:pos="708"/>
          <w:tab w:val="right" w:pos="8204" w:leader="dot"/>
        </w:tabs>
        <w:rPr/>
      </w:pPr>
      <w:r>
        <w:rPr/>
        <w:t>C.3.1 Origem e estratégia de adaptação</w:t>
        <w:tab/>
        <w:t>140</w:t>
      </w:r>
    </w:p>
    <w:p>
      <w:pPr>
        <w:pStyle w:val="ndicedoAnexo3"/>
        <w:tabs>
          <w:tab w:val="clear" w:pos="708"/>
          <w:tab w:val="right" w:pos="8204" w:leader="dot"/>
        </w:tabs>
        <w:rPr/>
      </w:pPr>
      <w:r>
        <w:rPr/>
        <w:t>C.3.2 Entradas, limites e relações</w:t>
        <w:tab/>
        <w:t>140</w:t>
      </w:r>
    </w:p>
    <w:p>
      <w:pPr>
        <w:pStyle w:val="ndicedoAnexo3"/>
        <w:tabs>
          <w:tab w:val="clear" w:pos="708"/>
          <w:tab w:val="right" w:pos="8204" w:leader="dot"/>
        </w:tabs>
        <w:rPr/>
      </w:pPr>
      <w:r>
        <w:rPr/>
        <w:t>C.3.3 Braçadeira e interfaces confirmáveis</w:t>
        <w:tab/>
        <w:t>140</w:t>
      </w:r>
    </w:p>
    <w:p>
      <w:pPr>
        <w:pStyle w:val="ndicedoAnexo3"/>
        <w:tabs>
          <w:tab w:val="clear" w:pos="708"/>
          <w:tab w:val="right" w:pos="8204" w:leader="dot"/>
        </w:tabs>
        <w:rPr/>
      </w:pPr>
      <w:r>
        <w:rPr/>
        <w:t>C.3.4 Exemplo de propagação já preservado</w:t>
        <w:tab/>
        <w:t>140</w:t>
      </w:r>
    </w:p>
    <w:p>
      <w:pPr>
        <w:pStyle w:val="ndicedoAnexo3"/>
        <w:tabs>
          <w:tab w:val="clear" w:pos="708"/>
          <w:tab w:val="right" w:pos="8204" w:leader="dot"/>
        </w:tabs>
        <w:rPr/>
      </w:pPr>
      <w:r>
        <w:rPr/>
        <w:t>C.3.5 Limitações específicas</w:t>
        <w:tab/>
        <w:t>140</w:t>
      </w:r>
    </w:p>
    <w:p>
      <w:pPr>
        <w:pStyle w:val="ndicedoAnexo2"/>
        <w:rPr/>
      </w:pPr>
      <w:r>
        <w:rPr/>
        <w:t>C.4 Cyborg Beast</w:t>
        <w:tab/>
        <w:t>140</w:t>
      </w:r>
    </w:p>
    <w:p>
      <w:pPr>
        <w:pStyle w:val="ndicedoAnexo3"/>
        <w:tabs>
          <w:tab w:val="clear" w:pos="708"/>
          <w:tab w:val="right" w:pos="8204" w:leader="dot"/>
        </w:tabs>
        <w:rPr/>
      </w:pPr>
      <w:r>
        <w:rPr/>
        <w:t>C.4.1 Origem e estratégia de adaptação</w:t>
        <w:tab/>
        <w:t>140</w:t>
      </w:r>
    </w:p>
    <w:p>
      <w:pPr>
        <w:pStyle w:val="ndicedoAnexo3"/>
        <w:tabs>
          <w:tab w:val="clear" w:pos="708"/>
          <w:tab w:val="right" w:pos="8204" w:leader="dot"/>
        </w:tabs>
        <w:rPr/>
      </w:pPr>
      <w:r>
        <w:rPr/>
        <w:t>C.4.2 Entradas e escala da mão</w:t>
        <w:tab/>
        <w:t>140</w:t>
      </w:r>
    </w:p>
    <w:p>
      <w:pPr>
        <w:pStyle w:val="ndicedoAnexo3"/>
        <w:tabs>
          <w:tab w:val="clear" w:pos="708"/>
          <w:tab w:val="right" w:pos="8204" w:leader="dot"/>
        </w:tabs>
        <w:rPr/>
      </w:pPr>
      <w:r>
        <w:rPr/>
        <w:t>C.4.3 Divisão proximal–distal</w:t>
        <w:tab/>
        <w:t>140</w:t>
      </w:r>
    </w:p>
    <w:p>
      <w:pPr>
        <w:pStyle w:val="ndicedoAnexo3"/>
        <w:tabs>
          <w:tab w:val="clear" w:pos="708"/>
          <w:tab w:val="right" w:pos="8204" w:leader="dot"/>
        </w:tabs>
        <w:rPr/>
      </w:pPr>
      <w:r>
        <w:rPr/>
        <w:t>C.4.4 Braçadeira, folgas e parâmetros fixos</w:t>
        <w:tab/>
        <w:t>140</w:t>
      </w:r>
    </w:p>
    <w:p>
      <w:pPr>
        <w:pStyle w:val="ndicedoAnexo3"/>
        <w:tabs>
          <w:tab w:val="clear" w:pos="708"/>
          <w:tab w:val="right" w:pos="8204" w:leader="dot"/>
        </w:tabs>
        <w:rPr/>
      </w:pPr>
      <w:r>
        <w:rPr/>
        <w:t>C.4.5 Exemplo de propagação</w:t>
        <w:tab/>
        <w:t>140</w:t>
      </w:r>
    </w:p>
    <w:p>
      <w:pPr>
        <w:pStyle w:val="ndicedoAnexo3"/>
        <w:tabs>
          <w:tab w:val="clear" w:pos="708"/>
          <w:tab w:val="right" w:pos="8204" w:leader="dot"/>
        </w:tabs>
        <w:rPr/>
      </w:pPr>
      <w:r>
        <w:rPr/>
        <w:t>C.4.6 Limitações específicas</w:t>
        <w:tab/>
        <w:t>140</w:t>
      </w:r>
    </w:p>
    <w:p>
      <w:pPr>
        <w:pStyle w:val="ndicedoAnexo2"/>
        <w:rPr/>
      </w:pPr>
      <w:r>
        <w:rPr/>
        <w:t>C.5 Paraglider Hand</w:t>
        <w:tab/>
        <w:t>140</w:t>
      </w:r>
    </w:p>
    <w:p>
      <w:pPr>
        <w:pStyle w:val="ndicedoAnexo3"/>
        <w:tabs>
          <w:tab w:val="clear" w:pos="708"/>
          <w:tab w:val="right" w:pos="8204" w:leader="dot"/>
        </w:tabs>
        <w:rPr/>
      </w:pPr>
      <w:r>
        <w:rPr/>
        <w:t>C.5.1 Origem e estratégia de adaptação</w:t>
        <w:tab/>
        <w:t>140</w:t>
      </w:r>
    </w:p>
    <w:p>
      <w:pPr>
        <w:pStyle w:val="ndicedoAnexo3"/>
        <w:tabs>
          <w:tab w:val="clear" w:pos="708"/>
          <w:tab w:val="right" w:pos="8204" w:leader="dot"/>
        </w:tabs>
        <w:rPr/>
      </w:pPr>
      <w:r>
        <w:rPr/>
        <w:t>C.5.2 Relações implementadas</w:t>
        <w:tab/>
        <w:t>140</w:t>
      </w:r>
    </w:p>
    <w:p>
      <w:pPr>
        <w:pStyle w:val="ndicedoAnexo3"/>
        <w:tabs>
          <w:tab w:val="clear" w:pos="708"/>
          <w:tab w:val="right" w:pos="8204" w:leader="dot"/>
        </w:tabs>
        <w:rPr/>
      </w:pPr>
      <w:r>
        <w:rPr/>
        <w:t>C.5.3 Hardware e limites confirmáveis</w:t>
        <w:tab/>
        <w:t>140</w:t>
      </w:r>
    </w:p>
    <w:p>
      <w:pPr>
        <w:pStyle w:val="ndicedoAnexo3"/>
        <w:tabs>
          <w:tab w:val="clear" w:pos="708"/>
          <w:tab w:val="right" w:pos="8204" w:leader="dot"/>
        </w:tabs>
        <w:rPr/>
      </w:pPr>
      <w:r>
        <w:rPr/>
        <w:t>C.5.4 Exemplo de propagação</w:t>
        <w:tab/>
        <w:t>140</w:t>
      </w:r>
    </w:p>
    <w:p>
      <w:pPr>
        <w:pStyle w:val="ndicedoAnexo3"/>
        <w:tabs>
          <w:tab w:val="clear" w:pos="708"/>
          <w:tab w:val="right" w:pos="8204" w:leader="dot"/>
        </w:tabs>
        <w:rPr/>
      </w:pPr>
      <w:r>
        <w:rPr/>
        <w:t>C.5.5 Limitações específicas</w:t>
        <w:tab/>
        <w:t>140</w:t>
      </w:r>
    </w:p>
    <w:p>
      <w:pPr>
        <w:pStyle w:val="ndicedoAnexo2"/>
        <w:rPr/>
      </w:pPr>
      <w:r>
        <w:rPr/>
        <w:t>C.6 UnLimbited Phoenix Hand</w:t>
        <w:tab/>
        <w:t>140</w:t>
      </w:r>
    </w:p>
    <w:p>
      <w:pPr>
        <w:pStyle w:val="ndicedoAnexo3"/>
        <w:tabs>
          <w:tab w:val="clear" w:pos="708"/>
          <w:tab w:val="right" w:pos="8204" w:leader="dot"/>
        </w:tabs>
        <w:rPr/>
      </w:pPr>
      <w:r>
        <w:rPr/>
        <w:t>C.6.1 Origem e estratégia de adaptação</w:t>
        <w:tab/>
        <w:t>140</w:t>
      </w:r>
    </w:p>
    <w:p>
      <w:pPr>
        <w:pStyle w:val="ndicedoAnexo3"/>
        <w:tabs>
          <w:tab w:val="clear" w:pos="708"/>
          <w:tab w:val="right" w:pos="8204" w:leader="dot"/>
        </w:tabs>
        <w:rPr/>
      </w:pPr>
      <w:r>
        <w:rPr/>
        <w:t>C.6.2 Escala global e limite dimensional mínimo</w:t>
        <w:tab/>
        <w:t>140</w:t>
      </w:r>
    </w:p>
    <w:p>
      <w:pPr>
        <w:pStyle w:val="ndicedoAnexo3"/>
        <w:tabs>
          <w:tab w:val="clear" w:pos="708"/>
          <w:tab w:val="right" w:pos="8204" w:leader="dot"/>
        </w:tabs>
        <w:rPr/>
      </w:pPr>
      <w:r>
        <w:rPr/>
        <w:t>C.6.3 Comprimentos digitais e preservação dos furos</w:t>
        <w:tab/>
        <w:t>140</w:t>
      </w:r>
    </w:p>
    <w:p>
      <w:pPr>
        <w:pStyle w:val="ndicedoAnexo3"/>
        <w:tabs>
          <w:tab w:val="clear" w:pos="708"/>
          <w:tab w:val="right" w:pos="8204" w:leader="dot"/>
        </w:tabs>
        <w:rPr/>
      </w:pPr>
      <w:r>
        <w:rPr/>
        <w:t>C.6.4 Dependência entre comprimento digital e escala global</w:t>
        <w:tab/>
        <w:t>140</w:t>
      </w:r>
    </w:p>
    <w:p>
      <w:pPr>
        <w:pStyle w:val="ndicedoAnexo3"/>
        <w:tabs>
          <w:tab w:val="clear" w:pos="708"/>
          <w:tab w:val="right" w:pos="8204" w:leader="dot"/>
        </w:tabs>
        <w:rPr/>
      </w:pPr>
      <w:r>
        <w:rPr/>
        <w:t>C.6.5 Exemplo de propagação</w:t>
        <w:tab/>
        <w:t>140</w:t>
      </w:r>
    </w:p>
    <w:p>
      <w:pPr>
        <w:pStyle w:val="ndicedoAnexo3"/>
        <w:tabs>
          <w:tab w:val="clear" w:pos="708"/>
          <w:tab w:val="right" w:pos="8204" w:leader="dot"/>
        </w:tabs>
        <w:rPr/>
      </w:pPr>
      <w:r>
        <w:rPr/>
        <w:t>C.6.6 Componentes fixos e tolerâncias confirmáveis</w:t>
        <w:tab/>
        <w:t>140</w:t>
      </w:r>
    </w:p>
    <w:p>
      <w:pPr>
        <w:pStyle w:val="ndicedoAnexo3"/>
        <w:tabs>
          <w:tab w:val="clear" w:pos="708"/>
          <w:tab w:val="right" w:pos="8204" w:leader="dot"/>
        </w:tabs>
        <w:rPr/>
      </w:pPr>
      <w:r>
        <w:rPr/>
        <w:t>C.6.7 Limitações específicas</w:t>
        <w:tab/>
        <w:t>140</w:t>
      </w:r>
    </w:p>
    <w:p>
      <w:pPr>
        <w:pStyle w:val="ndicedoAnexo2"/>
        <w:rPr/>
      </w:pPr>
      <w:r>
        <w:rPr/>
        <w:t>C.7 Síntese comparativa das estratégias</w:t>
        <w:tab/>
        <w:t>140</w:t>
      </w:r>
    </w:p>
    <w:p>
      <w:pPr>
        <w:pStyle w:val="ndicedoAnexo2"/>
        <w:rPr/>
      </w:pPr>
      <w:r>
        <w:rPr/>
        <w:t>C.8 Critérios de aceitação, limitação e rejeição</w:t>
        <w:tab/>
        <w:t>140</w:t>
      </w:r>
    </w:p>
    <w:p>
      <w:pPr>
        <w:pStyle w:val="ndicedoAnexo2"/>
        <w:rPr/>
      </w:pPr>
      <w:r>
        <w:rPr/>
        <w:t>C.9 Relação com o suplemento dos ensaios principais</w:t>
        <w:tab/>
        <w:t>140</w:t>
      </w:r>
    </w:p>
    <w:p>
      <w:pPr>
        <w:pStyle w:val="ndicedoAnexo2"/>
        <w:rPr/>
      </w:pPr>
      <w:r>
        <w:rPr/>
        <w:t>C.10 Limite de interpretação</w:t>
        <w:tab/>
        <w:t>140</w:t>
      </w:r>
    </w:p>
    <w:p>
      <w:pPr>
        <w:pStyle w:val="ndicedoAnexo2"/>
        <w:rPr/>
      </w:pPr>
      <w:r>
        <w:rPr/>
        <w:t>C.11 Fontes técnicas consultadas</w:t>
        <w:tab/>
        <w:t>140</w:t>
      </w:r>
    </w:p>
    <w:p>
      <w:pPr>
        <w:pStyle w:val="ndicedoAnexo2"/>
        <w:rPr/>
      </w:pPr>
      <w:r>
        <w:rPr/>
        <w:t>C.12 Verificações executadas</w:t>
        <w:tab/>
        <w:t>140</w:t>
      </w:r>
    </w:p>
    <w:p>
      <w:pPr>
        <w:pStyle w:val="ndicedoAnexo2"/>
        <w:rPr/>
      </w:pPr>
      <w:r>
        <w:rPr/>
        <w:t>Tabela C.1 — Correspondência entre medidas normalizadas e parâmetros dos modelos</w:t>
        <w:tab/>
        <w:t>140</w:t>
      </w:r>
    </w:p>
    <w:p>
      <w:pPr>
        <w:pStyle w:val="ndicedoAnexo2"/>
        <w:rPr/>
      </w:pPr>
      <w:r>
        <w:rPr/>
        <w:t>Tabela C.2 — Parâmetros numéricos do Flexy Beast com efeito dimensional</w:t>
        <w:tab/>
        <w:t>141</w:t>
      </w:r>
    </w:p>
    <w:p>
      <w:pPr>
        <w:pStyle w:val="ndicedoAnexo2"/>
        <w:rPr/>
      </w:pPr>
      <w:r>
        <w:rPr/>
        <w:t>Tabela C.3 — Relações dimensionais do Paraglider Hand</w:t>
        <w:tab/>
        <w:t>141</w:t>
      </w:r>
    </w:p>
    <w:p>
      <w:pPr>
        <w:pStyle w:val="ndicedoAnexo2"/>
        <w:rPr/>
      </w:pPr>
      <w:r>
        <w:rPr/>
        <w:t>Tabela C.4 — Comparação das adaptações e excepções de escala</w:t>
        <w:tab/>
        <w:t>141</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rPr/>
      </w:pPr>
      <w:r>
        <w:rPr/>
        <w:t>O estado final examinado corresponde a 14 de Julho de 2026. Uma revisão imediatamente anterior integrou a braçadeira revista do Flexy Beast e alterou o dicionário usado nos ensaios principais: os antigos parâmetros de largura, comprimento e parede da braçadeira foram substituídos por circunferência do punho, inclinação, multiplicador de comprimento e furos de correia. O estado final examinado uniformizou a organização dos grupos e os nomes dos controlos equivalentes, sem modificar as relações geométricas descritas neste anexo.</w:t>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dos ensaios principais.</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explicitada na especificação dos parâmetros.</w:t>
      </w:r>
    </w:p>
    <w:p>
      <w:pPr>
        <w:pStyle w:val="Heading3"/>
        <w:numPr>
          <w:ilvl w:val="0"/>
          <w:numId w:val="0"/>
        </w:numPr>
        <w:ind w:hanging="0" w:start="0"/>
        <w:rPr/>
      </w:pPr>
      <w:r>
        <w:rPr/>
        <w:t xml:space="preserve">C.5.3 </w:t>
      </w:r>
      <w:r>
        <w:rPr>
          <w:i/>
          <w:iCs/>
        </w:rPr>
        <w:t>Hardware</w:t>
      </w:r>
      <w:r>
        <w:rPr/>
        <w:t xml:space="preserv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 xml:space="preserve">Estes valores são constantes ou opções de </w:t>
      </w:r>
      <w:r>
        <w:rPr>
          <w:i/>
          <w:iCs/>
        </w:rPr>
        <w:t>hardware</w:t>
      </w:r>
      <w:r>
        <w:rPr/>
        <w:t>.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limite dimensional mínimo</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limite mínimo de 100% e ao limite máximo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nos intervalos declarados. Deve ser marcada como limitada quando uma entrada é fixada no limite mínimo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dos ensaios principais</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 xml:space="preserve">Depois desse estado, a estrutura paramétrica da braçadeira do Flexy Beast foi alterada.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final examinado.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dos ensaios principais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155</w:t>
      </w:r>
    </w:p>
    <w:p>
      <w:pPr>
        <w:pStyle w:val="ndicedoAnexo2"/>
        <w:rPr/>
      </w:pPr>
      <w:r>
        <w:rPr/>
        <w:t>D.2 Distinção entre estimativa e medição real</w:t>
        <w:tab/>
        <w:t>155</w:t>
      </w:r>
    </w:p>
    <w:p>
      <w:pPr>
        <w:pStyle w:val="ndicedoAnexo2"/>
        <w:rPr/>
      </w:pPr>
      <w:r>
        <w:rPr/>
        <w:t>D.3 Variáveis, controlos e materiais</w:t>
        <w:tab/>
        <w:t>155</w:t>
      </w:r>
    </w:p>
    <w:p>
      <w:pPr>
        <w:pStyle w:val="ndicedoAnexo3"/>
        <w:tabs>
          <w:tab w:val="clear" w:pos="708"/>
          <w:tab w:val="right" w:pos="8204" w:leader="dot"/>
        </w:tabs>
        <w:rPr/>
      </w:pPr>
      <w:r>
        <w:rPr/>
        <w:t>D.3.1 Série A — projectos de preparação digital para impressão 3D com configuração analisada</w:t>
        <w:tab/>
        <w:t>155</w:t>
      </w:r>
    </w:p>
    <w:p>
      <w:pPr>
        <w:pStyle w:val="ndicedoAnexo3"/>
        <w:tabs>
          <w:tab w:val="clear" w:pos="708"/>
          <w:tab w:val="right" w:pos="8204" w:leader="dot"/>
        </w:tabs>
        <w:rPr/>
      </w:pPr>
      <w:r>
        <w:rPr/>
        <w:t>D.3.2 Série B — comparação digital controlada</w:t>
        <w:tab/>
        <w:t>155</w:t>
      </w:r>
    </w:p>
    <w:p>
      <w:pPr>
        <w:pStyle w:val="ndicedoAnexo2"/>
        <w:rPr/>
      </w:pPr>
      <w:r>
        <w:rPr/>
        <w:t>D.4 Resultados</w:t>
        <w:tab/>
        <w:t>155</w:t>
      </w:r>
    </w:p>
    <w:p>
      <w:pPr>
        <w:pStyle w:val="ndicedoAnexo3"/>
        <w:tabs>
          <w:tab w:val="clear" w:pos="708"/>
          <w:tab w:val="right" w:pos="8204" w:leader="dot"/>
        </w:tabs>
        <w:rPr/>
      </w:pPr>
      <w:r>
        <w:rPr/>
        <w:t>D.4.1 Série A</w:t>
        <w:tab/>
        <w:t>155</w:t>
      </w:r>
    </w:p>
    <w:p>
      <w:pPr>
        <w:pStyle w:val="ndicedoAnexo3"/>
        <w:tabs>
          <w:tab w:val="clear" w:pos="708"/>
          <w:tab w:val="right" w:pos="8204" w:leader="dot"/>
        </w:tabs>
        <w:rPr/>
      </w:pPr>
      <w:r>
        <w:rPr/>
        <w:t>D.4.2 Série B (condição comum)</w:t>
        <w:tab/>
        <w:t>155</w:t>
      </w:r>
    </w:p>
    <w:p>
      <w:pPr>
        <w:pStyle w:val="ndicedoAnexo3"/>
        <w:tabs>
          <w:tab w:val="clear" w:pos="708"/>
          <w:tab w:val="right" w:pos="8204" w:leader="dot"/>
        </w:tabs>
        <w:rPr/>
      </w:pPr>
      <w:r>
        <w:rPr/>
        <w:t>D.4.3 Geometria — tamanho do conjunto vs tamanho da peça</w:t>
        <w:tab/>
        <w:t>155</w:t>
      </w:r>
    </w:p>
    <w:p>
      <w:pPr>
        <w:pStyle w:val="ndicedoAnexo3"/>
        <w:tabs>
          <w:tab w:val="clear" w:pos="708"/>
          <w:tab w:val="right" w:pos="8204" w:leader="dot"/>
        </w:tabs>
        <w:rPr/>
      </w:pPr>
      <w:r>
        <w:rPr/>
        <w:t>D.4.4 Comparação entre entrada, malha e peça física</w:t>
        <w:tab/>
        <w:t>155</w:t>
      </w:r>
    </w:p>
    <w:p>
      <w:pPr>
        <w:pStyle w:val="ndicedoAnexo3"/>
        <w:tabs>
          <w:tab w:val="clear" w:pos="708"/>
          <w:tab w:val="right" w:pos="8204" w:leader="dot"/>
        </w:tabs>
        <w:rPr/>
      </w:pPr>
      <w:r>
        <w:rPr/>
        <w:t>D.4.5 Registo fotográfico dos protótipos</w:t>
        <w:tab/>
        <w:t>155</w:t>
      </w:r>
    </w:p>
    <w:p>
      <w:pPr>
        <w:pStyle w:val="ndicedoAnexo2"/>
        <w:rPr/>
      </w:pPr>
      <w:r>
        <w:rPr/>
        <w:t>D.5 Compatibilidade com orientações de dimensionamento</w:t>
        <w:tab/>
        <w:t>155</w:t>
      </w:r>
    </w:p>
    <w:p>
      <w:pPr>
        <w:pStyle w:val="ndicedoAnexo2"/>
        <w:rPr/>
      </w:pPr>
      <w:r>
        <w:rPr/>
        <w:t>D.6 Limites de comparabilidade</w:t>
        <w:tab/>
        <w:t>155</w:t>
      </w:r>
    </w:p>
    <w:p>
      <w:pPr>
        <w:pStyle w:val="ndicedoAnexo2"/>
        <w:rPr/>
      </w:pPr>
      <w:r>
        <w:rPr/>
        <w:t>D.7 Campos que não puderam ser obtidos</w:t>
        <w:tab/>
        <w:t>155</w:t>
      </w:r>
    </w:p>
    <w:p>
      <w:pPr>
        <w:pStyle w:val="ndicedoAnexo2"/>
        <w:rPr/>
      </w:pPr>
      <w:r>
        <w:rPr/>
        <w:t>D.8 O que pode e não pode ser afirmado na dissertação</w:t>
        <w:tab/>
        <w:t>155</w:t>
      </w:r>
    </w:p>
    <w:p>
      <w:pPr>
        <w:pStyle w:val="ndicedoAnexo2"/>
        <w:rPr/>
      </w:pPr>
      <w:r>
        <w:rPr/>
        <w:t>Tabela D.1 — Estimativas dos projectos de preparação digital para impressão 3D com configuração analisada</w:t>
        <w:tab/>
        <w:t>155</w:t>
      </w:r>
    </w:p>
    <w:p>
      <w:pPr>
        <w:pStyle w:val="ndicedoAnexo2"/>
        <w:rPr/>
      </w:pPr>
      <w:r>
        <w:rPr/>
        <w:t>Tabela D.2 — Estimativas de preparação para impressão na condição digital comum</w:t>
        <w:tab/>
        <w:t>155</w:t>
      </w:r>
    </w:p>
    <w:p>
      <w:pPr>
        <w:pStyle w:val="ndicedoAnexo2"/>
        <w:rPr/>
      </w:pPr>
      <w:r>
        <w:rPr/>
        <w:t>Tabela D.3 — Comparação dimensional da palma no eixo X em PLA e PETG</w:t>
        <w:tab/>
        <w:t>155</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i/>
          <w:iCs/>
        </w:rPr>
        <w:t>Design</w:t>
      </w:r>
      <w:r>
        <w:rPr>
          <w:b/>
        </w:rPr>
        <w:t xml:space="preserve">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w:t>
      </w:r>
      <w:r>
        <w:rPr>
          <w:i/>
          <w:iCs/>
        </w:rPr>
        <w:t>manifold</w:t>
      </w:r>
      <w:r>
        <w:rPr/>
        <w:t>» e</w:t>
      </w:r>
    </w:p>
    <w:p>
      <w:pPr>
        <w:pStyle w:val="TextoNormal-IPCA"/>
        <w:rPr/>
      </w:pPr>
      <w:r>
        <w:rPr/>
        <w:t>«faces degeneradas» descrevem a integridade do ficheiro 3D; não constituem uma medida da robustez do objecto impresso.</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 xml:space="preserve">de perfil de processo ou de </w:t>
      </w:r>
      <w:r>
        <w:rPr>
          <w:i/>
          <w:iCs/>
        </w:rPr>
        <w:t>firmware</w:t>
      </w:r>
      <w:r>
        <w:rPr/>
        <w:t xml:space="preserv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documenta os projectos tal como foram preparados; não os compara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 representa uma impressão física nem confirma que o modelo possa ser impresso com sucesso</w:t>
      </w:r>
      <w:r>
        <w:rPr/>
        <w:t>.</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8"/>
        <w:gridCol w:w="1802"/>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resultante do projecto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rP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 estas propriedades não constituem resultados experimentais desta dissertação.</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08:37:0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Trocar “feedback”</w:t>
      </w:r>
    </w:p>
  </w:comment>
  <w:comment w:id="1"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3"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4"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5"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6T18:50:2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 o que significa em nota de rodapé</w:t>
      </w:r>
    </w:p>
  </w:comment>
  <w:comment w:id="7" w:author="Unknown Author" w:date="2026-07-16T18:54:04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biblio</w:t>
      </w:r>
    </w:p>
  </w:comment>
  <w:comment w:id="8" w:author="Unknown Author" w:date="2026-07-16T18:57:08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Explicar melhor a “encomenda online”</w:t>
      </w:r>
    </w:p>
  </w:comment>
  <w:comment w:id="9" w:author="Unknown Author" w:date="2026-07-16T19:00:02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Explicar o que são fronteiras de pareto.</w:t>
      </w:r>
    </w:p>
  </w:comment>
  <w:comment w:id="10"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11" w:author="Unknown Author" w:date="2026-07-17T01:30:14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Arranjar uma expressão melhor que limite de evidência.</w:t>
      </w:r>
    </w:p>
    <w:p>
      <w:pPr>
        <w:overflowPunct w:val="true"/>
        <w:spacing w:lineRule="auto" w:line="240"/>
        <w:jc w:val="start"/>
        <w:rPr/>
      </w:pPr>
      <w:r>
        <w:rPr>
          <w:rFonts w:asciiTheme="minorHAnsi" w:cstheme="minorBidi" w:eastAsiaTheme="minorHAnsi" w:hAnsiTheme="minorHAnsi" w:eastAsia="Calibri" w:cs="" w:ascii="Calibri" w:hAnsi="Calibri"/>
          <w:sz w:val="24"/>
        </w:rPr>
        <w:t>Parece-me brasileiro.</w:t>
      </w:r>
    </w:p>
  </w:comment>
  <w:comment w:id="12" w:author="Unknown Author" w:date="2026-07-17T10:36:15Z" w:initials="">
    <w:p>
      <w:pPr>
        <w:overflowPunct w:val="false"/>
        <w:spacing w:lineRule="auto" w:line="240"/>
        <w:jc w:val="start"/>
        <w:rPr/>
      </w:pPr>
      <w:r>
        <w:annotationRef/>
      </w:r>
      <w:r>
        <w:rPr>
          <w:rFonts w:asciiTheme="minorHAnsi" w:cstheme="minorBidi" w:eastAsiaTheme="minorHAnsi" w:hAnsiTheme="minorHAnsi" w:cs="" w:ascii="Calibri" w:hAnsi="Calibri"/>
          <w:sz w:val="24"/>
        </w:rPr>
        <w:t>As pessoas não sabem o que isto é</w:t>
      </w:r>
    </w:p>
  </w:comment>
  <w:comment w:id="13" w:author="Unknown Author" w:date="2026-07-17T10:36:58Z" w:initials="">
    <w:p>
      <w:pPr>
        <w:overflowPunct w:val="false"/>
        <w:spacing w:lineRule="auto" w:line="240"/>
        <w:jc w:val="start"/>
        <w:rPr/>
      </w:pPr>
      <w:r>
        <w:annotationRef/>
      </w:r>
      <w:r>
        <w:rPr>
          <w:rFonts w:asciiTheme="minorHAnsi" w:cstheme="minorBidi" w:eastAsiaTheme="minorHAnsi" w:hAnsiTheme="minorHAnsi" w:cs="" w:ascii="Calibri" w:hAnsi="Calibri"/>
          <w:sz w:val="24"/>
        </w:rPr>
        <w:t>Tirar?</w:t>
      </w:r>
    </w:p>
  </w:comment>
  <w:comment w:id="14" w:author="Unknown Author" w:date="2026-07-17T10:47:52Z" w:initials="">
    <w:p>
      <w:pPr>
        <w:overflowPunct w:val="false"/>
        <w:spacing w:lineRule="auto" w:line="240"/>
        <w:jc w:val="start"/>
        <w:rPr/>
      </w:pPr>
      <w:r>
        <w:annotationRef/>
      </w:r>
      <w:r>
        <w:rPr>
          <w:rFonts w:asciiTheme="minorHAnsi" w:cstheme="minorBidi" w:eastAsiaTheme="minorHAnsi" w:hAnsiTheme="minorHAnsi" w:cs="" w:ascii="Calibri" w:hAnsi="Calibri"/>
          <w:sz w:val="24"/>
        </w:rPr>
        <w:t>Se calhar tiramos o anexo?</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 w:name="Liberation Mono">
    <w:altName w:val="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155</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155</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170</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170</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Propriocepção designa a perceção corporal da posição, movimento e esforço dos segmentos do corpo. Em próteses acionadas pelo corpo, o </w:t>
      </w:r>
      <w:r>
        <w:rPr>
          <w:i/>
          <w:iCs/>
        </w:rPr>
        <w:t>feedback</w:t>
      </w:r>
      <w:r>
        <w:rPr/>
        <w:t xml:space="preserve">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4">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5">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6">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7">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8">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9">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0">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1">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2">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3">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8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Application>LibreOffice/26.2.4.2$Linux_X86_64 LibreOffice_project/3346a99e6b841765b75a9b29714a5b95c6761ce3</Application>
  <AppVersion>15.0000</AppVersion>
  <Pages>192</Pages>
  <Words>63923</Words>
  <Characters>384650</Characters>
  <CharactersWithSpaces>445510</CharactersWithSpaces>
  <Paragraphs>3387</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2026-07-17T11:07:01Z</dcterms:modified>
  <cp:revision>21</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