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2.3 — Correspondência entre lacunas do estado da arte, resposta da investigação e limites de avaliação</w:t>
        <w:tab/>
      </w:r>
      <w:r>
        <w:t>34</w:t>
      </w:r>
    </w:p>
    <w:p>
      <w:pPr>
        <w:pStyle w:val="ndice1"/>
        <w:tabs>
          <w:tab w:val="right" w:leader="dot" w:pos="8204"/>
        </w:tabs>
      </w:pPr>
      <w:r>
        <w:t>Tabela 3.1 — Ciclos de Research Through Design documentados no desenvolvimento</w:t>
        <w:tab/>
      </w:r>
      <w:r>
        <w:t>37</w:t>
      </w:r>
    </w:p>
    <w:p>
      <w:pPr>
        <w:pStyle w:val="ndice1"/>
        <w:tabs>
          <w:tab w:val="right" w:leader="dot" w:pos="8204"/>
        </w:tabs>
      </w:pPr>
      <w:r>
        <w:t>Tabela 3.2 — Correspondência entre perguntas, actividades, evidência e limites</w:t>
        <w:tab/>
      </w:r>
      <w:r>
        <w:t>39</w:t>
      </w:r>
    </w:p>
    <w:p>
      <w:pPr>
        <w:pStyle w:val="ndice1"/>
        <w:tabs>
          <w:tab w:val="right" w:leader="dot" w:pos="8204"/>
        </w:tabs>
      </w:pPr>
      <w:r>
        <w:t>Tabela 3.3 — Métodos, unidades de análise, critérios e localização dos resultados</w:t>
        <w:tab/>
      </w:r>
      <w:r>
        <w:t>40</w:t>
      </w:r>
    </w:p>
    <w:p>
      <w:pPr>
        <w:pStyle w:val="ndice1"/>
        <w:tabs>
          <w:tab w:val="right" w:leader="dot" w:pos="8204"/>
        </w:tabs>
      </w:pPr>
      <w:r>
        <w:t>Tabela 4.1 — Principais parâmetros antropométricos da mão e do membro superior relevantes para modelação paramétrica</w:t>
        <w:tab/>
      </w:r>
      <w:r>
        <w:t>47</w:t>
      </w:r>
    </w:p>
    <w:p>
      <w:pPr>
        <w:pStyle w:val="ndice1"/>
        <w:tabs>
          <w:tab w:val="right" w:leader="dot" w:pos="8204"/>
        </w:tabs>
      </w:pPr>
      <w:r>
        <w:t>Tabela 4.2 — Conjuntos mínimos de parâmetros por nível de amputação</w:t>
        <w:tab/>
      </w:r>
      <w:r>
        <w:t>47</w:t>
      </w:r>
    </w:p>
    <w:p>
      <w:pPr>
        <w:pStyle w:val="ndice1"/>
        <w:tabs>
          <w:tab w:val="right" w:leader="dot" w:pos="8204"/>
        </w:tabs>
      </w:pPr>
      <w:r>
        <w:t>Tabela 4.3 — Métodos de recolha de dados antropométricos e suas características</w:t>
        <w:tab/>
      </w:r>
      <w:r>
        <w:t>49</w:t>
      </w:r>
    </w:p>
    <w:p>
      <w:pPr>
        <w:pStyle w:val="ndice1"/>
        <w:tabs>
          <w:tab w:val="right" w:leader="dot" w:pos="8204"/>
        </w:tabs>
      </w:pPr>
      <w:r>
        <w:t>Tabela 4.4 — Funções e limites da base antropométrica na configuração</w:t>
        <w:tab/>
      </w:r>
      <w:r>
        <w:t>50</w:t>
      </w:r>
    </w:p>
    <w:p>
      <w:pPr>
        <w:pStyle w:val="ndice1"/>
        <w:tabs>
          <w:tab w:val="right" w:leader="dot" w:pos="8204"/>
        </w:tabs>
      </w:pPr>
      <w:r>
        <w:t>Tabela 4.5 — Estrutura hierárquica dos parâmetros no modelo paramétrico</w:t>
        <w:tab/>
      </w:r>
      <w:r>
        <w:t>51</w:t>
      </w:r>
    </w:p>
    <w:p>
      <w:pPr>
        <w:pStyle w:val="ndice1"/>
        <w:tabs>
          <w:tab w:val="right" w:leader="dot" w:pos="8204"/>
        </w:tabs>
      </w:pPr>
      <w:r>
        <w:t>Tabela 4.6 — Mapeamento entre parâmetros antropométricos e elementos do modelo</w:t>
        <w:tab/>
      </w:r>
      <w:r>
        <w:t>53</w:t>
      </w:r>
    </w:p>
    <w:p>
      <w:pPr>
        <w:pStyle w:val="ndice1"/>
        <w:tabs>
          <w:tab w:val="right" w:leader="dot" w:pos="8204"/>
        </w:tabs>
      </w:pPr>
      <w:r>
        <w:t>Tabela 4.7 — Estrutura técnica em camadas de um modelo paramétrico em OpenSCAD para próteses personalizadas</w:t>
        <w:tab/>
      </w:r>
      <w:r>
        <w:t>55</w:t>
      </w:r>
    </w:p>
    <w:p>
      <w:pPr>
        <w:pStyle w:val="ndice1"/>
        <w:tabs>
          <w:tab w:val="right" w:leader="dot" w:pos="8204"/>
        </w:tabs>
      </w:pPr>
      <w:r>
        <w:t>Tabela 4.8 — Síntese das relações implementadas e respectivas limitações</w:t>
        <w:tab/>
      </w:r>
      <w:r>
        <w:t>57</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4.11 — Cronologia das principais iterações paramétricas</w:t>
        <w:tab/>
      </w:r>
      <w:r>
        <w:t>60</w:t>
      </w:r>
    </w:p>
    <w:p>
      <w:pPr>
        <w:pStyle w:val="ndice1"/>
        <w:tabs>
          <w:tab w:val="right" w:leader="dot" w:pos="8204"/>
        </w:tabs>
      </w:pPr>
      <w:r>
        <w:t>Tabela 5.1 — Fluxo de dados e responsabilidades da plataforma</w:t>
        <w:tab/>
      </w:r>
      <w:r>
        <w:t>64</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78</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digital para impressão 3D com configuração analisada</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95</w:t>
      </w:r>
    </w:p>
    <w:p>
      <w:pPr>
        <w:pStyle w:val="ndice1"/>
        <w:tabs>
          <w:tab w:val="right" w:leader="dot" w:pos="8204"/>
        </w:tabs>
      </w:pPr>
      <w:r>
        <w:t>Tabela 8.6 — Modelos e mecanismos de escala avaliados</w:t>
        <w:tab/>
      </w:r>
      <w:r>
        <w:t>96</w:t>
      </w:r>
    </w:p>
    <w:p>
      <w:pPr>
        <w:pStyle w:val="ndice1"/>
        <w:tabs>
          <w:tab w:val="right" w:leader="dot" w:pos="8204"/>
        </w:tabs>
      </w:pPr>
      <w:r>
        <w:t>Tabela 8.7 — Rácio adimensional da maior dimensão da palma exportada face ao valor de referência</w:t>
        <w:tab/>
      </w:r>
      <w:r>
        <w:t>97</w:t>
      </w:r>
    </w:p>
    <w:p>
      <w:pPr>
        <w:pStyle w:val="ndice1"/>
        <w:tabs>
          <w:tab w:val="right" w:leader="dot" w:pos="8204"/>
        </w:tabs>
      </w:pPr>
      <w:r>
        <w:t>Tabela 8.8 — Discussão dos resultados face às lacunas seleccionadas do estado da arte</w:t>
        <w:tab/>
      </w:r>
      <w:r>
        <w:t>99</w:t>
      </w:r>
    </w:p>
    <w:p>
      <w:pPr>
        <w:pStyle w:val="ndice1"/>
        <w:tabs>
          <w:tab w:val="right" w:leader="dot" w:pos="8204"/>
        </w:tabs>
      </w:pPr>
      <w:r>
        <w:t>Tabela 9.1 — Estado da resposta às perguntas de investigação aprovadas</w:t>
        <w:tab/>
      </w:r>
      <w:r>
        <w:t>101</w:t>
      </w:r>
    </w:p>
    <w:p>
      <w:pPr>
        <w:pStyle w:val="ndice1"/>
        <w:tabs>
          <w:tab w:val="right" w:leader="dot" w:pos="8204"/>
        </w:tabs>
      </w:pPr>
      <w:r>
        <w:t>Tabela B.1 — Resultados da repetição da mesma configuração por modelo</w:t>
        <w:tab/>
      </w:r>
      <w:r>
        <w:t>134</w:t>
      </w:r>
    </w:p>
    <w:p>
      <w:pPr>
        <w:pStyle w:val="ndice1"/>
        <w:tabs>
          <w:tab w:val="right" w:leader="dot" w:pos="8204"/>
        </w:tabs>
      </w:pPr>
      <w:r>
        <w:t>Tabela B.2 — Resultados do percurso examinado em três navegadores</w:t>
        <w:tab/>
      </w:r>
      <w:r>
        <w:t>134</w:t>
      </w:r>
    </w:p>
    <w:p>
      <w:pPr>
        <w:pStyle w:val="ndice1"/>
        <w:tabs>
          <w:tab w:val="right" w:leader="dot" w:pos="8204"/>
        </w:tabs>
      </w:pPr>
      <w:r>
        <w:t>Tabela B.3 — Comportamento observado perante limites, entradas inválidas e falhas previstas</w:t>
        <w:tab/>
      </w:r>
      <w:r>
        <w:t>135</w:t>
      </w:r>
    </w:p>
    <w:p>
      <w:pPr>
        <w:pStyle w:val="ndice1"/>
        <w:tabs>
          <w:tab w:val="right" w:leader="dot" w:pos="8204"/>
        </w:tabs>
      </w:pPr>
      <w:r>
        <w:t>Tabela B.4 — Categorias de problemas de acessibilidade digital detectadas automaticamente</w:t>
        <w:tab/>
      </w:r>
      <w:r>
        <w:t>135</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140</w:t>
      </w:r>
    </w:p>
    <w:p>
      <w:pPr>
        <w:pStyle w:val="ndice1"/>
        <w:tabs>
          <w:tab w:val="right" w:leader="dot" w:pos="8204"/>
        </w:tabs>
      </w:pPr>
      <w:r>
        <w:t>Tabela C.2 — Parâmetros numéricos do Flexy Beast com efeito dimensional</w:t>
        <w:tab/>
      </w:r>
      <w:r>
        <w:t>142</w:t>
      </w:r>
    </w:p>
    <w:p>
      <w:pPr>
        <w:pStyle w:val="ndice1"/>
        <w:tabs>
          <w:tab w:val="right" w:leader="dot" w:pos="8204"/>
        </w:tabs>
      </w:pPr>
      <w:r>
        <w:t>Tabela C.3 — Relações dimensionais do Paraglider Hand</w:t>
        <w:tab/>
      </w:r>
      <w:r>
        <w:t>145</w:t>
      </w:r>
    </w:p>
    <w:p>
      <w:pPr>
        <w:pStyle w:val="ndice1"/>
        <w:tabs>
          <w:tab w:val="right" w:leader="dot" w:pos="8204"/>
        </w:tabs>
      </w:pPr>
      <w:r>
        <w:t>Tabela C.4 — Comparação das adaptações e excepções de escala</w:t>
        <w:tab/>
      </w:r>
      <w:r>
        <w:t>149</w:t>
      </w:r>
    </w:p>
    <w:p>
      <w:pPr>
        <w:pStyle w:val="ndice1"/>
        <w:tabs>
          <w:tab w:val="right" w:leader="dot" w:pos="8204"/>
        </w:tabs>
      </w:pPr>
      <w:r>
        <w:t>Tabela D.1 — Estimativas dos projectos de preparação digital para impressão 3D com configuração analisada</w:t>
        <w:tab/>
      </w:r>
      <w:r>
        <w:t>155</w:t>
      </w:r>
    </w:p>
    <w:p>
      <w:pPr>
        <w:pStyle w:val="ndice1"/>
        <w:tabs>
          <w:tab w:val="right" w:leader="dot" w:pos="8204"/>
        </w:tabs>
      </w:pPr>
      <w:r>
        <w:t>Tabela D.2 — Estimativas de preparação para impressão na condição digital comum</w:t>
        <w:tab/>
      </w:r>
      <w:r>
        <w:t>156</w:t>
      </w:r>
    </w:p>
    <w:p>
      <w:pPr>
        <w:pStyle w:val="ndice1"/>
        <w:tabs>
          <w:tab w:val="right" w:leader="dot" w:pos="8204"/>
        </w:tabs>
      </w:pPr>
      <w:r>
        <w:t>Tabela D.3 — Cenário de estimativa dimensional teórica da palma no eixo X</w:t>
        <w:tab/>
      </w:r>
      <w:r>
        <w:t>161</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38</w:t>
      </w:r>
    </w:p>
    <w:p>
      <w:pPr>
        <w:pStyle w:val="ndice1"/>
        <w:tabs>
          <w:tab w:val="right" w:leader="dot" w:pos="8204"/>
        </w:tabs>
      </w:pPr>
      <w:r>
        <w:t>Figura 3.2 — Exemplo de recolha dimensional para ajuste de prótese impressa em 3D.</w:t>
        <w:tab/>
      </w:r>
      <w:r>
        <w:t>43</w:t>
      </w:r>
    </w:p>
    <w:p>
      <w:pPr>
        <w:pStyle w:val="ndice1"/>
        <w:tabs>
          <w:tab w:val="right" w:leader="dot" w:pos="8204"/>
        </w:tabs>
      </w:pPr>
      <w:r>
        <w:t>Figura 4.1 — Parâmetros antropométricos utilizados na modelação paramétrica de dedos protésicos.</w:t>
        <w:tab/>
      </w:r>
      <w:r>
        <w:t>46</w:t>
      </w:r>
    </w:p>
    <w:p>
      <w:pPr>
        <w:pStyle w:val="ndice1"/>
        <w:tabs>
          <w:tab w:val="right" w:leader="dot" w:pos="8204"/>
        </w:tabs>
      </w:pPr>
      <w:r>
        <w:t>Figura 4.2 — Comparação entre o escalonamento uniforme e a modelação paramétrica de dedo protésico.</w:t>
        <w:tab/>
      </w:r>
      <w:r>
        <w:t>49</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Componentes impressos e estados preliminares de montagem: segmentos digitais articulados, palma e elementos separados.</w:t>
        <w:tab/>
      </w:r>
      <w:r>
        <w:t>92</w:t>
      </w:r>
    </w:p>
    <w:p>
      <w:pPr>
        <w:pStyle w:val="ndice1"/>
        <w:tabs>
          <w:tab w:val="right" w:leader="dot" w:pos="8204"/>
        </w:tabs>
      </w:pPr>
      <w:r>
        <w:t>Figura 8.2 — Séries físicas de segmentos identificados pelos perfis de ensaio de 8, 15, 28 e 70 anos.</w:t>
        <w:tab/>
      </w:r>
      <w:r>
        <w:t>92</w:t>
      </w:r>
    </w:p>
    <w:p>
      <w:pPr>
        <w:pStyle w:val="ndice1"/>
        <w:tabs>
          <w:tab w:val="right" w:leader="dot" w:pos="8204"/>
        </w:tabs>
      </w:pPr>
      <w:r>
        <w:t>Figura 8.3 — UnLimbited Phoenix configurada para o perfil de ensaio de 15 anos, apresentada em sete vistas da montagem física.</w:t>
        <w:tab/>
      </w:r>
      <w:r>
        <w:t>92</w:t>
      </w:r>
    </w:p>
    <w:p>
      <w:pPr>
        <w:pStyle w:val="ndice1"/>
        <w:tabs>
          <w:tab w:val="right" w:leader="dot" w:pos="8204"/>
        </w:tabs>
      </w:pPr>
      <w:r>
        <w:t>Figura 8.4 — Tarefas funcionais usadas em avaliação de prótese personalizada de membro superior.</w:t>
        <w:tab/>
      </w:r>
      <w:r>
        <w:t>93</w:t>
      </w:r>
    </w:p>
    <w:p>
      <w:pPr>
        <w:pStyle w:val="ndice1"/>
        <w:tabs>
          <w:tab w:val="right" w:leader="dot" w:pos="8204"/>
        </w:tabs>
      </w:pPr>
      <w:r>
        <w:t>Figura C.1 — Fluxo entre dados de entrada, mapa comum, regras específicas dos modelos e geometria exportável. Produção própria.</w:t>
        <w:tab/>
      </w:r>
      <w:r>
        <w:t>140</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33</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34</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37</w:t>
      </w:r>
    </w:p>
    <w:p>
      <w:pPr>
        <w:pStyle w:val="ndice2"/>
        <w:tabs>
          <w:tab w:val="right" w:leader="dot" w:pos="8204"/>
        </w:tabs>
      </w:pPr>
      <w:r>
        <w:t>3.1 Enquadramento metodológico e abordagem Research Through Design</w:t>
        <w:tab/>
      </w:r>
      <w:r>
        <w:t>37</w:t>
      </w:r>
    </w:p>
    <w:p>
      <w:pPr>
        <w:pStyle w:val="ndice2"/>
        <w:tabs>
          <w:tab w:val="right" w:leader="dot" w:pos="8204"/>
        </w:tabs>
      </w:pPr>
      <w:r>
        <w:t>3.2 O design industrial como prática investigativa</w:t>
        <w:tab/>
      </w:r>
      <w:r>
        <w:t>38</w:t>
      </w:r>
    </w:p>
    <w:p>
      <w:pPr>
        <w:pStyle w:val="ndice2"/>
        <w:tabs>
          <w:tab w:val="right" w:leader="dot" w:pos="8204"/>
        </w:tabs>
      </w:pPr>
      <w:r>
        <w:t>3.3 Estrutura metodológica do projecto</w:t>
        <w:tab/>
      </w:r>
      <w:r>
        <w:t>39</w:t>
      </w:r>
    </w:p>
    <w:p>
      <w:pPr>
        <w:pStyle w:val="ndice2"/>
        <w:tabs>
          <w:tab w:val="right" w:leader="dot" w:pos="8204"/>
        </w:tabs>
      </w:pPr>
      <w:r>
        <w:t>3.4 Métodos de recolha e análise de dados</w:t>
        <w:tab/>
      </w:r>
      <w:r>
        <w:t>41</w:t>
      </w:r>
    </w:p>
    <w:p>
      <w:pPr>
        <w:pStyle w:val="ndice2"/>
        <w:tabs>
          <w:tab w:val="right" w:leader="dot" w:pos="8204"/>
        </w:tabs>
      </w:pPr>
      <w:r>
        <w:t>3.5 Critérios de avaliação e limitações metodológicas</w:t>
        <w:tab/>
      </w:r>
      <w:r>
        <w:t>43</w:t>
      </w:r>
    </w:p>
    <w:p>
      <w:pPr>
        <w:pStyle w:val="ndice1"/>
        <w:tabs>
          <w:tab w:val="right" w:leader="dot" w:pos="8204"/>
        </w:tabs>
      </w:pPr>
      <w:r>
        <w:t>Capítulo 4 — Desenvolvimento do Modelo Paramétrico</w:t>
        <w:tab/>
      </w:r>
      <w:r>
        <w:t>45</w:t>
      </w:r>
    </w:p>
    <w:p>
      <w:pPr>
        <w:pStyle w:val="ndice2"/>
        <w:tabs>
          <w:tab w:val="right" w:leader="dot" w:pos="8204"/>
        </w:tabs>
      </w:pPr>
      <w:r>
        <w:t>4.1 Definição do problema de design e requisitos</w:t>
        <w:tab/>
      </w:r>
      <w:r>
        <w:t>45</w:t>
      </w:r>
    </w:p>
    <w:p>
      <w:pPr>
        <w:pStyle w:val="ndice2"/>
        <w:tabs>
          <w:tab w:val="right" w:leader="dot" w:pos="8204"/>
        </w:tabs>
      </w:pPr>
      <w:r>
        <w:t>4.2 Parâmetros antropométricos e estrutura do modelo</w:t>
        <w:tab/>
      </w:r>
      <w:r>
        <w:t>46</w:t>
      </w:r>
    </w:p>
    <w:p>
      <w:pPr>
        <w:pStyle w:val="ndice2"/>
        <w:tabs>
          <w:tab w:val="right" w:leader="dot" w:pos="8204"/>
        </w:tabs>
      </w:pPr>
      <w:r>
        <w:t>Conjuntos mínimos de parâmetros por nível de amputação</w:t>
        <w:tab/>
      </w:r>
      <w:r>
        <w:t>47</w:t>
      </w:r>
    </w:p>
    <w:p>
      <w:pPr>
        <w:pStyle w:val="ndice2"/>
        <w:tabs>
          <w:tab w:val="right" w:leader="dot" w:pos="8204"/>
        </w:tabs>
      </w:pPr>
      <w:r>
        <w:t>Limitações do redimensionamento proporcional</w:t>
        <w:tab/>
      </w:r>
      <w:r>
        <w:t>48</w:t>
      </w:r>
    </w:p>
    <w:p>
      <w:pPr>
        <w:pStyle w:val="ndice2"/>
        <w:tabs>
          <w:tab w:val="right" w:leader="dot" w:pos="8204"/>
        </w:tabs>
      </w:pPr>
      <w:r>
        <w:t>Métodos de recolha de dados antropométricos</w:t>
        <w:tab/>
      </w:r>
      <w:r>
        <w:t>49</w:t>
      </w:r>
    </w:p>
    <w:p>
      <w:pPr>
        <w:pStyle w:val="ndice2"/>
        <w:tabs>
          <w:tab w:val="right" w:leader="dot" w:pos="8204"/>
        </w:tabs>
      </w:pPr>
      <w:r>
        <w:t>Bases de dados antropométricas, extracção e normalização</w:t>
        <w:tab/>
      </w:r>
      <w:r>
        <w:t>49</w:t>
      </w:r>
    </w:p>
    <w:p>
      <w:pPr>
        <w:pStyle w:val="ndice2"/>
        <w:tabs>
          <w:tab w:val="right" w:leader="dot" w:pos="8204"/>
        </w:tabs>
      </w:pPr>
      <w:r>
        <w:t>Correspondência entre perfil populacional e parâmetros do modelo</w:t>
        <w:tab/>
      </w:r>
      <w:r>
        <w:t>50</w:t>
      </w:r>
    </w:p>
    <w:p>
      <w:pPr>
        <w:pStyle w:val="ndice2"/>
        <w:tabs>
          <w:tab w:val="right" w:leader="dot" w:pos="8204"/>
        </w:tabs>
      </w:pPr>
      <w:r>
        <w:t>Estrutura paramétrica e mapeamento de parâmetros</w:t>
        <w:tab/>
      </w:r>
      <w:r>
        <w:t>51</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57</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e decisões de projecto</w:t>
        <w:tab/>
      </w:r>
      <w:r>
        <w:t>60</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77</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93</w:t>
      </w:r>
    </w:p>
    <w:p>
      <w:pPr>
        <w:pStyle w:val="ndice2"/>
        <w:tabs>
          <w:tab w:val="right" w:leader="dot" w:pos="8204"/>
        </w:tabs>
      </w:pPr>
      <w:r>
        <w:t>8.3 Verificação geométrica entre modelos</w:t>
        <w:tab/>
      </w:r>
      <w:r>
        <w:t>96</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101</w:t>
      </w:r>
    </w:p>
    <w:p>
      <w:pPr>
        <w:pStyle w:val="ndice2"/>
        <w:tabs>
          <w:tab w:val="right" w:leader="dot" w:pos="8204"/>
        </w:tabs>
      </w:pPr>
      <w:r>
        <w:t>9.1 Resposta ao problema e às perguntas de investigação</w:t>
        <w:tab/>
      </w:r>
      <w:r>
        <w:t>101</w:t>
      </w:r>
    </w:p>
    <w:p>
      <w:pPr>
        <w:pStyle w:val="ndice2"/>
        <w:tabs>
          <w:tab w:val="right" w:leader="dot" w:pos="8204"/>
        </w:tabs>
      </w:pPr>
      <w:r>
        <w:t>9.2 Contributos da investigação</w:t>
        <w:tab/>
      </w:r>
      <w:r>
        <w:t>102</w:t>
      </w:r>
    </w:p>
    <w:p>
      <w:pPr>
        <w:pStyle w:val="ndice2"/>
        <w:tabs>
          <w:tab w:val="right" w:leader="dot" w:pos="8204"/>
        </w:tabs>
      </w:pPr>
      <w:r>
        <w:t>9.3 Limitações</w:t>
        <w:tab/>
      </w:r>
      <w:r>
        <w:t>102</w:t>
      </w:r>
    </w:p>
    <w:p>
      <w:pPr>
        <w:pStyle w:val="ndice2"/>
        <w:tabs>
          <w:tab w:val="right" w:leader="dot" w:pos="8204"/>
        </w:tabs>
      </w:pPr>
      <w:r>
        <w:t>9.4 Trabalho futuro</w:t>
        <w:tab/>
      </w:r>
      <w:r>
        <w:t>103</w:t>
      </w:r>
    </w:p>
    <w:p>
      <w:pPr>
        <w:pStyle w:val="ndice1"/>
        <w:tabs>
          <w:tab w:val="right" w:leader="dot" w:pos="8204"/>
        </w:tabs>
      </w:pPr>
      <w:r>
        <w:t>Referências Bibliográficas</w:t>
        <w:tab/>
      </w:r>
      <w:r>
        <w:t>105</w:t>
      </w:r>
    </w:p>
    <w:p>
      <w:pPr>
        <w:pStyle w:val="ndice1"/>
        <w:tabs>
          <w:tab w:val="right" w:leader="dot" w:pos="8204"/>
        </w:tabs>
      </w:pPr>
      <w:r>
        <w:t>Anexo A — Metodologia de extracção e codificação de dados antropométricos da mão</w:t>
        <w:tab/>
      </w:r>
      <w:r>
        <w:t>117</w:t>
      </w:r>
    </w:p>
    <w:p>
      <w:pPr>
        <w:pStyle w:val="ndice1"/>
        <w:tabs>
          <w:tab w:val="right" w:leader="dot" w:pos="8204"/>
        </w:tabs>
      </w:pPr>
      <w:r>
        <w:t>Anexo B — Avaliação do processo paramétrico e da interface da plataforma HandFab</w:t>
        <w:tab/>
      </w:r>
      <w:r>
        <w:t>132</w:t>
      </w:r>
    </w:p>
    <w:p>
      <w:pPr>
        <w:pStyle w:val="ndice1"/>
        <w:tabs>
          <w:tab w:val="right" w:leader="dot" w:pos="8204"/>
        </w:tabs>
      </w:pPr>
      <w:r>
        <w:t>Anexo C — Adaptação paramétrica dos modelos de mão protésica</w:t>
        <w:tab/>
      </w:r>
      <w:r>
        <w:t>138</w:t>
      </w:r>
    </w:p>
    <w:p>
      <w:pPr>
        <w:pStyle w:val="ndice1"/>
        <w:tabs>
          <w:tab w:val="right" w:leader="dot" w:pos="8204"/>
        </w:tabs>
      </w:pPr>
      <w:r>
        <w:t>Anexo D — Preparação para fabrico e verificação dos protótipos</w:t>
        <w:tab/>
      </w:r>
      <w:r>
        <w:t>152</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TextoNormal-IPCA"/>
      </w:pPr>
      <w:r>
        <w:drawing>
          <wp:inline distT="0" distB="0" distL="0" distR="0">
            <wp:extent cx="5715000" cy="4067175"/>
            <wp:docPr id="3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 descr="Image 1"/>
                    <pic:cNvPicPr/>
                  </pic:nvPicPr>
                  <pic:blipFill>
                    <a:blip r:embed="rId57"/>
                    <a:stretch>
                      <a:fillRect/>
                    </a:stretch>
                  </pic:blipFill>
                  <pic:spPr>
                    <a:xfrm>
                      <a:off x="0" y="0"/>
                      <a:ext cx="5715000" cy="4067175"/>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r>
        <w:rPr>
          <w:rFonts w:ascii="Consolas" w:hAnsi="Consolas"/>
          <w:sz w:val="20"/>
        </w:rPr>
        <w:t/>
      </w:r>
      <w:r>
        <w:t xml:space="preserve"/>
      </w:r>
      <w:r>
        <w:rPr>
          <w:rFonts w:ascii="Consolas" w:hAnsi="Consolas"/>
          <w:sz w:val="20"/>
        </w:rPr>
        <w:t/>
      </w:r>
      <w:r>
        <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r>
        <w:rPr>
          <w:rFonts w:ascii="Consolas" w:hAnsi="Consolas"/>
          <w:sz w:val="20"/>
        </w:rPr>
        <w:t/>
      </w:r>
      <w:r>
        <w:t xml:space="preserve"/>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118</w:t>
      </w:r>
    </w:p>
    <w:p>
      <w:pPr>
        <w:pStyle w:val="ndiceAnexo2"/>
        <w:tabs>
          <w:tab w:val="right" w:leader="dot" w:pos="8204"/>
        </w:tabs>
      </w:pPr>
      <w:r>
        <w:t>A.2 Estratégia de Pesquisa Bibliográfica</w:t>
        <w:tab/>
      </w:r>
      <w:r>
        <w:t>118</w:t>
      </w:r>
    </w:p>
    <w:p>
      <w:pPr>
        <w:pStyle w:val="ndiceAnexo3"/>
        <w:tabs>
          <w:tab w:val="right" w:leader="dot" w:pos="8204"/>
        </w:tabs>
      </w:pPr>
      <w:r>
        <w:t>A.2.1 Pesquisa bibliográfica orientada</w:t>
        <w:tab/>
      </w:r>
      <w:r>
        <w:t>118</w:t>
      </w:r>
    </w:p>
    <w:p>
      <w:pPr>
        <w:pStyle w:val="ndiceAnexo3"/>
        <w:tabs>
          <w:tab w:val="right" w:leader="dot" w:pos="8204"/>
        </w:tabs>
      </w:pPr>
      <w:r>
        <w:t>A.2.2 Base ANSUR 1988</w:t>
        <w:tab/>
      </w:r>
      <w:r>
        <w:t>118</w:t>
      </w:r>
    </w:p>
    <w:p>
      <w:pPr>
        <w:pStyle w:val="ndiceAnexo2"/>
        <w:tabs>
          <w:tab w:val="right" w:leader="dot" w:pos="8204"/>
        </w:tabs>
      </w:pPr>
      <w:r>
        <w:t>A.3 Critérios de Inclusão e Exclusão de Estudos</w:t>
        <w:tab/>
      </w:r>
      <w:r>
        <w:t>119</w:t>
      </w:r>
    </w:p>
    <w:p>
      <w:pPr>
        <w:pStyle w:val="ndiceAnexo3"/>
        <w:tabs>
          <w:tab w:val="right" w:leader="dot" w:pos="8204"/>
        </w:tabs>
      </w:pPr>
      <w:r>
        <w:t>A.3.1 Critérios de inclusão</w:t>
        <w:tab/>
      </w:r>
      <w:r>
        <w:t>119</w:t>
      </w:r>
    </w:p>
    <w:p>
      <w:pPr>
        <w:pStyle w:val="ndiceAnexo3"/>
        <w:tabs>
          <w:tab w:val="right" w:leader="dot" w:pos="8204"/>
        </w:tabs>
      </w:pPr>
      <w:r>
        <w:t>A.3.2 Critérios de exclusão</w:t>
        <w:tab/>
      </w:r>
      <w:r>
        <w:t>119</w:t>
      </w:r>
    </w:p>
    <w:p>
      <w:pPr>
        <w:pStyle w:val="ndiceAnexo2"/>
        <w:tabs>
          <w:tab w:val="right" w:leader="dot" w:pos="8204"/>
        </w:tabs>
      </w:pPr>
      <w:r>
        <w:t>A.4 Processo de Extracção de Dados</w:t>
        <w:tab/>
      </w:r>
      <w:r>
        <w:t>119</w:t>
      </w:r>
    </w:p>
    <w:p>
      <w:pPr>
        <w:pStyle w:val="ndiceAnexo3"/>
        <w:tabs>
          <w:tab w:val="right" w:leader="dot" w:pos="8204"/>
        </w:tabs>
      </w:pPr>
      <w:r>
        <w:t>A.4.1 Leitura dos PDFs e localização das tabelas</w:t>
        <w:tab/>
      </w:r>
      <w:r>
        <w:t>119</w:t>
      </w:r>
    </w:p>
    <w:p>
      <w:pPr>
        <w:pStyle w:val="ndiceAnexo3"/>
        <w:tabs>
          <w:tab w:val="right" w:leader="dot" w:pos="8204"/>
        </w:tabs>
      </w:pPr>
      <w:r>
        <w:t>A.4.2 Identificação das unidades e conversão</w:t>
        <w:tab/>
      </w:r>
      <w:r>
        <w:t>120</w:t>
      </w:r>
    </w:p>
    <w:p>
      <w:pPr>
        <w:pStyle w:val="ndiceAnexo3"/>
        <w:tabs>
          <w:tab w:val="right" w:leader="dot" w:pos="8204"/>
        </w:tabs>
      </w:pPr>
      <w:r>
        <w:t>A.4.3 Decomposição em linhas atómicas</w:t>
        <w:tab/>
      </w:r>
      <w:r>
        <w:t>120</w:t>
      </w:r>
    </w:p>
    <w:p>
      <w:pPr>
        <w:pStyle w:val="ndiceAnexo3"/>
        <w:tabs>
          <w:tab w:val="right" w:leader="dot" w:pos="8204"/>
        </w:tabs>
      </w:pPr>
      <w:r>
        <w:t>A.4.4 Registo fiel do contexto da medição</w:t>
        <w:tab/>
      </w:r>
      <w:r>
        <w:t>120</w:t>
      </w:r>
    </w:p>
    <w:p>
      <w:pPr>
        <w:pStyle w:val="ndiceAnexo2"/>
        <w:tabs>
          <w:tab w:val="right" w:leader="dot" w:pos="8204"/>
        </w:tabs>
      </w:pPr>
      <w:r>
        <w:t>A.5 Decisões por Estudo</w:t>
        <w:tab/>
      </w:r>
      <w:r>
        <w:t>120</w:t>
      </w:r>
    </w:p>
    <w:p>
      <w:pPr>
        <w:pStyle w:val="ndiceAnexo3"/>
        <w:tabs>
          <w:tab w:val="right" w:leader="dot" w:pos="8204"/>
        </w:tabs>
      </w:pPr>
      <w:r>
        <w:t>A.5.1 ANSUR 1988 — EUA, militares (Gordon et al., 1989)</w:t>
        <w:tab/>
      </w:r>
      <w:r>
        <w:t>120</w:t>
      </w:r>
    </w:p>
    <w:p>
      <w:pPr>
        <w:pStyle w:val="ndiceAnexo3"/>
        <w:tabs>
          <w:tab w:val="right" w:leader="dot" w:pos="8204"/>
        </w:tabs>
      </w:pPr>
      <w:r>
        <w:t>A.5.2 Turquia — jovens adultos (Chatzioglou et al., 2024)</w:t>
        <w:tab/>
      </w:r>
      <w:r>
        <w:t>121</w:t>
      </w:r>
    </w:p>
    <w:p>
      <w:pPr>
        <w:pStyle w:val="ndiceAnexo3"/>
        <w:tabs>
          <w:tab w:val="right" w:leader="dot" w:pos="8204"/>
        </w:tabs>
      </w:pPr>
      <w:r>
        <w:t>A.5.3 México — população geral (Rodríguez-Vega &amp; Rodríguez-Vega, 2024)</w:t>
        <w:tab/>
      </w:r>
      <w:r>
        <w:t>121</w:t>
      </w:r>
    </w:p>
    <w:p>
      <w:pPr>
        <w:pStyle w:val="ndiceAnexo3"/>
        <w:tabs>
          <w:tab w:val="right" w:leader="dot" w:pos="8204"/>
        </w:tabs>
      </w:pPr>
      <w:r>
        <w:t>A.5.4 Índia — mulheres trabalhadoras (Nag et al., 2003)</w:t>
        <w:tab/>
      </w:r>
      <w:r>
        <w:t>121</w:t>
      </w:r>
    </w:p>
    <w:p>
      <w:pPr>
        <w:pStyle w:val="ndiceAnexo3"/>
        <w:tabs>
          <w:tab w:val="right" w:leader="dot" w:pos="8204"/>
        </w:tabs>
      </w:pPr>
      <w:r>
        <w:t>A.5.5 Portugal — trabalhadores industriais (Anacleto Filho et al., 2023)</w:t>
        <w:tab/>
      </w:r>
      <w:r>
        <w:t>122</w:t>
      </w:r>
    </w:p>
    <w:p>
      <w:pPr>
        <w:pStyle w:val="ndiceAnexo3"/>
        <w:tabs>
          <w:tab w:val="right" w:leader="dot" w:pos="8204"/>
        </w:tabs>
      </w:pPr>
      <w:r>
        <w:t>A.5.6 Nigéria — atletas universitários (Ibiwari et al., 2025)</w:t>
        <w:tab/>
      </w:r>
      <w:r>
        <w:t>122</w:t>
      </w:r>
    </w:p>
    <w:p>
      <w:pPr>
        <w:pStyle w:val="ndiceAnexo3"/>
        <w:tabs>
          <w:tab w:val="right" w:leader="dot" w:pos="8204"/>
        </w:tabs>
      </w:pPr>
      <w:r>
        <w:t>A.5.7 Jordânia — trabalhadores com deficiência (Mistarihi, 2020)</w:t>
        <w:tab/>
      </w:r>
      <w:r>
        <w:t>122</w:t>
      </w:r>
    </w:p>
    <w:p>
      <w:pPr>
        <w:pStyle w:val="ndiceAnexo3"/>
        <w:tabs>
          <w:tab w:val="right" w:leader="dot" w:pos="8204"/>
        </w:tabs>
      </w:pPr>
      <w:r>
        <w:t>A.5.8 EUA — dedo indicador (Lim et al., 2018)</w:t>
        <w:tab/>
      </w:r>
      <w:r>
        <w:t>122</w:t>
      </w:r>
    </w:p>
    <w:p>
      <w:pPr>
        <w:pStyle w:val="ndiceAnexo3"/>
        <w:tabs>
          <w:tab w:val="right" w:leader="dot" w:pos="8204"/>
        </w:tabs>
      </w:pPr>
      <w:r>
        <w:t>A.5.9 Estudo excluído: Moreo (2016)</w:t>
        <w:tab/>
      </w:r>
      <w:r>
        <w:t>123</w:t>
      </w:r>
    </w:p>
    <w:p>
      <w:pPr>
        <w:pStyle w:val="ndiceAnexo3"/>
        <w:tabs>
          <w:tab w:val="right" w:leader="dot" w:pos="8204"/>
        </w:tabs>
      </w:pPr>
      <w:r>
        <w:t>A.5.10 EUA — militares ANSUR II (Gordon et al., 2015)</w:t>
        <w:tab/>
      </w:r>
      <w:r>
        <w:t>123</w:t>
      </w:r>
    </w:p>
    <w:p>
      <w:pPr>
        <w:pStyle w:val="ndiceAnexo3"/>
        <w:tabs>
          <w:tab w:val="right" w:leader="dot" w:pos="8204"/>
        </w:tabs>
      </w:pPr>
      <w:r>
        <w:t>A.5.11 Países Baixos — DINED (TU Delft, 1993–2004)</w:t>
        <w:tab/>
      </w:r>
      <w:r>
        <w:t>123</w:t>
      </w:r>
    </w:p>
    <w:p>
      <w:pPr>
        <w:pStyle w:val="ndiceAnexo3"/>
        <w:tabs>
          <w:tab w:val="right" w:leader="dot" w:pos="8204"/>
        </w:tabs>
      </w:pPr>
      <w:r>
        <w:t>A.5.12 China — idosos de Pequim (Hu et al., 2007)</w:t>
        <w:tab/>
      </w:r>
      <w:r>
        <w:t>124</w:t>
      </w:r>
    </w:p>
    <w:p>
      <w:pPr>
        <w:pStyle w:val="ndiceAnexo3"/>
        <w:tabs>
          <w:tab w:val="right" w:leader="dot" w:pos="8204"/>
        </w:tabs>
      </w:pPr>
      <w:r>
        <w:t>A.5.13 Estudo excluído: reconstrução corporal 3D a partir de fotografias ortogonais</w:t>
        <w:tab/>
      </w:r>
      <w:r>
        <w:t>124</w:t>
      </w:r>
    </w:p>
    <w:p>
      <w:pPr>
        <w:pStyle w:val="ndiceAnexo2"/>
        <w:tabs>
          <w:tab w:val="right" w:leader="dot" w:pos="8204"/>
        </w:tabs>
      </w:pPr>
      <w:r>
        <w:t>A.6 Estrutura do CSV e esquema de dados</w:t>
        <w:tab/>
      </w:r>
      <w:r>
        <w:t>124</w:t>
      </w:r>
    </w:p>
    <w:p>
      <w:pPr>
        <w:pStyle w:val="ndiceAnexo3"/>
        <w:tabs>
          <w:tab w:val="right" w:leader="dot" w:pos="8204"/>
        </w:tabs>
      </w:pPr>
      <w:r>
        <w:t>A.6.1 Campos</w:t>
        <w:tab/>
      </w:r>
      <w:r>
        <w:t>124</w:t>
      </w:r>
    </w:p>
    <w:p>
      <w:pPr>
        <w:pStyle w:val="ndiceAnexo3"/>
        <w:tabs>
          <w:tab w:val="right" w:leader="dot" w:pos="8204"/>
        </w:tabs>
      </w:pPr>
      <w:r>
        <w:t>A.6.2 Formato longo (long format)</w:t>
        <w:tab/>
      </w:r>
      <w:r>
        <w:t>125</w:t>
      </w:r>
    </w:p>
    <w:p>
      <w:pPr>
        <w:pStyle w:val="ndiceAnexo2"/>
        <w:tabs>
          <w:tab w:val="right" w:leader="dot" w:pos="8204"/>
        </w:tabs>
      </w:pPr>
      <w:r>
        <w:t>A.7 Controlo de Qualidade dos Dados</w:t>
        <w:tab/>
      </w:r>
      <w:r>
        <w:t>125</w:t>
      </w:r>
    </w:p>
    <w:p>
      <w:pPr>
        <w:pStyle w:val="ndiceAnexo3"/>
        <w:tabs>
          <w:tab w:val="right" w:leader="dot" w:pos="8204"/>
        </w:tabs>
      </w:pPr>
      <w:r>
        <w:t>A.7.1 Marcação inline de limitações</w:t>
        <w:tab/>
      </w:r>
      <w:r>
        <w:t>126</w:t>
      </w:r>
    </w:p>
    <w:p>
      <w:pPr>
        <w:pStyle w:val="ndiceAnexo3"/>
        <w:tabs>
          <w:tab w:val="right" w:leader="dot" w:pos="8204"/>
        </w:tabs>
      </w:pPr>
      <w:r>
        <w:t>A.7.2 Verificação de unidades</w:t>
        <w:tab/>
      </w:r>
      <w:r>
        <w:t>126</w:t>
      </w:r>
    </w:p>
    <w:p>
      <w:pPr>
        <w:pStyle w:val="ndiceAnexo3"/>
        <w:tabs>
          <w:tab w:val="right" w:leader="dot" w:pos="8204"/>
        </w:tabs>
      </w:pPr>
      <w:r>
        <w:t>A.7.3 Ligação à fonte</w:t>
        <w:tab/>
      </w:r>
      <w:r>
        <w:t>126</w:t>
      </w:r>
    </w:p>
    <w:p>
      <w:pPr>
        <w:pStyle w:val="ndiceAnexo2"/>
        <w:tabs>
          <w:tab w:val="right" w:leader="dot" w:pos="8204"/>
        </w:tabs>
      </w:pPr>
      <w:r>
        <w:t>A.8 Escrita do Código de Geração</w:t>
        <w:tab/>
      </w:r>
      <w:r>
        <w:t>126</w:t>
      </w:r>
    </w:p>
    <w:p>
      <w:pPr>
        <w:pStyle w:val="ndiceAnexo3"/>
        <w:tabs>
          <w:tab w:val="right" w:leader="dot" w:pos="8204"/>
        </w:tabs>
      </w:pPr>
      <w:r>
        <w:t>A.8.1 Correspondência entre os CSV e os parâmetros da plataforma</w:t>
        <w:tab/>
      </w:r>
      <w:r>
        <w:t>126</w:t>
      </w:r>
    </w:p>
    <w:p>
      <w:pPr>
        <w:pStyle w:val="ndiceAnexo2"/>
        <w:tabs>
          <w:tab w:val="right" w:leader="dot" w:pos="8204"/>
        </w:tabs>
      </w:pPr>
      <w:r>
        <w:t>A.9 Resultado Final</w:t>
        <w:tab/>
      </w:r>
      <w:r>
        <w:t>127</w:t>
      </w:r>
    </w:p>
    <w:p>
      <w:pPr>
        <w:pStyle w:val="ndiceAnexo2"/>
        <w:tabs>
          <w:tab w:val="right" w:leader="dot" w:pos="8204"/>
        </w:tabs>
      </w:pPr>
      <w:r>
        <w:t>A.10 Cobertura Global da Base de Dados e Lacunas</w:t>
        <w:tab/>
      </w:r>
      <w:r>
        <w:t>128</w:t>
      </w:r>
    </w:p>
    <w:p>
      <w:pPr>
        <w:pStyle w:val="ndiceAnexo3"/>
        <w:tabs>
          <w:tab w:val="right" w:leader="dot" w:pos="8204"/>
        </w:tabs>
      </w:pPr>
      <w:r>
        <w:t>A.10.1 O que está coberto</w:t>
        <w:tab/>
      </w:r>
      <w:r>
        <w:t>128</w:t>
      </w:r>
    </w:p>
    <w:p>
      <w:pPr>
        <w:pStyle w:val="ndiceAnexo4"/>
        <w:tabs>
          <w:tab w:val="right" w:leader="dot" w:pos="8204"/>
        </w:tabs>
      </w:pPr>
      <w:r>
        <w:t>A.10.1.1 Cobertura geográfica</w:t>
        <w:tab/>
      </w:r>
      <w:r>
        <w:t>128</w:t>
      </w:r>
    </w:p>
    <w:p>
      <w:pPr>
        <w:pStyle w:val="ndiceAnexo4"/>
        <w:tabs>
          <w:tab w:val="right" w:leader="dot" w:pos="8204"/>
        </w:tabs>
      </w:pPr>
      <w:r>
        <w:t>A.10.1.2 Cobertura etária</w:t>
        <w:tab/>
      </w:r>
      <w:r>
        <w:t>128</w:t>
      </w:r>
    </w:p>
    <w:p>
      <w:pPr>
        <w:pStyle w:val="ndiceAnexo4"/>
        <w:tabs>
          <w:tab w:val="right" w:leader="dot" w:pos="8204"/>
        </w:tabs>
      </w:pPr>
      <w:r>
        <w:t>A.10.1.3 Cobertura estatística</w:t>
        <w:tab/>
      </w:r>
      <w:r>
        <w:t>129</w:t>
      </w:r>
    </w:p>
    <w:p>
      <w:pPr>
        <w:pStyle w:val="ndiceAnexo3"/>
        <w:tabs>
          <w:tab w:val="right" w:leader="dot" w:pos="8204"/>
        </w:tabs>
      </w:pPr>
      <w:r>
        <w:t>A.10.2 Onde a cobertura falha</w:t>
        <w:tab/>
      </w:r>
      <w:r>
        <w:t>129</w:t>
      </w:r>
    </w:p>
    <w:p>
      <w:pPr>
        <w:pStyle w:val="ndiceAnexo4"/>
        <w:tabs>
          <w:tab w:val="right" w:leader="dot" w:pos="8204"/>
        </w:tabs>
      </w:pPr>
      <w:r>
        <w:t>A.10.2.1 Lacunas geográficas</w:t>
        <w:tab/>
      </w:r>
      <w:r>
        <w:t>129</w:t>
      </w:r>
    </w:p>
    <w:p>
      <w:pPr>
        <w:pStyle w:val="ndiceAnexo4"/>
        <w:tabs>
          <w:tab w:val="right" w:leader="dot" w:pos="8204"/>
        </w:tabs>
      </w:pPr>
      <w:r>
        <w:t>A.10.2.2 Lacunas demográficas</w:t>
        <w:tab/>
      </w:r>
      <w:r>
        <w:t>130</w:t>
      </w:r>
    </w:p>
    <w:p>
      <w:pPr>
        <w:pStyle w:val="ndiceAnexo4"/>
        <w:tabs>
          <w:tab w:val="right" w:leader="dot" w:pos="8204"/>
        </w:tabs>
      </w:pPr>
      <w:r>
        <w:t>A.10.2.3 Limitações qualitativas dos dados existentes</w:t>
        <w:tab/>
      </w:r>
      <w:r>
        <w:t>130</w:t>
      </w:r>
    </w:p>
    <w:p>
      <w:pPr>
        <w:pStyle w:val="ndiceAnexo3"/>
        <w:tabs>
          <w:tab w:val="right" w:leader="dot" w:pos="8204"/>
        </w:tabs>
      </w:pPr>
      <w:r>
        <w:t>A.10.3 Frentes identificadas para expansão futura</w:t>
        <w:tab/>
      </w:r>
      <w:r>
        <w:t>131</w:t>
      </w:r>
    </w:p>
    <w:p>
      <w:pPr>
        <w:pStyle w:val="ndiceAnexo4"/>
        <w:tabs>
          <w:tab w:val="right" w:leader="dot" w:pos="8204"/>
        </w:tabs>
      </w:pPr>
      <w:r>
        <w:t>A.10.3.1 Prioridade alta</w:t>
        <w:tab/>
      </w:r>
      <w:r>
        <w:t>131</w:t>
      </w:r>
    </w:p>
    <w:p>
      <w:pPr>
        <w:pStyle w:val="ndiceAnexo4"/>
        <w:tabs>
          <w:tab w:val="right" w:leader="dot" w:pos="8204"/>
        </w:tabs>
      </w:pPr>
      <w:r>
        <w:t>A.10.3.2 Prioridade média</w:t>
        <w:tab/>
      </w:r>
      <w:r>
        <w:t>131</w:t>
      </w:r>
    </w:p>
    <w:p>
      <w:pPr>
        <w:pStyle w:val="ndiceAnexo4"/>
        <w:tabs>
          <w:tab w:val="right" w:leader="dot" w:pos="8204"/>
        </w:tabs>
      </w:pPr>
      <w:r>
        <w:t>A.10.3.3 Pertinência directa para o tema da tese</w:t>
        <w:tab/>
      </w:r>
      <w:r>
        <w:t>131</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133</w:t>
      </w:r>
    </w:p>
    <w:p>
      <w:pPr>
        <w:pStyle w:val="ndiceAnexo2"/>
        <w:tabs>
          <w:tab w:val="right" w:leader="dot" w:pos="8204"/>
        </w:tabs>
      </w:pPr>
      <w:r>
        <w:t>B.2 Âmbito e limites</w:t>
        <w:tab/>
      </w:r>
      <w:r>
        <w:t>133</w:t>
      </w:r>
    </w:p>
    <w:p>
      <w:pPr>
        <w:pStyle w:val="ndiceAnexo2"/>
        <w:tabs>
          <w:tab w:val="right" w:leader="dot" w:pos="8204"/>
        </w:tabs>
      </w:pPr>
      <w:r>
        <w:t>B.3 Procedimento</w:t>
        <w:tab/>
      </w:r>
      <w:r>
        <w:t>133</w:t>
      </w:r>
    </w:p>
    <w:p>
      <w:pPr>
        <w:pStyle w:val="ndiceAnexo2"/>
        <w:tabs>
          <w:tab w:val="right" w:leader="dot" w:pos="8204"/>
        </w:tabs>
      </w:pPr>
      <w:r>
        <w:t>B.4 Resultados de previsibilidade</w:t>
        <w:tab/>
      </w:r>
      <w:r>
        <w:t>134</w:t>
      </w:r>
    </w:p>
    <w:p>
      <w:pPr>
        <w:pStyle w:val="ndiceAnexo3"/>
        <w:tabs>
          <w:tab w:val="right" w:leader="dot" w:pos="8204"/>
        </w:tabs>
      </w:pPr>
      <w:r>
        <w:t>B.4.1 Repetição da mesma configuração</w:t>
        <w:tab/>
      </w:r>
      <w:r>
        <w:t>134</w:t>
      </w:r>
    </w:p>
    <w:p>
      <w:pPr>
        <w:pStyle w:val="ndiceAnexo3"/>
        <w:tabs>
          <w:tab w:val="right" w:leader="dot" w:pos="8204"/>
        </w:tabs>
      </w:pPr>
      <w:r>
        <w:t>B.4.2 Comparação entre navegadores</w:t>
        <w:tab/>
      </w:r>
      <w:r>
        <w:t>134</w:t>
      </w:r>
    </w:p>
    <w:p>
      <w:pPr>
        <w:pStyle w:val="ndiceAnexo2"/>
        <w:tabs>
          <w:tab w:val="right" w:leader="dot" w:pos="8204"/>
        </w:tabs>
      </w:pPr>
      <w:r>
        <w:t>B.5 Resultados de recuperação e controlo</w:t>
        <w:tab/>
      </w:r>
      <w:r>
        <w:t>135</w:t>
      </w:r>
    </w:p>
    <w:p>
      <w:pPr>
        <w:pStyle w:val="ndiceAnexo2"/>
        <w:tabs>
          <w:tab w:val="right" w:leader="dot" w:pos="8204"/>
        </w:tabs>
      </w:pPr>
      <w:r>
        <w:t>B.6 Resultados da verificação automática de acessibilidade digital</w:t>
        <w:tab/>
      </w:r>
      <w:r>
        <w:t>135</w:t>
      </w:r>
    </w:p>
    <w:p>
      <w:pPr>
        <w:pStyle w:val="ndiceAnexo3"/>
        <w:tabs>
          <w:tab w:val="right" w:leader="dot" w:pos="8204"/>
        </w:tabs>
      </w:pPr>
      <w:r>
        <w:t>B.6.1 Percurso local autenticado</w:t>
        <w:tab/>
      </w:r>
      <w:r>
        <w:t>135</w:t>
      </w:r>
    </w:p>
    <w:p>
      <w:pPr>
        <w:pStyle w:val="ndiceAnexo3"/>
        <w:tabs>
          <w:tab w:val="right" w:leader="dot" w:pos="8204"/>
        </w:tabs>
      </w:pPr>
      <w:r>
        <w:t>B.6.2 Superfície pública</w:t>
        <w:tab/>
      </w:r>
      <w:r>
        <w:t>136</w:t>
      </w:r>
    </w:p>
    <w:p>
      <w:pPr>
        <w:pStyle w:val="ndiceAnexo3"/>
        <w:tabs>
          <w:tab w:val="right" w:leader="dot" w:pos="8204"/>
        </w:tabs>
      </w:pPr>
      <w:r>
        <w:t>B.6.3 Verificação manual pendente</w:t>
        <w:tab/>
      </w:r>
      <w:r>
        <w:t>136</w:t>
      </w:r>
    </w:p>
    <w:p>
      <w:pPr>
        <w:pStyle w:val="ndiceAnexo2"/>
        <w:tabs>
          <w:tab w:val="right" w:leader="dot" w:pos="8204"/>
        </w:tabs>
      </w:pPr>
      <w:r>
        <w:t>B.7 Aprendizagens para o Design Industrial</w:t>
        <w:tab/>
      </w:r>
      <w:r>
        <w:t>136</w:t>
      </w:r>
    </w:p>
    <w:p>
      <w:pPr>
        <w:pStyle w:val="ndiceAnexo2"/>
        <w:tabs>
          <w:tab w:val="right" w:leader="dot" w:pos="8204"/>
        </w:tabs>
      </w:pPr>
      <w:r>
        <w:t>B.8 Conclusão</w:t>
        <w:tab/>
      </w:r>
      <w:r>
        <w:t>137</w:t>
      </w:r>
    </w:p>
    <w:p>
      <w:pPr>
        <w:pStyle w:val="ndiceAnexo2"/>
        <w:tabs>
          <w:tab w:val="right" w:leader="dot" w:pos="8204"/>
        </w:tabs>
      </w:pPr>
      <w:r>
        <w:t>B.9 Ficha técnica e proveniência das evidências</w:t>
        <w:tab/>
      </w:r>
      <w:r>
        <w:t>137</w:t>
      </w:r>
    </w:p>
    <w:p>
      <w:pPr>
        <w:pStyle w:val="ndiceAnexo2"/>
        <w:tabs>
          <w:tab w:val="right" w:leader="dot" w:pos="8204"/>
        </w:tabs>
      </w:pPr>
      <w:r>
        <w:t>B.10 Referências normativas</w:t>
        <w:tab/>
      </w:r>
      <w:r>
        <w:t>137</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139</w:t>
      </w:r>
    </w:p>
    <w:p>
      <w:pPr>
        <w:pStyle w:val="ndiceAnexo2"/>
        <w:tabs>
          <w:tab w:val="right" w:leader="dot" w:pos="8204"/>
        </w:tabs>
      </w:pPr>
      <w:r>
        <w:t>C.2 Princípio comum de adaptação</w:t>
        <w:tab/>
      </w:r>
      <w:r>
        <w:t>139</w:t>
      </w:r>
    </w:p>
    <w:p>
      <w:pPr>
        <w:pStyle w:val="ndiceAnexo3"/>
        <w:tabs>
          <w:tab w:val="right" w:leader="dot" w:pos="8204"/>
        </w:tabs>
      </w:pPr>
      <w:r>
        <w:t>C.2.1 Campos antropométricos comuns</w:t>
        <w:tab/>
      </w:r>
      <w:r>
        <w:t>140</w:t>
      </w:r>
    </w:p>
    <w:p>
      <w:pPr>
        <w:pStyle w:val="ndiceAnexo3"/>
        <w:tabs>
          <w:tab w:val="right" w:leader="dot" w:pos="8204"/>
        </w:tabs>
      </w:pPr>
      <w:r>
        <w:t>C.2.2 Tipos de parâmetros</w:t>
        <w:tab/>
      </w:r>
      <w:r>
        <w:t>141</w:t>
      </w:r>
    </w:p>
    <w:p>
      <w:pPr>
        <w:pStyle w:val="ndiceAnexo3"/>
        <w:tabs>
          <w:tab w:val="right" w:leader="dot" w:pos="8204"/>
        </w:tabs>
      </w:pPr>
      <w:r>
        <w:t>C.2.3 Coerência dos controlos na versão 14.72.0</w:t>
        <w:tab/>
      </w:r>
      <w:r>
        <w:t>141</w:t>
      </w:r>
    </w:p>
    <w:p>
      <w:pPr>
        <w:pStyle w:val="ndiceAnexo2"/>
        <w:tabs>
          <w:tab w:val="right" w:leader="dot" w:pos="8204"/>
        </w:tabs>
      </w:pPr>
      <w:r>
        <w:t>C.3 Flexy Beast</w:t>
        <w:tab/>
      </w:r>
      <w:r>
        <w:t>141</w:t>
      </w:r>
    </w:p>
    <w:p>
      <w:pPr>
        <w:pStyle w:val="ndiceAnexo3"/>
        <w:tabs>
          <w:tab w:val="right" w:leader="dot" w:pos="8204"/>
        </w:tabs>
      </w:pPr>
      <w:r>
        <w:t>C.3.1 Origem e estratégia de adaptação</w:t>
        <w:tab/>
      </w:r>
      <w:r>
        <w:t>141</w:t>
      </w:r>
    </w:p>
    <w:p>
      <w:pPr>
        <w:pStyle w:val="ndiceAnexo3"/>
        <w:tabs>
          <w:tab w:val="right" w:leader="dot" w:pos="8204"/>
        </w:tabs>
      </w:pPr>
      <w:r>
        <w:t>C.3.2 Entradas, limites e relações</w:t>
        <w:tab/>
      </w:r>
      <w:r>
        <w:t>142</w:t>
      </w:r>
    </w:p>
    <w:p>
      <w:pPr>
        <w:pStyle w:val="ndiceAnexo3"/>
        <w:tabs>
          <w:tab w:val="right" w:leader="dot" w:pos="8204"/>
        </w:tabs>
      </w:pPr>
      <w:r>
        <w:t>C.3.3 Braçadeira e interfaces confirmáveis</w:t>
        <w:tab/>
      </w:r>
      <w:r>
        <w:t>143</w:t>
      </w:r>
    </w:p>
    <w:p>
      <w:pPr>
        <w:pStyle w:val="ndiceAnexo3"/>
        <w:tabs>
          <w:tab w:val="right" w:leader="dot" w:pos="8204"/>
        </w:tabs>
      </w:pPr>
      <w:r>
        <w:t>C.3.4 Exemplo de propagação já preservado</w:t>
        <w:tab/>
      </w:r>
      <w:r>
        <w:t>143</w:t>
      </w:r>
    </w:p>
    <w:p>
      <w:pPr>
        <w:pStyle w:val="ndiceAnexo3"/>
        <w:tabs>
          <w:tab w:val="right" w:leader="dot" w:pos="8204"/>
        </w:tabs>
      </w:pPr>
      <w:r>
        <w:t>C.3.5 Limitações específicas</w:t>
        <w:tab/>
      </w:r>
      <w:r>
        <w:t>143</w:t>
      </w:r>
    </w:p>
    <w:p>
      <w:pPr>
        <w:pStyle w:val="ndiceAnexo2"/>
        <w:tabs>
          <w:tab w:val="right" w:leader="dot" w:pos="8204"/>
        </w:tabs>
      </w:pPr>
      <w:r>
        <w:t>C.4 Cyborg Beast</w:t>
        <w:tab/>
      </w:r>
      <w:r>
        <w:t>144</w:t>
      </w:r>
    </w:p>
    <w:p>
      <w:pPr>
        <w:pStyle w:val="ndiceAnexo3"/>
        <w:tabs>
          <w:tab w:val="right" w:leader="dot" w:pos="8204"/>
        </w:tabs>
      </w:pPr>
      <w:r>
        <w:t>C.4.1 Origem e estratégia de adaptação</w:t>
        <w:tab/>
      </w:r>
      <w:r>
        <w:t>144</w:t>
      </w:r>
    </w:p>
    <w:p>
      <w:pPr>
        <w:pStyle w:val="ndiceAnexo3"/>
        <w:tabs>
          <w:tab w:val="right" w:leader="dot" w:pos="8204"/>
        </w:tabs>
      </w:pPr>
      <w:r>
        <w:t>C.4.2 Entradas e escala da mão</w:t>
        <w:tab/>
      </w:r>
      <w:r>
        <w:t>144</w:t>
      </w:r>
    </w:p>
    <w:p>
      <w:pPr>
        <w:pStyle w:val="ndiceAnexo3"/>
        <w:tabs>
          <w:tab w:val="right" w:leader="dot" w:pos="8204"/>
        </w:tabs>
      </w:pPr>
      <w:r>
        <w:t>C.4.3 Divisão proximal–distal</w:t>
        <w:tab/>
      </w:r>
      <w:r>
        <w:t>144</w:t>
      </w:r>
    </w:p>
    <w:p>
      <w:pPr>
        <w:pStyle w:val="ndiceAnexo3"/>
        <w:tabs>
          <w:tab w:val="right" w:leader="dot" w:pos="8204"/>
        </w:tabs>
      </w:pPr>
      <w:r>
        <w:t>C.4.4 Braçadeira, folgas e parâmetros fixos</w:t>
        <w:tab/>
      </w:r>
      <w:r>
        <w:t>145</w:t>
      </w:r>
    </w:p>
    <w:p>
      <w:pPr>
        <w:pStyle w:val="ndiceAnexo3"/>
        <w:tabs>
          <w:tab w:val="right" w:leader="dot" w:pos="8204"/>
        </w:tabs>
      </w:pPr>
      <w:r>
        <w:t>C.4.5 Exemplo de propagação</w:t>
        <w:tab/>
      </w:r>
      <w:r>
        <w:t>145</w:t>
      </w:r>
    </w:p>
    <w:p>
      <w:pPr>
        <w:pStyle w:val="ndiceAnexo3"/>
        <w:tabs>
          <w:tab w:val="right" w:leader="dot" w:pos="8204"/>
        </w:tabs>
      </w:pPr>
      <w:r>
        <w:t>C.4.6 Limitações específicas</w:t>
        <w:tab/>
      </w:r>
      <w:r>
        <w:t>145</w:t>
      </w:r>
    </w:p>
    <w:p>
      <w:pPr>
        <w:pStyle w:val="ndiceAnexo2"/>
        <w:tabs>
          <w:tab w:val="right" w:leader="dot" w:pos="8204"/>
        </w:tabs>
      </w:pPr>
      <w:r>
        <w:t>C.5 Paraglider Hand</w:t>
        <w:tab/>
      </w:r>
      <w:r>
        <w:t>145</w:t>
      </w:r>
    </w:p>
    <w:p>
      <w:pPr>
        <w:pStyle w:val="ndiceAnexo3"/>
        <w:tabs>
          <w:tab w:val="right" w:leader="dot" w:pos="8204"/>
        </w:tabs>
      </w:pPr>
      <w:r>
        <w:t>C.5.1 Origem e estratégia de adaptação</w:t>
        <w:tab/>
      </w:r>
      <w:r>
        <w:t>145</w:t>
      </w:r>
    </w:p>
    <w:p>
      <w:pPr>
        <w:pStyle w:val="ndiceAnexo3"/>
        <w:tabs>
          <w:tab w:val="right" w:leader="dot" w:pos="8204"/>
        </w:tabs>
      </w:pPr>
      <w:r>
        <w:t>C.5.2 Relações implementadas</w:t>
        <w:tab/>
      </w:r>
      <w:r>
        <w:t>145</w:t>
      </w:r>
    </w:p>
    <w:p>
      <w:pPr>
        <w:pStyle w:val="ndiceAnexo3"/>
        <w:tabs>
          <w:tab w:val="right" w:leader="dot" w:pos="8204"/>
        </w:tabs>
      </w:pPr>
      <w:r>
        <w:t>C.5.3 Hardware e limites confirmáveis</w:t>
        <w:tab/>
      </w:r>
      <w:r>
        <w:t>146</w:t>
      </w:r>
    </w:p>
    <w:p>
      <w:pPr>
        <w:pStyle w:val="ndiceAnexo3"/>
        <w:tabs>
          <w:tab w:val="right" w:leader="dot" w:pos="8204"/>
        </w:tabs>
      </w:pPr>
      <w:r>
        <w:t>C.5.4 Exemplo de propagação</w:t>
        <w:tab/>
      </w:r>
      <w:r>
        <w:t>147</w:t>
      </w:r>
    </w:p>
    <w:p>
      <w:pPr>
        <w:pStyle w:val="ndiceAnexo3"/>
        <w:tabs>
          <w:tab w:val="right" w:leader="dot" w:pos="8204"/>
        </w:tabs>
      </w:pPr>
      <w:r>
        <w:t>C.5.5 Limitações específicas</w:t>
        <w:tab/>
      </w:r>
      <w:r>
        <w:t>147</w:t>
      </w:r>
    </w:p>
    <w:p>
      <w:pPr>
        <w:pStyle w:val="ndiceAnexo2"/>
        <w:tabs>
          <w:tab w:val="right" w:leader="dot" w:pos="8204"/>
        </w:tabs>
      </w:pPr>
      <w:r>
        <w:t>C.6 UnLimbited Phoenix Hand</w:t>
        <w:tab/>
      </w:r>
      <w:r>
        <w:t>147</w:t>
      </w:r>
    </w:p>
    <w:p>
      <w:pPr>
        <w:pStyle w:val="ndiceAnexo3"/>
        <w:tabs>
          <w:tab w:val="right" w:leader="dot" w:pos="8204"/>
        </w:tabs>
      </w:pPr>
      <w:r>
        <w:t>C.6.1 Origem e estratégia de adaptação</w:t>
        <w:tab/>
      </w:r>
      <w:r>
        <w:t>147</w:t>
      </w:r>
    </w:p>
    <w:p>
      <w:pPr>
        <w:pStyle w:val="ndiceAnexo3"/>
        <w:tabs>
          <w:tab w:val="right" w:leader="dot" w:pos="8204"/>
        </w:tabs>
      </w:pPr>
      <w:r>
        <w:t>C.6.2 Escala global e piso dimensional</w:t>
        <w:tab/>
      </w:r>
      <w:r>
        <w:t>147</w:t>
      </w:r>
    </w:p>
    <w:p>
      <w:pPr>
        <w:pStyle w:val="ndiceAnexo3"/>
        <w:tabs>
          <w:tab w:val="right" w:leader="dot" w:pos="8204"/>
        </w:tabs>
      </w:pPr>
      <w:r>
        <w:t>C.6.3 Comprimentos digitais e preservação dos furos</w:t>
        <w:tab/>
      </w:r>
      <w:r>
        <w:t>148</w:t>
      </w:r>
    </w:p>
    <w:p>
      <w:pPr>
        <w:pStyle w:val="ndiceAnexo3"/>
        <w:tabs>
          <w:tab w:val="right" w:leader="dot" w:pos="8204"/>
        </w:tabs>
      </w:pPr>
      <w:r>
        <w:t>C.6.4 Dependência entre comprimento digital e escala global</w:t>
        <w:tab/>
      </w:r>
      <w:r>
        <w:t>148</w:t>
      </w:r>
    </w:p>
    <w:p>
      <w:pPr>
        <w:pStyle w:val="ndiceAnexo3"/>
        <w:tabs>
          <w:tab w:val="right" w:leader="dot" w:pos="8204"/>
        </w:tabs>
      </w:pPr>
      <w:r>
        <w:t>C.6.5 Exemplo de propagação</w:t>
        <w:tab/>
      </w:r>
      <w:r>
        <w:t>148</w:t>
      </w:r>
    </w:p>
    <w:p>
      <w:pPr>
        <w:pStyle w:val="ndiceAnexo3"/>
        <w:tabs>
          <w:tab w:val="right" w:leader="dot" w:pos="8204"/>
        </w:tabs>
      </w:pPr>
      <w:r>
        <w:t>C.6.6 Componentes fixos e tolerâncias confirmáveis</w:t>
        <w:tab/>
      </w:r>
      <w:r>
        <w:t>149</w:t>
      </w:r>
    </w:p>
    <w:p>
      <w:pPr>
        <w:pStyle w:val="ndiceAnexo3"/>
        <w:tabs>
          <w:tab w:val="right" w:leader="dot" w:pos="8204"/>
        </w:tabs>
      </w:pPr>
      <w:r>
        <w:t>C.6.7 Limitações específicas</w:t>
        <w:tab/>
      </w:r>
      <w:r>
        <w:t>149</w:t>
      </w:r>
    </w:p>
    <w:p>
      <w:pPr>
        <w:pStyle w:val="ndiceAnexo2"/>
        <w:tabs>
          <w:tab w:val="right" w:leader="dot" w:pos="8204"/>
        </w:tabs>
      </w:pPr>
      <w:r>
        <w:t>C.7 Síntese comparativa das estratégias</w:t>
        <w:tab/>
      </w:r>
      <w:r>
        <w:t>149</w:t>
      </w:r>
    </w:p>
    <w:p>
      <w:pPr>
        <w:pStyle w:val="ndiceAnexo2"/>
        <w:tabs>
          <w:tab w:val="right" w:leader="dot" w:pos="8204"/>
        </w:tabs>
      </w:pPr>
      <w:r>
        <w:t>C.8 Critérios de aceitação, limitação e rejeição</w:t>
        <w:tab/>
      </w:r>
      <w:r>
        <w:t>150</w:t>
      </w:r>
    </w:p>
    <w:p>
      <w:pPr>
        <w:pStyle w:val="ndiceAnexo2"/>
        <w:tabs>
          <w:tab w:val="right" w:leader="dot" w:pos="8204"/>
        </w:tabs>
      </w:pPr>
      <w:r>
        <w:t>C.9 Relação com o suplemento da versão 14.67.0</w:t>
        <w:tab/>
      </w:r>
      <w:r>
        <w:t>150</w:t>
      </w:r>
    </w:p>
    <w:p>
      <w:pPr>
        <w:pStyle w:val="ndiceAnexo2"/>
        <w:tabs>
          <w:tab w:val="right" w:leader="dot" w:pos="8204"/>
        </w:tabs>
      </w:pPr>
      <w:r>
        <w:t>C.10 Limite de interpretação</w:t>
        <w:tab/>
      </w:r>
      <w:r>
        <w:t>150</w:t>
      </w:r>
    </w:p>
    <w:p>
      <w:pPr>
        <w:pStyle w:val="ndiceAnexo2"/>
        <w:tabs>
          <w:tab w:val="right" w:leader="dot" w:pos="8204"/>
        </w:tabs>
      </w:pPr>
      <w:r>
        <w:t>C.11 Fontes técnicas consultadas</w:t>
        <w:tab/>
      </w:r>
      <w:r>
        <w:t>151</w:t>
      </w:r>
    </w:p>
    <w:p>
      <w:pPr>
        <w:pStyle w:val="ndiceAnexo2"/>
        <w:tabs>
          <w:tab w:val="right" w:leader="dot" w:pos="8204"/>
        </w:tabs>
      </w:pPr>
      <w:r>
        <w:t>C.12 Verificações executadas</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153</w:t>
      </w:r>
    </w:p>
    <w:p>
      <w:pPr>
        <w:pStyle w:val="ndiceAnexo2"/>
        <w:tabs>
          <w:tab w:val="right" w:leader="dot" w:pos="8204"/>
        </w:tabs>
      </w:pPr>
      <w:r>
        <w:t>D.2 Distinção entre estimativa e medição real</w:t>
        <w:tab/>
      </w:r>
      <w:r>
        <w:t>153</w:t>
      </w:r>
    </w:p>
    <w:p>
      <w:pPr>
        <w:pStyle w:val="ndiceAnexo2"/>
        <w:tabs>
          <w:tab w:val="right" w:leader="dot" w:pos="8204"/>
        </w:tabs>
      </w:pPr>
      <w:r>
        <w:t>D.3 Variáveis, controlos e materiais</w:t>
        <w:tab/>
      </w:r>
      <w:r>
        <w:t>154</w:t>
      </w:r>
    </w:p>
    <w:p>
      <w:pPr>
        <w:pStyle w:val="ndiceAnexo3"/>
        <w:tabs>
          <w:tab w:val="right" w:leader="dot" w:pos="8204"/>
        </w:tabs>
      </w:pPr>
      <w:r>
        <w:t>D.3.1 Série A — projectos de preparação digital para impressão 3D com configuração analisada</w:t>
        <w:tab/>
      </w:r>
      <w:r>
        <w:t>154</w:t>
      </w:r>
    </w:p>
    <w:p>
      <w:pPr>
        <w:pStyle w:val="ndiceAnexo3"/>
        <w:tabs>
          <w:tab w:val="right" w:leader="dot" w:pos="8204"/>
        </w:tabs>
      </w:pPr>
      <w:r>
        <w:t>D.3.2 Série B — comparação digital controlada</w:t>
        <w:tab/>
      </w:r>
      <w:r>
        <w:t>154</w:t>
      </w:r>
    </w:p>
    <w:p>
      <w:pPr>
        <w:pStyle w:val="ndiceAnexo2"/>
        <w:tabs>
          <w:tab w:val="right" w:leader="dot" w:pos="8204"/>
        </w:tabs>
      </w:pPr>
      <w:r>
        <w:t>D.4 Resultados</w:t>
        <w:tab/>
      </w:r>
      <w:r>
        <w:t>155</w:t>
      </w:r>
    </w:p>
    <w:p>
      <w:pPr>
        <w:pStyle w:val="ndiceAnexo3"/>
        <w:tabs>
          <w:tab w:val="right" w:leader="dot" w:pos="8204"/>
        </w:tabs>
      </w:pPr>
      <w:r>
        <w:t>D.4.1 Série A</w:t>
        <w:tab/>
      </w:r>
      <w:r>
        <w:t>155</w:t>
      </w:r>
    </w:p>
    <w:p>
      <w:pPr>
        <w:pStyle w:val="ndiceAnexo3"/>
        <w:tabs>
          <w:tab w:val="right" w:leader="dot" w:pos="8204"/>
        </w:tabs>
      </w:pPr>
      <w:r>
        <w:t>D.4.2 Série B (condição comum)</w:t>
        <w:tab/>
      </w:r>
      <w:r>
        <w:t>156</w:t>
      </w:r>
    </w:p>
    <w:p>
      <w:pPr>
        <w:pStyle w:val="ndiceAnexo3"/>
        <w:tabs>
          <w:tab w:val="right" w:leader="dot" w:pos="8204"/>
        </w:tabs>
      </w:pPr>
      <w:r>
        <w:t>D.4.3 Geometria — tamanho do conjunto vs tamanho da peça</w:t>
        <w:tab/>
      </w:r>
      <w:r>
        <w:t>160</w:t>
      </w:r>
    </w:p>
    <w:p>
      <w:pPr>
        <w:pStyle w:val="ndiceAnexo3"/>
        <w:tabs>
          <w:tab w:val="right" w:leader="dot" w:pos="8204"/>
        </w:tabs>
      </w:pPr>
      <w:r>
        <w:t>D.4.4 Comparação entre entrada, malha e peça física</w:t>
        <w:tab/>
      </w:r>
      <w:r>
        <w:t>160</w:t>
      </w:r>
    </w:p>
    <w:p>
      <w:pPr>
        <w:pStyle w:val="ndiceAnexo3"/>
        <w:tabs>
          <w:tab w:val="right" w:leader="dot" w:pos="8204"/>
        </w:tabs>
      </w:pPr>
      <w:r>
        <w:t>D.4.5 Registo fotográfico dos protótipos</w:t>
        <w:tab/>
      </w:r>
      <w:r>
        <w:t>162</w:t>
      </w:r>
    </w:p>
    <w:p>
      <w:pPr>
        <w:pStyle w:val="ndiceAnexo2"/>
        <w:tabs>
          <w:tab w:val="right" w:leader="dot" w:pos="8204"/>
        </w:tabs>
      </w:pPr>
      <w:r>
        <w:t>D.5 Compatibilidade com orientações de dimensionamento</w:t>
        <w:tab/>
      </w:r>
      <w:r>
        <w:t>163</w:t>
      </w:r>
    </w:p>
    <w:p>
      <w:pPr>
        <w:pStyle w:val="ndiceAnexo2"/>
        <w:tabs>
          <w:tab w:val="right" w:leader="dot" w:pos="8204"/>
        </w:tabs>
      </w:pPr>
      <w:r>
        <w:t>D.6 Limites de comparabilidade</w:t>
        <w:tab/>
      </w:r>
      <w:r>
        <w:t>163</w:t>
      </w:r>
    </w:p>
    <w:p>
      <w:pPr>
        <w:pStyle w:val="ndiceAnexo2"/>
        <w:tabs>
          <w:tab w:val="right" w:leader="dot" w:pos="8204"/>
        </w:tabs>
      </w:pPr>
      <w:r>
        <w:t>D.7 Campos que não puderam ser obtidos</w:t>
        <w:tab/>
      </w:r>
      <w:r>
        <w:t>164</w:t>
      </w:r>
    </w:p>
    <w:p>
      <w:pPr>
        <w:pStyle w:val="ndiceAnexo2"/>
        <w:tabs>
          <w:tab w:val="right" w:leader="dot" w:pos="8204"/>
        </w:tabs>
      </w:pPr>
      <w:r>
        <w:t>D.8 O que pode e não pode ser afirmado na dissertação</w:t>
        <w:tab/>
      </w:r>
      <w:r>
        <w:t>164</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