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2.3 — Correspondência entre lacunas do estado da arte, resposta da investigação e limites de avaliação</w:t>
        <w:tab/>
      </w:r>
      <w:r>
        <w:t>33</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3.3 — Métodos, unidades de análise, critérios e localização dos resultados</w:t>
        <w:tab/>
      </w:r>
      <w:r>
        <w:t>38</w:t>
      </w:r>
    </w:p>
    <w:p>
      <w:pPr>
        <w:pStyle w:val="ndice1"/>
        <w:tabs>
          <w:tab w:val="right" w:leader="dot" w:pos="8204"/>
        </w:tabs>
      </w:pPr>
      <w:r>
        <w:t>Tabela 4.1 — Principais parâmetros antropométricos da mão e do membro superior relevantes para modelação paramétrica</w:t>
        <w:tab/>
      </w:r>
      <w:r>
        <w:t>45</w:t>
      </w:r>
    </w:p>
    <w:p>
      <w:pPr>
        <w:pStyle w:val="ndice1"/>
        <w:tabs>
          <w:tab w:val="right" w:leader="dot" w:pos="8204"/>
        </w:tabs>
      </w:pPr>
      <w:r>
        <w:t>Tabela 4.2 — Conjuntos mínimos de parâmetros por nível de amputação</w:t>
        <w:tab/>
      </w:r>
      <w:r>
        <w:t>45</w:t>
      </w:r>
    </w:p>
    <w:p>
      <w:pPr>
        <w:pStyle w:val="ndice1"/>
        <w:tabs>
          <w:tab w:val="right" w:leader="dot" w:pos="8204"/>
        </w:tabs>
      </w:pPr>
      <w:r>
        <w:t>Tabela 4.3 — Métodos de recolha de dados antropométricos e suas características</w:t>
        <w:tab/>
      </w:r>
      <w:r>
        <w:t>47</w:t>
      </w:r>
    </w:p>
    <w:p>
      <w:pPr>
        <w:pStyle w:val="ndice1"/>
        <w:tabs>
          <w:tab w:val="right" w:leader="dot" w:pos="8204"/>
        </w:tabs>
      </w:pPr>
      <w:r>
        <w:t>Tabela 4.4 — Funções e limites da base antropométrica na configuração</w:t>
        <w:tab/>
      </w:r>
      <w:r>
        <w:t>48</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Síntese das relações implementadas e respectivas limitações</w:t>
        <w:tab/>
      </w:r>
      <w:r>
        <w:t>55</w:t>
      </w:r>
    </w:p>
    <w:p>
      <w:pPr>
        <w:pStyle w:val="ndice1"/>
        <w:tabs>
          <w:tab w:val="right" w:leader="dot" w:pos="8204"/>
        </w:tabs>
      </w:pPr>
      <w:r>
        <w:t>Tabela 4.9 — Dicionário operacional dos parâmetros numéricos dos modelos avaliados</w:t>
        <w:tab/>
      </w:r>
      <w:r>
        <w:t>56</w:t>
      </w:r>
    </w:p>
    <w:p>
      <w:pPr>
        <w:pStyle w:val="ndice1"/>
        <w:tabs>
          <w:tab w:val="right" w:leader="dot" w:pos="8204"/>
        </w:tabs>
      </w:pPr>
      <w:r>
        <w:t>Tabela 4.10 — Exemplo da transformação das medidas antropométricas em geometria digital no Flexy Beast</w:t>
        <w:tab/>
      </w:r>
      <w:r>
        <w:t>57</w:t>
      </w:r>
    </w:p>
    <w:p>
      <w:pPr>
        <w:pStyle w:val="ndice1"/>
        <w:tabs>
          <w:tab w:val="right" w:leader="dot" w:pos="8204"/>
        </w:tabs>
      </w:pPr>
      <w:r>
        <w:t>Tabela 4.11 — Cronologia das principais iterações paramétricas</w:t>
        <w:tab/>
      </w:r>
      <w:r>
        <w:t>58</w:t>
      </w:r>
    </w:p>
    <w:p>
      <w:pPr>
        <w:pStyle w:val="ndice1"/>
        <w:tabs>
          <w:tab w:val="right" w:leader="dot" w:pos="8204"/>
        </w:tabs>
      </w:pPr>
      <w:r>
        <w:t>Tabela 5.1 — Fluxo de dados e responsabilidades da plataforma</w:t>
        <w:tab/>
      </w:r>
      <w:r>
        <w:t>62</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Modelos integrados na plataforma e respectiva avaliação</w:t>
      </w:r>
      <w:r>
        <w:tab/>
      </w:r>
      <w:r>
        <w:t>68</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82</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digital para impressão 3D com configuração analisada</w:t>
        <w:tab/>
      </w:r>
      <w:r>
        <w:t>90</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95</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Factor de escala da maior dimensão da palma exportada relativamente à configuração de referência</w:t>
        <w:tab/>
      </w:r>
      <w:r>
        <w:t>98</w:t>
      </w:r>
    </w:p>
    <w:p>
      <w:pPr>
        <w:pStyle w:val="ndice1"/>
        <w:tabs>
          <w:tab w:val="right" w:leader="dot" w:pos="8204"/>
        </w:tabs>
      </w:pPr>
      <w:r>
        <w:t>Tabela 8.8 — Discussão dos resultados face às lacunas seleccionadas do estado da arte</w:t>
        <w:tab/>
      </w:r>
      <w:r>
        <w:t>100</w:t>
      </w:r>
    </w:p>
    <w:p>
      <w:pPr>
        <w:pStyle w:val="ndice1"/>
        <w:tabs>
          <w:tab w:val="right" w:leader="dot" w:pos="8204"/>
        </w:tabs>
      </w:pPr>
      <w:r>
        <w:t>Tabela 9.1 — Estado da resposta às perguntas de investigação aprovadas</w:t>
        <w:tab/>
      </w:r>
      <w:r>
        <w:t>102</w:t>
      </w:r>
    </w:p>
    <w:p>
      <w:pPr>
        <w:pStyle w:val="ndice1"/>
        <w:tabs>
          <w:tab w:val="right" w:leader="dot" w:pos="8204"/>
        </w:tabs>
      </w:pPr>
      <w:r>
        <w:t>Tabela B.1 — Resultados da repetição da mesma configuração por modelo</w:t>
        <w:tab/>
      </w:r>
      <w:r>
        <w:t>135</w:t>
      </w:r>
    </w:p>
    <w:p>
      <w:pPr>
        <w:pStyle w:val="ndice1"/>
        <w:tabs>
          <w:tab w:val="right" w:leader="dot" w:pos="8204"/>
        </w:tabs>
      </w:pPr>
      <w:r>
        <w:t>Tabela B.2 — Resultados do percurso examinado em três navegadores</w:t>
        <w:tab/>
      </w:r>
      <w:r>
        <w:t>135</w:t>
      </w:r>
    </w:p>
    <w:p>
      <w:pPr>
        <w:pStyle w:val="ndice1"/>
        <w:tabs>
          <w:tab w:val="right" w:leader="dot" w:pos="8204"/>
        </w:tabs>
      </w:pPr>
      <w:r>
        <w:t>Tabela B.3 — Comportamento observado perante limites, entradas inválidas e falhas previstas</w:t>
        <w:tab/>
      </w:r>
      <w:r>
        <w:t>136</w:t>
      </w:r>
    </w:p>
    <w:p>
      <w:pPr>
        <w:pStyle w:val="ndice1"/>
        <w:tabs>
          <w:tab w:val="right" w:leader="dot" w:pos="8204"/>
        </w:tabs>
      </w:pPr>
      <w:r>
        <w:t>Tabela B.4 — Categorias de problemas de acessibilidade digital detectadas automaticamente</w:t>
        <w:tab/>
      </w:r>
      <w:r>
        <w:t>136</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141</w:t>
      </w:r>
    </w:p>
    <w:p>
      <w:pPr>
        <w:pStyle w:val="ndice1"/>
        <w:tabs>
          <w:tab w:val="right" w:leader="dot" w:pos="8204"/>
        </w:tabs>
      </w:pPr>
      <w:r>
        <w:t>Tabela C.2 — Parâmetros numéricos do Flexy Beast com efeito dimensional</w:t>
        <w:tab/>
      </w:r>
      <w:r>
        <w:t>143</w:t>
      </w:r>
    </w:p>
    <w:p>
      <w:pPr>
        <w:pStyle w:val="ndice1"/>
        <w:tabs>
          <w:tab w:val="right" w:leader="dot" w:pos="8204"/>
        </w:tabs>
      </w:pPr>
      <w:r>
        <w:t>Tabela C.3 — Relações dimensionais do Paraglider Hand</w:t>
        <w:tab/>
      </w:r>
      <w:r>
        <w:t>146</w:t>
      </w:r>
    </w:p>
    <w:p>
      <w:pPr>
        <w:pStyle w:val="ndice1"/>
        <w:tabs>
          <w:tab w:val="right" w:leader="dot" w:pos="8204"/>
        </w:tabs>
      </w:pPr>
      <w:r>
        <w:t>Tabela C.4 — Comparação das adaptações e excepções de escala</w:t>
        <w:tab/>
      </w:r>
      <w:r>
        <w:t>150</w:t>
      </w:r>
    </w:p>
    <w:p>
      <w:pPr>
        <w:pStyle w:val="ndice1"/>
        <w:tabs>
          <w:tab w:val="right" w:leader="dot" w:pos="8204"/>
        </w:tabs>
      </w:pPr>
      <w:r>
        <w:t>Tabela D.1 — Estimativas dos projectos de preparação digital para impressão 3D com configuração analisada</w:t>
        <w:tab/>
      </w:r>
      <w:r>
        <w:t>156</w:t>
      </w:r>
    </w:p>
    <w:p>
      <w:pPr>
        <w:pStyle w:val="ndice1"/>
        <w:tabs>
          <w:tab w:val="right" w:leader="dot" w:pos="8204"/>
        </w:tabs>
      </w:pPr>
      <w:r>
        <w:t>Tabela D.2 — Estimativas de preparação para impressão na condição digital comum</w:t>
        <w:tab/>
      </w:r>
      <w:r>
        <w:t>157</w:t>
      </w:r>
    </w:p>
    <w:p>
      <w:pPr>
        <w:pStyle w:val="ndice1"/>
        <w:tabs>
          <w:tab w:val="right" w:leader="dot" w:pos="8204"/>
        </w:tabs>
      </w:pPr>
      <w:r>
        <w:t>Tabela D.3 — Cenário de estimativa dimensional teórica da palma no eixo X</w:t>
        <w:tab/>
      </w:r>
      <w:r>
        <w:t>162</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41</w:t>
      </w:r>
    </w:p>
    <w:p>
      <w:pPr>
        <w:pStyle w:val="ndice1"/>
        <w:tabs>
          <w:tab w:val="right" w:leader="dot" w:pos="8204"/>
        </w:tabs>
      </w:pPr>
      <w:r>
        <w:t>Figura 4.1 — Parâmetros antropométricos utilizados na modelação paramétrica de dedos protésicos.</w:t>
        <w:tab/>
      </w:r>
      <w:r>
        <w:t>44</w:t>
      </w:r>
    </w:p>
    <w:p>
      <w:pPr>
        <w:pStyle w:val="ndice1"/>
        <w:tabs>
          <w:tab w:val="right" w:leader="dot" w:pos="8204"/>
        </w:tabs>
      </w:pPr>
      <w:r>
        <w:t>Figura 4.2 — Comparação entre o escalonamento uniforme e a modelação paramétrica de dedo protésico.</w:t>
        <w:tab/>
      </w:r>
      <w:r>
        <w:t>47</w:t>
      </w:r>
    </w:p>
    <w:p>
      <w:pPr>
        <w:pStyle w:val="ndice1"/>
        <w:tabs>
          <w:tab w:val="right" w:leader="dot" w:pos="8204"/>
        </w:tabs>
      </w:pPr>
      <w:r>
        <w:t>Figura 4.3 — Relação entre modelo paramétrico digital, prototipagem e verificação de um dedo protésico.</w:t>
        <w:tab/>
      </w:r>
      <w:r>
        <w:t>52</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Painel de configuração dos perfis de utilizador na plataforma HandFab.</w:t>
        <w:tab/>
      </w:r>
      <w:r>
        <w:t>62</w:t>
      </w:r>
    </w:p>
    <w:p>
      <w:pPr>
        <w:pStyle w:val="ndice1"/>
        <w:tabs>
          <w:tab w:val="right" w:leader="dot" w:pos="8204"/>
        </w:tabs>
      </w:pPr>
      <w:r>
        <w:t>Figura 5.3 — Arquitectura da plataforma e fronteiras entre navegador, servidor, serviço externo de IA e preparação do fabrico.</w:t>
        <w:tab/>
      </w:r>
      <w:r>
        <w:t>64</w:t>
      </w:r>
    </w:p>
    <w:p>
      <w:pPr>
        <w:pStyle w:val="ndice1"/>
        <w:tabs>
          <w:tab w:val="right" w:leader="dot" w:pos="8204"/>
        </w:tabs>
      </w:pPr>
      <w:r>
        <w:t>Figura 5.4 — Sequência de dados e decisões desde o perfil ou descrição até à sugestão, confirmação, geração determinística e exportação.</w:t>
        <w:tab/>
      </w:r>
      <w:r>
        <w:t>65</w:t>
      </w:r>
    </w:p>
    <w:p>
      <w:pPr>
        <w:pStyle w:val="ndice1"/>
        <w:tabs>
          <w:tab w:val="right" w:leader="dot" w:pos="8204"/>
        </w:tabs>
      </w:pPr>
      <w:r>
        <w:t>Figura 5.5 — Fluxo geral de produção personalizada de próteses a partir de digitalização, CAD adaptativo e fabrico aditivo.</w:t>
        <w:tab/>
      </w:r>
      <w:r>
        <w:t>67</w:t>
      </w:r>
    </w:p>
    <w:p>
      <w:pPr>
        <w:pStyle w:val="ndice1"/>
        <w:tabs>
          <w:tab w:val="right" w:leader="dot" w:pos="8204"/>
        </w:tabs>
      </w:pPr>
      <w:r>
        <w:t>Figura 5.6 — Visualização do código OpenSCAD e da geometria correspondente na plataforma HandFab.</w:t>
        <w:tab/>
      </w:r>
      <w:r>
        <w:t>70</w:t>
      </w:r>
    </w:p>
    <w:p>
      <w:pPr>
        <w:pStyle w:val="ndice1"/>
        <w:tabs>
          <w:tab w:val="right" w:leader="dot" w:pos="8204"/>
        </w:tabs>
      </w:pPr>
      <w:r>
        <w:t>Figura 5.7 — Ferramenta paramétrica para configuração de ajudas técnicas com variação de dimensões, materiais e peso.</w:t>
        <w:tab/>
      </w:r>
      <w:r>
        <w:t>71</w:t>
      </w:r>
    </w:p>
    <w:p>
      <w:pPr>
        <w:pStyle w:val="ndice1"/>
        <w:tabs>
          <w:tab w:val="right" w:leader="dot" w:pos="8204"/>
        </w:tabs>
      </w:pPr>
      <w:r>
        <w:t>Figura 5.8 — Interface de selecção, configuração paramétrica e materiais da plataforma HandFab.</w:t>
        <w:tab/>
      </w:r>
      <w:r>
        <w:t>72</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86</w:t>
      </w:r>
    </w:p>
    <w:p>
      <w:pPr>
        <w:pStyle w:val="ndice1"/>
        <w:tabs>
          <w:tab w:val="right" w:leader="dot" w:pos="8204"/>
        </w:tabs>
      </w:pPr>
      <w:r>
        <w:t>Figura 8.1 — Componentes impressos e estados preliminares de montagem: segmentos digitais articulados, palma e elementos separados.</w:t>
        <w:tab/>
      </w:r>
      <w:r>
        <w:t>93</w:t>
      </w:r>
    </w:p>
    <w:p>
      <w:pPr>
        <w:pStyle w:val="ndice1"/>
        <w:tabs>
          <w:tab w:val="right" w:leader="dot" w:pos="8204"/>
        </w:tabs>
      </w:pPr>
      <w:r>
        <w:t>Figura 8.2 — Séries físicas de segmentos identificados pelos perfis de ensaio de 8, 15, 28 e 70 anos.</w:t>
        <w:tab/>
      </w:r>
      <w:r>
        <w:t>93</w:t>
      </w:r>
    </w:p>
    <w:p>
      <w:pPr>
        <w:pStyle w:val="ndice1"/>
        <w:tabs>
          <w:tab w:val="right" w:leader="dot" w:pos="8204"/>
        </w:tabs>
      </w:pPr>
      <w:r>
        <w:t>Figura 8.3 — UnLimbited Phoenix configurada para o perfil de ensaio de 15 anos, apresentada em sete vistas da montagem física.</w:t>
        <w:tab/>
      </w:r>
      <w:r>
        <w:t>93</w:t>
      </w:r>
    </w:p>
    <w:p>
      <w:pPr>
        <w:pStyle w:val="ndice1"/>
        <w:tabs>
          <w:tab w:val="right" w:leader="dot" w:pos="8204"/>
        </w:tabs>
      </w:pPr>
      <w:r>
        <w:t>Figura 8.4 — Tarefas funcionais usadas em avaliação de prótese personalizada de membro superior.</w:t>
        <w:tab/>
      </w:r>
      <w:r>
        <w:t>94</w:t>
      </w:r>
    </w:p>
    <w:p>
      <w:pPr>
        <w:pStyle w:val="ndice1"/>
        <w:tabs>
          <w:tab w:val="right" w:leader="dot" w:pos="8204"/>
        </w:tabs>
      </w:pPr>
      <w:r>
        <w:t>Figura C.1 — Fluxo entre dados de entrada, mapa comum, regras específicas dos modelos e geometria exportável. Produção própria.</w:t>
        <w:tab/>
      </w:r>
      <w:r>
        <w:t>141</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39</w:t>
      </w:r>
    </w:p>
    <w:p>
      <w:pPr>
        <w:pStyle w:val="ndice2"/>
        <w:tabs>
          <w:tab w:val="right" w:leader="dot" w:pos="8204"/>
        </w:tabs>
      </w:pPr>
      <w:r>
        <w:t>3.5 Critérios de avaliação e limitações metodológicas</w:t>
        <w:tab/>
      </w:r>
      <w:r>
        <w:t>41</w:t>
      </w:r>
    </w:p>
    <w:p>
      <w:pPr>
        <w:pStyle w:val="ndice1"/>
        <w:tabs>
          <w:tab w:val="right" w:leader="dot" w:pos="8204"/>
        </w:tabs>
      </w:pPr>
      <w:r>
        <w:t>Capítulo 4 — Desenvolvimento do Modelo Paramétrico</w:t>
        <w:tab/>
      </w:r>
      <w:r>
        <w:t>43</w:t>
      </w:r>
    </w:p>
    <w:p>
      <w:pPr>
        <w:pStyle w:val="ndice2"/>
        <w:tabs>
          <w:tab w:val="right" w:leader="dot" w:pos="8204"/>
        </w:tabs>
      </w:pPr>
      <w:r>
        <w:t>4.1 Definição do problema de design e requisitos</w:t>
        <w:tab/>
      </w:r>
      <w:r>
        <w:t>43</w:t>
      </w:r>
    </w:p>
    <w:p>
      <w:pPr>
        <w:pStyle w:val="ndice2"/>
        <w:tabs>
          <w:tab w:val="right" w:leader="dot" w:pos="8204"/>
        </w:tabs>
      </w:pPr>
      <w:r>
        <w:t>4.2 Parâmetros antropométricos e estrutura do modelo</w:t>
        <w:tab/>
      </w:r>
      <w:r>
        <w:t>44</w:t>
      </w:r>
    </w:p>
    <w:p>
      <w:pPr>
        <w:pStyle w:val="ndice2"/>
        <w:tabs>
          <w:tab w:val="right" w:leader="dot" w:pos="8204"/>
        </w:tabs>
      </w:pPr>
      <w:r>
        <w:t>Conjuntos mínimos de parâmetros por nível de amputação</w:t>
        <w:tab/>
      </w:r>
      <w:r>
        <w:t>45</w:t>
      </w:r>
    </w:p>
    <w:p>
      <w:pPr>
        <w:pStyle w:val="ndice2"/>
        <w:tabs>
          <w:tab w:val="right" w:leader="dot" w:pos="8204"/>
        </w:tabs>
      </w:pPr>
      <w:r>
        <w:t>Limitações do redimensionamento proporcional</w:t>
        <w:tab/>
      </w:r>
      <w:r>
        <w:t>46</w:t>
      </w:r>
    </w:p>
    <w:p>
      <w:pPr>
        <w:pStyle w:val="ndice2"/>
        <w:tabs>
          <w:tab w:val="right" w:leader="dot" w:pos="8204"/>
        </w:tabs>
      </w:pPr>
      <w:r>
        <w:t>Métodos de recolha de dados antropométricos</w:t>
        <w:tab/>
      </w:r>
      <w:r>
        <w:t>47</w:t>
      </w:r>
    </w:p>
    <w:p>
      <w:pPr>
        <w:pStyle w:val="ndice2"/>
        <w:tabs>
          <w:tab w:val="right" w:leader="dot" w:pos="8204"/>
        </w:tabs>
      </w:pPr>
      <w:r>
        <w:t>Bases de dados antropométricas, extracção e normalização</w:t>
        <w:tab/>
      </w:r>
      <w:r>
        <w:t>47</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49</w:t>
      </w:r>
    </w:p>
    <w:p>
      <w:pPr>
        <w:pStyle w:val="ndice2"/>
        <w:tabs>
          <w:tab w:val="right" w:leader="dot" w:pos="8204"/>
        </w:tabs>
      </w:pPr>
      <w:r>
        <w:t>4.3 Modelação paramétrica em OpenSCAD</w:t>
        <w:tab/>
      </w:r>
      <w:r>
        <w:t>51</w:t>
      </w:r>
    </w:p>
    <w:p>
      <w:pPr>
        <w:pStyle w:val="ndice3"/>
        <w:tabs>
          <w:tab w:val="right" w:leader="dot" w:pos="8204"/>
        </w:tabs>
      </w:pPr>
      <w:r>
        <w:t>4.3.1 Estrutura técnica, parâmetros e restrições</w:t>
        <w:tab/>
      </w:r>
      <w:r>
        <w:t>52</w:t>
      </w:r>
    </w:p>
    <w:p>
      <w:pPr>
        <w:pStyle w:val="ndice3"/>
        <w:tabs>
          <w:tab w:val="right" w:leader="dot" w:pos="8204"/>
        </w:tabs>
      </w:pPr>
      <w:r>
        <w:t>4.3.2 Análise crítica da abordagem</w:t>
        <w:tab/>
      </w:r>
      <w:r>
        <w:t>53</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56</w:t>
      </w:r>
    </w:p>
    <w:p>
      <w:pPr>
        <w:pStyle w:val="ndice3"/>
        <w:tabs>
          <w:tab w:val="right" w:leader="dot" w:pos="8204"/>
        </w:tabs>
      </w:pPr>
      <w:r>
        <w:t>4.3.5 Exemplo numérico completo: perfil infantil no Flexy Beast</w:t>
        <w:tab/>
      </w:r>
      <w:r>
        <w:t>57</w:t>
      </w:r>
    </w:p>
    <w:p>
      <w:pPr>
        <w:pStyle w:val="ndice2"/>
        <w:tabs>
          <w:tab w:val="right" w:leader="dot" w:pos="8204"/>
        </w:tabs>
      </w:pPr>
      <w:r>
        <w:t>4.4 Iterações e decisões de projecto</w:t>
        <w:tab/>
      </w:r>
      <w:r>
        <w:t>58</w:t>
      </w:r>
    </w:p>
    <w:p>
      <w:pPr>
        <w:pStyle w:val="ndice1"/>
        <w:tabs>
          <w:tab w:val="right" w:leader="dot" w:pos="8204"/>
        </w:tabs>
      </w:pPr>
      <w:r>
        <w:t>Capítulo 5 — Plataforma Web e Integração Digital</w:t>
        <w:tab/>
      </w:r>
      <w:r>
        <w:t>60</w:t>
      </w:r>
    </w:p>
    <w:p>
      <w:pPr>
        <w:pStyle w:val="ndice2"/>
        <w:tabs>
          <w:tab w:val="right" w:leader="dot" w:pos="8204"/>
        </w:tabs>
      </w:pPr>
      <w:r>
        <w:t>5.1 Enquadramento conceptual e perfis de utilizador</w:t>
        <w:tab/>
      </w:r>
      <w:r>
        <w:t>60</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68</w:t>
      </w:r>
    </w:p>
    <w:p>
      <w:pPr>
        <w:pStyle w:val="ndice2"/>
        <w:tabs>
          <w:tab w:val="right" w:leader="dot" w:pos="8204"/>
        </w:tabs>
      </w:pPr>
      <w:r>
        <w:t>5.4 Estrutura funcional da plataforma</w:t>
        <w:tab/>
      </w:r>
      <w:r>
        <w:t>70</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86</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Avaliação complementar da previsibilidade, recuperação e acessibilidade</w:t>
        <w:tab/>
      </w:r>
      <w:r>
        <w:t>89</w:t>
      </w:r>
    </w:p>
    <w:p>
      <w:pPr>
        <w:pStyle w:val="ndice3"/>
        <w:tabs>
          <w:tab w:val="right" w:leader="dot" w:pos="8204"/>
        </w:tabs>
      </w:pPr>
      <w:r>
        <w:t>8.1.3 Preparação para impressão e protótipos físicos</w:t>
        <w:tab/>
      </w:r>
      <w:r>
        <w:t>90</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103</w:t>
      </w:r>
    </w:p>
    <w:p>
      <w:pPr>
        <w:pStyle w:val="ndice2"/>
        <w:tabs>
          <w:tab w:val="right" w:leader="dot" w:pos="8204"/>
        </w:tabs>
      </w:pPr>
      <w:r>
        <w:t>9.3 Limitações</w:t>
        <w:tab/>
      </w:r>
      <w:r>
        <w:t>103</w:t>
      </w:r>
    </w:p>
    <w:p>
      <w:pPr>
        <w:pStyle w:val="ndice2"/>
        <w:tabs>
          <w:tab w:val="right" w:leader="dot" w:pos="8204"/>
        </w:tabs>
      </w:pPr>
      <w:r>
        <w:t>9.4 Trabalho futuro</w:t>
        <w:tab/>
      </w:r>
      <w:r>
        <w:t>104</w:t>
      </w:r>
    </w:p>
    <w:p>
      <w:pPr>
        <w:pStyle w:val="ndice1"/>
        <w:tabs>
          <w:tab w:val="right" w:leader="dot" w:pos="8204"/>
        </w:tabs>
      </w:pPr>
      <w:r>
        <w:t>Referências Bibliográficas</w:t>
        <w:tab/>
      </w:r>
      <w:r>
        <w:t>106</w:t>
      </w:r>
    </w:p>
    <w:p>
      <w:pPr>
        <w:pStyle w:val="ndice1"/>
        <w:tabs>
          <w:tab w:val="right" w:leader="dot" w:pos="8204"/>
        </w:tabs>
      </w:pPr>
      <w:r>
        <w:t>Anexo A — Metodologia de extracção e codificação de dados antropométricos da mão</w:t>
        <w:tab/>
      </w:r>
      <w:r>
        <w:t>118</w:t>
      </w:r>
    </w:p>
    <w:p>
      <w:pPr>
        <w:pStyle w:val="ndice1"/>
        <w:tabs>
          <w:tab w:val="right" w:leader="dot" w:pos="8204"/>
        </w:tabs>
      </w:pPr>
      <w:r>
        <w:t>Anexo B — Avaliação do processo paramétrico e da interface da plataforma HandFab</w:t>
        <w:tab/>
      </w:r>
      <w:r>
        <w:t>133</w:t>
      </w:r>
    </w:p>
    <w:p>
      <w:pPr>
        <w:pStyle w:val="ndice1"/>
        <w:tabs>
          <w:tab w:val="right" w:leader="dot" w:pos="8204"/>
        </w:tabs>
      </w:pPr>
      <w:r>
        <w:t>Anexo C — Adaptação paramétrica dos modelos de mão protésica</w:t>
        <w:tab/>
      </w:r>
      <w:r>
        <w:t>139</w:t>
      </w:r>
    </w:p>
    <w:p>
      <w:pPr>
        <w:pStyle w:val="ndice1"/>
        <w:tabs>
          <w:tab w:val="right" w:leader="dot" w:pos="8204"/>
        </w:tabs>
      </w:pPr>
      <w:r>
        <w:t>Anexo D — Preparação para fabrico e verificação dos protótipos</w:t>
        <w:tab/>
      </w:r>
      <w:r>
        <w:t>153</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4963160" cy="3408045"/>
            <wp:effectExtent l="0" t="0" r="0" b="0"/>
            <wp:docPr id="40"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58"/>
                    <a:stretch>
                      <a:fillRect/>
                    </a:stretch>
                  </pic:blipFill>
                  <pic:spPr bwMode="auto">
                    <a:xfrm>
                      <a:off x="0" y="0"/>
                      <a:ext cx="4963160" cy="3408045"/>
                    </a:xfrm>
                    <a:prstGeom prst="rect">
                      <a:avLst/>
                    </a:prstGeom>
                    <a:noFill/>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effectExtent l="0" t="0" r="0" b="0"/>
            <wp:docPr id="41"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59"/>
                    <a:stretch>
                      <a:fillRect/>
                    </a:stretch>
                  </pic:blipFill>
                  <pic:spPr bwMode="auto">
                    <a:xfrm>
                      <a:off x="0" y="0"/>
                      <a:ext cx="5579745" cy="3989517"/>
                    </a:xfrm>
                    <a:prstGeom prst="rect">
                      <a:avLst/>
                    </a:prstGeom>
                    <a:noFill/>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831424"/>
            <wp:effectExtent l="0" t="0" r="0" b="0"/>
            <wp:docPr id="42"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60"/>
                    <a:stretch>
                      <a:fillRect/>
                    </a:stretch>
                  </pic:blipFill>
                  <pic:spPr bwMode="auto">
                    <a:xfrm>
                      <a:off x="0" y="0"/>
                      <a:ext cx="5579745" cy="3831424"/>
                    </a:xfrm>
                    <a:prstGeom prst="rect">
                      <a:avLst/>
                    </a:prstGeom>
                    <a:noFill/>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effectExtent l="0" t="0" r="0" b="0"/>
            <wp:docPr id="43"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61"/>
                    <a:stretch>
                      <a:fillRect/>
                    </a:stretch>
                  </pic:blipFill>
                  <pic:spPr bwMode="auto">
                    <a:xfrm>
                      <a:off x="0" y="0"/>
                      <a:ext cx="5579745" cy="3970918"/>
                    </a:xfrm>
                    <a:prstGeom prst="rect">
                      <a:avLst/>
                    </a:prstGeom>
                    <a:noFill/>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de ensaio,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Rastreabilidade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effectExtent l="0" t="0" r="0" b="0"/>
            <wp:docPr id="44"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62"/>
                    <a:stretch>
                      <a:fillRect/>
                    </a:stretch>
                  </pic:blipFill>
                  <pic:spPr bwMode="auto">
                    <a:xfrm>
                      <a:off x="0" y="0"/>
                      <a:ext cx="5579745" cy="2129602"/>
                    </a:xfrm>
                    <a:prstGeom prst="rect">
                      <a:avLst/>
                    </a:prstGeom>
                    <a:noFill/>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de preparação digital para impressão 3D com configuração analisada,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de ensaio — child_8, teen_15, adult_28 e elderly_70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r>
        <w:rPr>
          <w:rFonts w:ascii="Consolas" w:hAnsi="Consolas"/>
          <w:sz w:val="20"/>
        </w:rPr>
        <w:t/>
      </w:r>
      <w:r>
        <w:t xml:space="preserve"/>
      </w:r>
      <w:r>
        <w:rPr>
          <w:rFonts w:ascii="Consolas" w:hAnsi="Consolas"/>
          <w:sz w:val="20"/>
        </w:rPr>
        <w:t/>
      </w:r>
      <w:r>
        <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de preparação digital para impressão 3D com configuração analisada</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r>
        <w:rPr>
          <w:rFonts w:ascii="Consolas" w:hAnsi="Consolas"/>
          <w:sz w:val="20"/>
        </w:rPr>
        <w:t/>
      </w:r>
      <w:r>
        <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r>
        <w:rPr>
          <w:rFonts w:ascii="Consolas" w:hAnsi="Consolas"/>
          <w:sz w:val="20"/>
        </w:rPr>
        <w:t/>
      </w:r>
      <w:r>
        <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effectExtent l="0" t="0" r="0" b="0"/>
            <wp:docPr id="4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63"/>
                    <a:stretch>
                      <a:fillRect/>
                    </a:stretch>
                  </pic:blipFill>
                  <pic:spPr bwMode="auto">
                    <a:xfrm>
                      <a:off x="0" y="0"/>
                      <a:ext cx="4667250" cy="3467100"/>
                    </a:xfrm>
                    <a:prstGeom prst="rect">
                      <a:avLst/>
                    </a:prstGeom>
                    <a:noFill/>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r>
        <w:t/>
      </w:r>
      <w:r>
        <w:t xml:space="preserve"/>
      </w:r>
      <w:r>
        <w:t/>
      </w:r>
      <w:r>
        <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pPr>
      <w: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Exemplo da transformação das medidas antropométricas em geometria digital no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Legenda"/>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579745" cy="3148420"/>
            <wp:effectExtent l="0" t="0" r="0" b="0"/>
            <wp:wrapSquare wrapText="largest"/>
            <wp:docPr id="47"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
                    <pic:cNvPicPr>
                      <a:picLocks noChangeAspect="1" noChangeArrowheads="1"/>
                    </pic:cNvPicPr>
                  </pic:nvPicPr>
                  <pic:blipFill>
                    <a:blip r:embed="rId65"/>
                    <a:stretch>
                      <a:fillRect/>
                    </a:stretch>
                  </pic:blipFill>
                  <pic:spPr bwMode="auto">
                    <a:xfrm>
                      <a:off x="0" y="0"/>
                      <a:ext cx="5579745" cy="3148420"/>
                    </a:xfrm>
                    <a:prstGeom prst="rect">
                      <a:avLst/>
                    </a:prstGeom>
                    <a:noFill/>
                  </pic:spPr>
                </pic:pic>
              </a:graphicData>
            </a:graphic>
          </wp:anchor>
        </w:drawing>
      </w:r>
      <w:r>
        <w:t>Figura 5.2 — Painel de configuração dos perfis de utilizador na plataforma HandFab.</w:t>
      </w:r>
    </w:p>
    <w:p>
      <w:pPr>
        <w:pStyle w:val="Nota-IPCA"/>
      </w:pPr>
      <w:r>
        <w:t>Fonte: produção própria.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catálogo versionado dos modelos</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5.3 — Arquitectura da plataforma e fronteiras entre navegador, servidor, serviço externo de IA e preparação do fabrico.</w:t>
      </w:r>
    </w:p>
    <w:p>
      <w:pPr>
        <w:pStyle w:val="Nota-IPCA"/>
      </w:pPr>
      <w:r>
        <w:t>Fonte: produção própria.</w:t>
      </w:r>
    </w:p>
    <w:p>
      <w:pPr>
        <w:pStyle w:val="TextoNormal-IPCA"/>
      </w:pPr>
      <w: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5.4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effectExtent l="0" t="0" r="0" b="0"/>
            <wp:docPr id="46"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Image 15"/>
                    <pic:cNvPicPr>
                      <a:picLocks noChangeAspect="1" noChangeArrowheads="1"/>
                    </pic:cNvPicPr>
                  </pic:nvPicPr>
                  <pic:blipFill>
                    <a:blip r:embed="rId64"/>
                    <a:stretch>
                      <a:fillRect/>
                    </a:stretch>
                  </pic:blipFill>
                  <pic:spPr bwMode="auto">
                    <a:xfrm>
                      <a:off x="0" y="0"/>
                      <a:ext cx="5579745" cy="3161855"/>
                    </a:xfrm>
                    <a:prstGeom prst="rect">
                      <a:avLst/>
                    </a:prstGeom>
                    <a:noFill/>
                  </pic:spPr>
                </pic:pic>
              </a:graphicData>
            </a:graphic>
          </wp:inline>
        </w:drawing>
      </w:r>
    </w:p>
    <w:p>
      <w:pPr>
        <w:pStyle w:val="Legenda"/>
      </w:pPr>
      <w:r>
        <w:t>Figura 5.5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pPr>
      <w:r>
        <w:t>A Figura 5.6 documenta a relação entre o código OpenSCAD apresentado na plataforma e a geometria tridimensional produzida a partir da configuração activa.</w:t>
      </w:r>
    </w:p>
    <w:p>
      <w:pPr>
        <w:pStyle w:val="Normal"/>
        <w:jc w:val="cente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579745" cy="4332246"/>
            <wp:effectExtent l="0" t="0" r="0" b="0"/>
            <wp:wrapSquare wrapText="largest"/>
            <wp:docPr id="48"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pic:cNvPicPr>
                      <a:picLocks noChangeAspect="1" noChangeArrowheads="1"/>
                    </pic:cNvPicPr>
                  </pic:nvPicPr>
                  <pic:blipFill>
                    <a:blip r:embed="rId66"/>
                    <a:stretch>
                      <a:fillRect/>
                    </a:stretch>
                  </pic:blipFill>
                  <pic:spPr bwMode="auto">
                    <a:xfrm>
                      <a:off x="0" y="0"/>
                      <a:ext cx="5579745" cy="4332246"/>
                    </a:xfrm>
                    <a:prstGeom prst="rect">
                      <a:avLst/>
                    </a:prstGeom>
                    <a:noFill/>
                  </pic:spPr>
                </pic:pic>
              </a:graphicData>
            </a:graphic>
          </wp:anchor>
        </w:drawing>
      </w:r>
    </w:p>
    <w:p>
      <w:pPr>
        <w:pStyle w:val="Legenda"/>
      </w:pPr>
      <w:r>
        <w:t>Figura 5.6 — Visualização do código OpenSCAD e da geometria correspondente na plataforma HandFab.</w:t>
      </w:r>
    </w:p>
    <w:p>
      <w:pPr>
        <w:pStyle w:val="Nota-IPCA"/>
      </w:pPr>
      <w:r>
        <w:t>Fonte: produção própria.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5.7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As vistas reunidas na Figura 5.8 documentam a selecção do modelo e diferentes grupos de controlos disponibilizados pela interface de configuração.</w:t>
      </w:r>
    </w:p>
    <w:tbl>
      <w:tblPr>
        <w:tblStyle w:val="Tabelacomgrelha"/>
        <w:tblW w:w="5000" w:type="pct"/>
        <w:jc w:val="left"/>
        <w:tblInd w:w="0" w:type="dxa"/>
        <w:tblLayout w:type="fixed"/>
        <w:tblCellMar>
          <w:top w:w="0" w:type="dxa"/>
          <w:left w:w="0" w:type="dxa"/>
          <w:bottom w:w="0" w:type="dxa"/>
          <w:right w:w="0" w:type="dxa"/>
        </w:tblCellMar>
      </w:tblPr>
      <w:tblGrid>
        <w:gridCol w:w="4512"/>
        <w:gridCol w:w="4514"/>
      </w:tblGrid>
      <w:tr>
        <w:trPr>
          <w:trHeight w:val="2515" w:hRule="atLeast"/>
          <w:tblHeader/>
        </w:trPr>
        <w:tc>
          <w:tcPr>
            <w:tcW w:w="4512" w:type="dxa"/>
            <w:tcBorders/>
          </w:tcPr>
          <w:p>
            <w:pPr>
              <w:pStyle w:val="TextoNormal-IPCA"/>
            </w:pPr>
            <w:r>
              <w:rPr>
                <w:b/>
              </w:rPr>
              <w:drawing>
                <wp:anchor distT="0" distB="0" distL="0" distR="0" simplePos="0" relativeHeight="27"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49"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67"/>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rPr>
                <w:b/>
              </w:rPr>
              <w:drawing>
                <wp:anchor distT="0" distB="0" distL="0" distR="0" simplePos="0" relativeHeight="26"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0"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pic:cNvPicPr>
                            <a:picLocks noChangeAspect="1" noChangeArrowheads="1"/>
                          </pic:cNvPicPr>
                        </pic:nvPicPr>
                        <pic:blipFill>
                          <a:blip r:embed="rId68"/>
                          <a:stretch>
                            <a:fillRect/>
                          </a:stretch>
                        </pic:blipFill>
                        <pic:spPr bwMode="auto">
                          <a:xfrm>
                            <a:off x="0" y="0"/>
                            <a:ext cx="2865755" cy="1600835"/>
                          </a:xfrm>
                          <a:prstGeom prst="rect">
                            <a:avLst/>
                          </a:prstGeom>
                          <a:noFill/>
                        </pic:spPr>
                      </pic:pic>
                    </a:graphicData>
                  </a:graphic>
                </wp:anchor>
              </w:drawing>
            </w:r>
          </w:p>
        </w:tc>
      </w:tr>
      <w:tr>
        <w:trPr/>
        <w:tc>
          <w:tcPr>
            <w:tcW w:w="4512" w:type="dxa"/>
            <w:tcBorders/>
          </w:tcPr>
          <w:p>
            <w:pPr>
              <w:pStyle w:val="TextoNormal-IPCA"/>
            </w:pPr>
            <w:r>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51"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pic:cNvPicPr>
                            <a:picLocks noChangeAspect="1" noChangeArrowheads="1"/>
                          </pic:cNvPicPr>
                        </pic:nvPicPr>
                        <pic:blipFill>
                          <a:blip r:embed="rId69"/>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drawing>
                <wp:anchor distT="0" distB="0" distL="0" distR="0" simplePos="0" relativeHeight="24"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2"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pic:cNvPicPr>
                            <a:picLocks noChangeAspect="1" noChangeArrowheads="1"/>
                          </pic:cNvPicPr>
                        </pic:nvPicPr>
                        <pic:blipFill>
                          <a:blip r:embed="rId70"/>
                          <a:stretch>
                            <a:fillRect/>
                          </a:stretch>
                        </pic:blipFill>
                        <pic:spPr bwMode="auto">
                          <a:xfrm>
                            <a:off x="0" y="0"/>
                            <a:ext cx="2865755" cy="1600835"/>
                          </a:xfrm>
                          <a:prstGeom prst="rect">
                            <a:avLst/>
                          </a:prstGeom>
                          <a:noFill/>
                        </pic:spPr>
                      </pic:pic>
                    </a:graphicData>
                  </a:graphic>
                </wp:anchor>
              </w:drawing>
            </w:r>
          </w:p>
        </w:tc>
      </w:tr>
    </w:tbl>
    <w:p>
      <w:pPr>
        <w:pStyle w:val="Legenda"/>
      </w:pPr>
      <w:r>
        <w:t xml:space="preserve">Figura 5.8 — Interface de selecção, configuração paramétrica e materiais da plataforma HandFab.</w:t>
      </w:r>
      <w:r>
        <w:t/>
      </w:r>
    </w:p>
    <w:p>
      <w:pPr>
        <w:pStyle w:val="Nota-IPCA"/>
      </w:pPr>
      <w:r>
        <w:t>Fonte: produção própria.</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Modelos integrados na plataforma e respectiva avaliação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catálogo versionado dos modelos</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foi inspeccionada no fecho do estudo. A Tabela 8.1 distingue resultados executados nesta verificação, dados observados na base local e registos de ensaios de versões anteriores.</w:t>
      </w:r>
      <w:r>
        <w:t/>
      </w:r>
      <w:r>
        <w:t xml:space="preserve"/>
      </w:r>
      <w:r>
        <w:t/>
      </w:r>
      <w:r>
        <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catálogo versionado dos modelos</w:t>
            </w:r>
            <w:r>
              <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base local da aplicação</w:t>
            </w:r>
            <w:r>
              <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Legenda"/>
      </w:pPr>
      <w:r>
        <w:t>Tabela 8.2 — Projectos de preparação digital para impressão 3D com configuração analisada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r>
        <w:t/>
      </w:r>
      <w:r>
        <w:t xml:space="preserve"/>
      </w:r>
      <w:r>
        <w:t/>
      </w:r>
      <w:r>
        <w:t xml:space="preserve"/>
      </w:r>
      <w:r>
        <w:t/>
      </w:r>
      <w:r>
        <w:t xml:space="preserve"/>
      </w:r>
      <w:r>
        <w:t/>
      </w:r>
      <w:r>
        <w:t xml:space="preserve"/>
      </w:r>
      <w:r>
        <w:t/>
      </w:r>
      <w:r>
        <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Factor de escala da maior dimensão da palma exportada relativamente à configuração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rastreabilidade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rastreabilidade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r>
        <w:rPr>
          <w:rFonts w:ascii="Consolas" w:hAnsi="Consolas"/>
          <w:sz w:val="20"/>
        </w:rPr>
        <w:t/>
      </w:r>
      <w:r>
        <w:t xml:space="preserve"/>
      </w:r>
    </w:p>
    <w:p>
      <w:pPr>
        <w:pStyle w:val="TextoNormal-IPCA"/>
      </w:pPr>
      <w:r>
        <w:t>A avaliação de fabrico combina quatro projectos de preparação digital para impressão 3D com configuração analisada,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base multipopulacional da mão, repositório da plataforma.</w:t>
      </w:r>
      <w:r>
        <w:t/>
      </w:r>
      <w:r>
        <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119</w:t>
      </w:r>
    </w:p>
    <w:p>
      <w:pPr>
        <w:pStyle w:val="ndiceAnexo2"/>
        <w:tabs>
          <w:tab w:val="right" w:leader="dot" w:pos="8204"/>
        </w:tabs>
      </w:pPr>
      <w:r>
        <w:t>A.2 Estratégia de Pesquisa Bibliográfica</w:t>
        <w:tab/>
      </w:r>
      <w:r>
        <w:t>119</w:t>
      </w:r>
    </w:p>
    <w:p>
      <w:pPr>
        <w:pStyle w:val="ndiceAnexo3"/>
        <w:tabs>
          <w:tab w:val="right" w:leader="dot" w:pos="8204"/>
        </w:tabs>
      </w:pPr>
      <w:r>
        <w:t>A.2.1 Pesquisa bibliográfica orientada</w:t>
        <w:tab/>
      </w:r>
      <w:r>
        <w:t>119</w:t>
      </w:r>
    </w:p>
    <w:p>
      <w:pPr>
        <w:pStyle w:val="ndiceAnexo3"/>
        <w:tabs>
          <w:tab w:val="right" w:leader="dot" w:pos="8204"/>
        </w:tabs>
      </w:pPr>
      <w:r>
        <w:t>A.2.2 Base ANSUR 1988</w:t>
        <w:tab/>
      </w:r>
      <w:r>
        <w:t>119</w:t>
      </w:r>
    </w:p>
    <w:p>
      <w:pPr>
        <w:pStyle w:val="ndiceAnexo2"/>
        <w:tabs>
          <w:tab w:val="right" w:leader="dot" w:pos="8204"/>
        </w:tabs>
      </w:pPr>
      <w:r>
        <w:t>A.3 Critérios de Inclusão e Exclusão de Estudos</w:t>
        <w:tab/>
      </w:r>
      <w:r>
        <w:t>120</w:t>
      </w:r>
    </w:p>
    <w:p>
      <w:pPr>
        <w:pStyle w:val="ndiceAnexo3"/>
        <w:tabs>
          <w:tab w:val="right" w:leader="dot" w:pos="8204"/>
        </w:tabs>
      </w:pPr>
      <w:r>
        <w:t>A.3.1 Critérios de inclusão</w:t>
        <w:tab/>
      </w:r>
      <w:r>
        <w:t>120</w:t>
      </w:r>
    </w:p>
    <w:p>
      <w:pPr>
        <w:pStyle w:val="ndiceAnexo3"/>
        <w:tabs>
          <w:tab w:val="right" w:leader="dot" w:pos="8204"/>
        </w:tabs>
      </w:pPr>
      <w:r>
        <w:t>A.3.2 Critérios de exclusão</w:t>
        <w:tab/>
      </w:r>
      <w:r>
        <w:t>120</w:t>
      </w:r>
    </w:p>
    <w:p>
      <w:pPr>
        <w:pStyle w:val="ndiceAnexo2"/>
        <w:tabs>
          <w:tab w:val="right" w:leader="dot" w:pos="8204"/>
        </w:tabs>
      </w:pPr>
      <w:r>
        <w:t>A.4 Processo de Extracção de Dados</w:t>
        <w:tab/>
      </w:r>
      <w:r>
        <w:t>120</w:t>
      </w:r>
    </w:p>
    <w:p>
      <w:pPr>
        <w:pStyle w:val="ndiceAnexo3"/>
        <w:tabs>
          <w:tab w:val="right" w:leader="dot" w:pos="8204"/>
        </w:tabs>
      </w:pPr>
      <w:r>
        <w:t>A.4.1 Leitura dos PDFs e localização das tabelas</w:t>
        <w:tab/>
      </w:r>
      <w:r>
        <w:t>120</w:t>
      </w:r>
    </w:p>
    <w:p>
      <w:pPr>
        <w:pStyle w:val="ndiceAnexo3"/>
        <w:tabs>
          <w:tab w:val="right" w:leader="dot" w:pos="8204"/>
        </w:tabs>
      </w:pPr>
      <w:r>
        <w:t>A.4.2 Identificação das unidades e conversão</w:t>
        <w:tab/>
      </w:r>
      <w:r>
        <w:t>121</w:t>
      </w:r>
    </w:p>
    <w:p>
      <w:pPr>
        <w:pStyle w:val="ndiceAnexo3"/>
        <w:tabs>
          <w:tab w:val="right" w:leader="dot" w:pos="8204"/>
        </w:tabs>
      </w:pPr>
      <w:r>
        <w:t>A.4.3 Decomposição em linhas atómicas</w:t>
        <w:tab/>
      </w:r>
      <w:r>
        <w:t>121</w:t>
      </w:r>
    </w:p>
    <w:p>
      <w:pPr>
        <w:pStyle w:val="ndiceAnexo3"/>
        <w:tabs>
          <w:tab w:val="right" w:leader="dot" w:pos="8204"/>
        </w:tabs>
      </w:pPr>
      <w:r>
        <w:t>A.4.4 Registo fiel do contexto da medição</w:t>
        <w:tab/>
      </w:r>
      <w:r>
        <w:t>121</w:t>
      </w:r>
    </w:p>
    <w:p>
      <w:pPr>
        <w:pStyle w:val="ndiceAnexo2"/>
        <w:tabs>
          <w:tab w:val="right" w:leader="dot" w:pos="8204"/>
        </w:tabs>
      </w:pPr>
      <w:r>
        <w:t>A.5 Decisões por Estudo</w:t>
        <w:tab/>
      </w:r>
      <w:r>
        <w:t>121</w:t>
      </w:r>
    </w:p>
    <w:p>
      <w:pPr>
        <w:pStyle w:val="ndiceAnexo3"/>
        <w:tabs>
          <w:tab w:val="right" w:leader="dot" w:pos="8204"/>
        </w:tabs>
      </w:pPr>
      <w:r>
        <w:t>A.5.1 ANSUR 1988 — EUA, militares (Gordon et al., 1989)</w:t>
        <w:tab/>
      </w:r>
      <w:r>
        <w:t>121</w:t>
      </w:r>
    </w:p>
    <w:p>
      <w:pPr>
        <w:pStyle w:val="ndiceAnexo3"/>
        <w:tabs>
          <w:tab w:val="right" w:leader="dot" w:pos="8204"/>
        </w:tabs>
      </w:pPr>
      <w:r>
        <w:t>A.5.2 Turquia — jovens adultos (Chatzioglou et al., 2024)</w:t>
        <w:tab/>
      </w:r>
      <w:r>
        <w:t>122</w:t>
      </w:r>
    </w:p>
    <w:p>
      <w:pPr>
        <w:pStyle w:val="ndiceAnexo3"/>
        <w:tabs>
          <w:tab w:val="right" w:leader="dot" w:pos="8204"/>
        </w:tabs>
      </w:pPr>
      <w:r>
        <w:t>A.5.3 México — população geral (Rodríguez-Vega &amp; Rodríguez-Vega, 2024)</w:t>
        <w:tab/>
      </w:r>
      <w:r>
        <w:t>122</w:t>
      </w:r>
    </w:p>
    <w:p>
      <w:pPr>
        <w:pStyle w:val="ndiceAnexo3"/>
        <w:tabs>
          <w:tab w:val="right" w:leader="dot" w:pos="8204"/>
        </w:tabs>
      </w:pPr>
      <w:r>
        <w:t>A.5.4 Índia — mulheres trabalhadoras (Nag et al., 2003)</w:t>
        <w:tab/>
      </w:r>
      <w:r>
        <w:t>122</w:t>
      </w:r>
    </w:p>
    <w:p>
      <w:pPr>
        <w:pStyle w:val="ndiceAnexo3"/>
        <w:tabs>
          <w:tab w:val="right" w:leader="dot" w:pos="8204"/>
        </w:tabs>
      </w:pPr>
      <w:r>
        <w:t>A.5.5 Portugal — trabalhadores industriais (Anacleto Filho et al., 2023)</w:t>
        <w:tab/>
      </w:r>
      <w:r>
        <w:t>123</w:t>
      </w:r>
    </w:p>
    <w:p>
      <w:pPr>
        <w:pStyle w:val="ndiceAnexo3"/>
        <w:tabs>
          <w:tab w:val="right" w:leader="dot" w:pos="8204"/>
        </w:tabs>
      </w:pPr>
      <w:r>
        <w:t>A.5.6 Nigéria — atletas universitários (Ibiwari et al., 2025)</w:t>
        <w:tab/>
      </w:r>
      <w:r>
        <w:t>123</w:t>
      </w:r>
    </w:p>
    <w:p>
      <w:pPr>
        <w:pStyle w:val="ndiceAnexo3"/>
        <w:tabs>
          <w:tab w:val="right" w:leader="dot" w:pos="8204"/>
        </w:tabs>
      </w:pPr>
      <w:r>
        <w:t>A.5.7 Jordânia — trabalhadores com deficiência (Mistarihi, 2020)</w:t>
        <w:tab/>
      </w:r>
      <w:r>
        <w:t>123</w:t>
      </w:r>
    </w:p>
    <w:p>
      <w:pPr>
        <w:pStyle w:val="ndiceAnexo3"/>
        <w:tabs>
          <w:tab w:val="right" w:leader="dot" w:pos="8204"/>
        </w:tabs>
      </w:pPr>
      <w:r>
        <w:t>A.5.8 EUA — dedo indicador (Lim et al., 2018)</w:t>
        <w:tab/>
      </w:r>
      <w:r>
        <w:t>123</w:t>
      </w:r>
    </w:p>
    <w:p>
      <w:pPr>
        <w:pStyle w:val="ndiceAnexo3"/>
        <w:tabs>
          <w:tab w:val="right" w:leader="dot" w:pos="8204"/>
        </w:tabs>
      </w:pPr>
      <w:r>
        <w:t>A.5.9 Estudo excluído: Moreo (2016)</w:t>
        <w:tab/>
      </w:r>
      <w:r>
        <w:t>124</w:t>
      </w:r>
    </w:p>
    <w:p>
      <w:pPr>
        <w:pStyle w:val="ndiceAnexo3"/>
        <w:tabs>
          <w:tab w:val="right" w:leader="dot" w:pos="8204"/>
        </w:tabs>
      </w:pPr>
      <w:r>
        <w:t>A.5.10 EUA — militares ANSUR II (Gordon et al., 2015)</w:t>
        <w:tab/>
      </w:r>
      <w:r>
        <w:t>124</w:t>
      </w:r>
    </w:p>
    <w:p>
      <w:pPr>
        <w:pStyle w:val="ndiceAnexo3"/>
        <w:tabs>
          <w:tab w:val="right" w:leader="dot" w:pos="8204"/>
        </w:tabs>
      </w:pPr>
      <w:r>
        <w:t>A.5.11 Países Baixos — DINED (TU Delft, 1993–2004)</w:t>
        <w:tab/>
      </w:r>
      <w:r>
        <w:t>124</w:t>
      </w:r>
    </w:p>
    <w:p>
      <w:pPr>
        <w:pStyle w:val="ndiceAnexo3"/>
        <w:tabs>
          <w:tab w:val="right" w:leader="dot" w:pos="8204"/>
        </w:tabs>
      </w:pPr>
      <w:r>
        <w:t>A.5.12 China — idosos de Pequim (Hu et al., 2007)</w:t>
        <w:tab/>
      </w:r>
      <w:r>
        <w:t>125</w:t>
      </w:r>
    </w:p>
    <w:p>
      <w:pPr>
        <w:pStyle w:val="ndiceAnexo3"/>
        <w:tabs>
          <w:tab w:val="right" w:leader="dot" w:pos="8204"/>
        </w:tabs>
      </w:pPr>
      <w:r>
        <w:t>A.5.13 Estudo excluído: reconstrução corporal 3D a partir de fotografias ortogonais</w:t>
        <w:tab/>
      </w:r>
      <w:r>
        <w:t>125</w:t>
      </w:r>
    </w:p>
    <w:p>
      <w:pPr>
        <w:pStyle w:val="ndiceAnexo2"/>
        <w:tabs>
          <w:tab w:val="right" w:leader="dot" w:pos="8204"/>
        </w:tabs>
      </w:pPr>
      <w:r>
        <w:t>A.6 Estrutura do CSV e esquema de dados</w:t>
        <w:tab/>
      </w:r>
      <w:r>
        <w:t>125</w:t>
      </w:r>
    </w:p>
    <w:p>
      <w:pPr>
        <w:pStyle w:val="ndiceAnexo3"/>
        <w:tabs>
          <w:tab w:val="right" w:leader="dot" w:pos="8204"/>
        </w:tabs>
      </w:pPr>
      <w:r>
        <w:t>A.6.1 Campos</w:t>
        <w:tab/>
      </w:r>
      <w:r>
        <w:t>125</w:t>
      </w:r>
    </w:p>
    <w:p>
      <w:pPr>
        <w:pStyle w:val="ndiceAnexo3"/>
        <w:tabs>
          <w:tab w:val="right" w:leader="dot" w:pos="8204"/>
        </w:tabs>
      </w:pPr>
      <w:r>
        <w:t>A.6.2 Formato longo (long format)</w:t>
        <w:tab/>
      </w:r>
      <w:r>
        <w:t>126</w:t>
      </w:r>
    </w:p>
    <w:p>
      <w:pPr>
        <w:pStyle w:val="ndiceAnexo2"/>
        <w:tabs>
          <w:tab w:val="right" w:leader="dot" w:pos="8204"/>
        </w:tabs>
      </w:pPr>
      <w:r>
        <w:t>A.7 Controlo de Qualidade dos Dados</w:t>
        <w:tab/>
      </w:r>
      <w:r>
        <w:t>126</w:t>
      </w:r>
    </w:p>
    <w:p>
      <w:pPr>
        <w:pStyle w:val="ndiceAnexo3"/>
        <w:tabs>
          <w:tab w:val="right" w:leader="dot" w:pos="8204"/>
        </w:tabs>
      </w:pPr>
      <w:r>
        <w:t>A.7.1 Marcação inline de limitações</w:t>
        <w:tab/>
      </w:r>
      <w:r>
        <w:t>127</w:t>
      </w:r>
    </w:p>
    <w:p>
      <w:pPr>
        <w:pStyle w:val="ndiceAnexo3"/>
        <w:tabs>
          <w:tab w:val="right" w:leader="dot" w:pos="8204"/>
        </w:tabs>
      </w:pPr>
      <w:r>
        <w:t>A.7.2 Verificação de unidades</w:t>
        <w:tab/>
      </w:r>
      <w:r>
        <w:t>127</w:t>
      </w:r>
    </w:p>
    <w:p>
      <w:pPr>
        <w:pStyle w:val="ndiceAnexo3"/>
        <w:tabs>
          <w:tab w:val="right" w:leader="dot" w:pos="8204"/>
        </w:tabs>
      </w:pPr>
      <w:r>
        <w:t>A.7.3 Ligação à fonte</w:t>
        <w:tab/>
      </w:r>
      <w:r>
        <w:t>127</w:t>
      </w:r>
    </w:p>
    <w:p>
      <w:pPr>
        <w:pStyle w:val="ndiceAnexo2"/>
        <w:tabs>
          <w:tab w:val="right" w:leader="dot" w:pos="8204"/>
        </w:tabs>
      </w:pPr>
      <w:r>
        <w:t>A.8 Escrita do Código de Geração</w:t>
        <w:tab/>
      </w:r>
      <w:r>
        <w:t>127</w:t>
      </w:r>
    </w:p>
    <w:p>
      <w:pPr>
        <w:pStyle w:val="ndiceAnexo3"/>
        <w:tabs>
          <w:tab w:val="right" w:leader="dot" w:pos="8204"/>
        </w:tabs>
      </w:pPr>
      <w:r>
        <w:t>A.8.1 Correspondência entre os CSV e os parâmetros da plataforma</w:t>
        <w:tab/>
      </w:r>
      <w:r>
        <w:t>127</w:t>
      </w:r>
    </w:p>
    <w:p>
      <w:pPr>
        <w:pStyle w:val="ndiceAnexo2"/>
        <w:tabs>
          <w:tab w:val="right" w:leader="dot" w:pos="8204"/>
        </w:tabs>
      </w:pPr>
      <w:r>
        <w:t>A.9 Resultado Final</w:t>
        <w:tab/>
      </w:r>
      <w:r>
        <w:t>128</w:t>
      </w:r>
    </w:p>
    <w:p>
      <w:pPr>
        <w:pStyle w:val="ndiceAnexo2"/>
        <w:tabs>
          <w:tab w:val="right" w:leader="dot" w:pos="8204"/>
        </w:tabs>
      </w:pPr>
      <w:r>
        <w:t>A.10 Cobertura Global da Base de Dados e Lacunas</w:t>
        <w:tab/>
      </w:r>
      <w:r>
        <w:t>129</w:t>
      </w:r>
    </w:p>
    <w:p>
      <w:pPr>
        <w:pStyle w:val="ndiceAnexo3"/>
        <w:tabs>
          <w:tab w:val="right" w:leader="dot" w:pos="8204"/>
        </w:tabs>
      </w:pPr>
      <w:r>
        <w:t>A.10.1 O que está coberto</w:t>
        <w:tab/>
      </w:r>
      <w:r>
        <w:t>129</w:t>
      </w:r>
    </w:p>
    <w:p>
      <w:pPr>
        <w:pStyle w:val="ndiceAnexo4"/>
        <w:tabs>
          <w:tab w:val="right" w:leader="dot" w:pos="8204"/>
        </w:tabs>
      </w:pPr>
      <w:r>
        <w:t>A.10.1.1 Cobertura geográfica</w:t>
        <w:tab/>
      </w:r>
      <w:r>
        <w:t>129</w:t>
      </w:r>
    </w:p>
    <w:p>
      <w:pPr>
        <w:pStyle w:val="ndiceAnexo4"/>
        <w:tabs>
          <w:tab w:val="right" w:leader="dot" w:pos="8204"/>
        </w:tabs>
      </w:pPr>
      <w:r>
        <w:t>A.10.1.2 Cobertura etária</w:t>
        <w:tab/>
      </w:r>
      <w:r>
        <w:t>129</w:t>
      </w:r>
    </w:p>
    <w:p>
      <w:pPr>
        <w:pStyle w:val="ndiceAnexo4"/>
        <w:tabs>
          <w:tab w:val="right" w:leader="dot" w:pos="8204"/>
        </w:tabs>
      </w:pPr>
      <w:r>
        <w:t>A.10.1.3 Cobertura estatística</w:t>
        <w:tab/>
      </w:r>
      <w:r>
        <w:t>130</w:t>
      </w:r>
    </w:p>
    <w:p>
      <w:pPr>
        <w:pStyle w:val="ndiceAnexo3"/>
        <w:tabs>
          <w:tab w:val="right" w:leader="dot" w:pos="8204"/>
        </w:tabs>
      </w:pPr>
      <w:r>
        <w:t>A.10.2 Onde a cobertura falha</w:t>
        <w:tab/>
      </w:r>
      <w:r>
        <w:t>130</w:t>
      </w:r>
    </w:p>
    <w:p>
      <w:pPr>
        <w:pStyle w:val="ndiceAnexo4"/>
        <w:tabs>
          <w:tab w:val="right" w:leader="dot" w:pos="8204"/>
        </w:tabs>
      </w:pPr>
      <w:r>
        <w:t>A.10.2.1 Lacunas geográficas</w:t>
        <w:tab/>
      </w:r>
      <w:r>
        <w:t>130</w:t>
      </w:r>
    </w:p>
    <w:p>
      <w:pPr>
        <w:pStyle w:val="ndiceAnexo4"/>
        <w:tabs>
          <w:tab w:val="right" w:leader="dot" w:pos="8204"/>
        </w:tabs>
      </w:pPr>
      <w:r>
        <w:t>A.10.2.2 Lacunas demográficas</w:t>
        <w:tab/>
      </w:r>
      <w:r>
        <w:t>131</w:t>
      </w:r>
    </w:p>
    <w:p>
      <w:pPr>
        <w:pStyle w:val="ndiceAnexo4"/>
        <w:tabs>
          <w:tab w:val="right" w:leader="dot" w:pos="8204"/>
        </w:tabs>
      </w:pPr>
      <w:r>
        <w:t>A.10.2.3 Limitações qualitativas dos dados existentes</w:t>
        <w:tab/>
      </w:r>
      <w:r>
        <w:t>131</w:t>
      </w:r>
    </w:p>
    <w:p>
      <w:pPr>
        <w:pStyle w:val="ndiceAnexo3"/>
        <w:tabs>
          <w:tab w:val="right" w:leader="dot" w:pos="8204"/>
        </w:tabs>
      </w:pPr>
      <w:r>
        <w:t>A.10.3 Frentes identificadas para expansão futura</w:t>
        <w:tab/>
      </w:r>
      <w:r>
        <w:t>132</w:t>
      </w:r>
    </w:p>
    <w:p>
      <w:pPr>
        <w:pStyle w:val="ndiceAnexo4"/>
        <w:tabs>
          <w:tab w:val="right" w:leader="dot" w:pos="8204"/>
        </w:tabs>
      </w:pPr>
      <w:r>
        <w:t>A.10.3.1 Prioridade alta</w:t>
        <w:tab/>
      </w:r>
      <w:r>
        <w:t>132</w:t>
      </w:r>
    </w:p>
    <w:p>
      <w:pPr>
        <w:pStyle w:val="ndiceAnexo4"/>
        <w:tabs>
          <w:tab w:val="right" w:leader="dot" w:pos="8204"/>
        </w:tabs>
      </w:pPr>
      <w:r>
        <w:t>A.10.3.2 Prioridade média</w:t>
        <w:tab/>
      </w:r>
      <w:r>
        <w:t>132</w:t>
      </w:r>
    </w:p>
    <w:p>
      <w:pPr>
        <w:pStyle w:val="ndiceAnexo4"/>
        <w:tabs>
          <w:tab w:val="right" w:leader="dot" w:pos="8204"/>
        </w:tabs>
      </w:pPr>
      <w:r>
        <w:t>A.10.3.3 Pertinência directa para o tema da tese</w:t>
        <w:tab/>
      </w:r>
      <w:r>
        <w:t>132</w:t>
      </w:r>
    </w:p>
    <w:p>
      <w:pPr>
        <w:pStyle w:val="Cabealho3"/>
        <w:numPr>
          <w:ilvl w:val="2"/>
          <w:numId w:val="0"/>
        </w:numPr>
      </w:pPr>
      <w:r>
        <w:t>A.1 Contexto e Objectivo</w:t>
      </w:r>
    </w:p>
    <w:p>
      <w:pPr>
        <w:pStyle w:val="TextoNormal-IPCA"/>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pPr>
      <w:r>
        <w:t>Foram produzidos três conjuntos de dados complementares em formato CSV:</w:t>
      </w:r>
    </w:p>
    <w:p>
      <w:pPr>
        <w:pStyle w:val="TextoNormal-IPCA"/>
      </w:pPr>
      <w:r>
        <w:t>- conjunto ANSUR completo — 2.726 linhas de dados, 47 dimensões corporais do estudo ANSUR 1988 (Gordon et al., 1989), população militar norte-americana</w:t>
      </w:r>
    </w:p>
    <w:p>
      <w:pPr>
        <w:pStyle w:val="TextoNormal-IPCA"/>
      </w:pPr>
      <w:r>
        <w:t>- subconjunto ANSUR mão–braço — 696 linhas de dados, restrito às medições da mão, antebraço e braço</w:t>
      </w:r>
    </w:p>
    <w:p>
      <w:pPr>
        <w:pStyle w:val="TextoNormal-IPCA"/>
      </w:pPr>
      <w:r>
        <w:t>- conjunto multipopulacional da mão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3"/>
        <w:numPr>
          <w:ilvl w:val="2"/>
          <w:numId w:val="0"/>
        </w:numPr>
      </w:pPr>
      <w:r>
        <w:t>A.8 Escrita do Código de Geração</w:t>
      </w:r>
    </w:p>
    <w:p>
      <w:pPr>
        <w:pStyle w:val="TextoNormal-IPCA"/>
      </w:pPr>
      <w:r>
        <w:t>Os dados foram codificados por dois procedimentos Python independentes:</w:t>
      </w:r>
    </w:p>
    <w:p>
      <w:pPr>
        <w:pStyle w:val="TextoNormal-IPCA"/>
      </w:pPr>
      <w:r>
        <w:t>- procedimento ANSUR — gera o conjunto completo e o subconjunto mão–braço a partir de dicionários Python incorporados, um por tabela do relatório ANSUR</w:t>
      </w:r>
    </w:p>
    <w:p>
      <w:pPr>
        <w:pStyle w:val="TextoNormal-IPCA"/>
      </w:pPr>
      <w:r>
        <w:t>- procedimento multipopulacional — gera o conjunto de dados da mão a partir de secções correspondentes às fontes e aos subconjuntos incluídos</w:t>
      </w:r>
    </w:p>
    <w:p>
      <w:pPr>
        <w:pStyle w:val="TextoNormal-IPCA"/>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pPr>
      <w:r>
        <w:t>O script aplica automaticamente as conversões de unidade, calcula valuein a partir de valuecm, e valida que nenhuma linha é emitida sem pelo menos uma das colunas valuemm ou valuecm preenchida.</w:t>
      </w:r>
    </w:p>
    <w:p>
      <w:pPr>
        <w:pStyle w:val="Cabealho3"/>
        <w:numPr>
          <w:ilvl w:val="2"/>
          <w:numId w:val="0"/>
        </w:numPr>
      </w:pPr>
      <w:r>
        <w:t>A.8.1 Correspondência entre os CSV e os parâmetros da plataforma</w:t>
      </w:r>
    </w:p>
    <w:p>
      <w:pPr>
        <w:pStyle w:val="TextoNormal-IPCA"/>
      </w:pPr>
      <w: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pPr>
      <w:r>
        <w:t xml:space="preserve">O mapeamento canónico liga apenas medidas com correspondência anatómica explícita: </w:t>
      </w:r>
      <w:r>
        <w:rPr>
          <w:rFonts w:ascii="Consolas" w:hAnsi="Consolas"/>
          <w:sz w:val="20"/>
        </w:rPr>
        <w:t>palm.width_mm</w:t>
      </w:r>
      <w:r>
        <w:t xml:space="preserve"> a </w:t>
      </w:r>
      <w:r>
        <w:rPr>
          <w:rFonts w:ascii="Consolas" w:hAnsi="Consolas"/>
          <w:sz w:val="20"/>
        </w:rPr>
        <w:t>palm_breadth_mm</w:t>
      </w:r>
      <w:r>
        <w:t xml:space="preserve">; </w:t>
      </w:r>
      <w:r>
        <w:rPr>
          <w:rFonts w:ascii="Consolas" w:hAnsi="Consolas"/>
          <w:sz w:val="20"/>
        </w:rPr>
        <w:t>palm.length_mm</w:t>
      </w:r>
      <w:r>
        <w:t xml:space="preserve"> a </w:t>
      </w:r>
      <w:r>
        <w:rPr>
          <w:rFonts w:ascii="Consolas" w:hAnsi="Consolas"/>
          <w:sz w:val="20"/>
        </w:rPr>
        <w:t>palm_length_mm</w:t>
      </w:r>
      <w:r>
        <w:t xml:space="preserve">; </w:t>
      </w:r>
      <w:r>
        <w:rPr>
          <w:rFonts w:ascii="Consolas" w:hAnsi="Consolas"/>
          <w:sz w:val="20"/>
        </w:rPr>
        <w:t>palm.thickness_mm</w:t>
      </w:r>
      <w:r>
        <w:t xml:space="preserve"> a </w:t>
      </w:r>
      <w:r>
        <w:rPr>
          <w:rFonts w:ascii="Consolas" w:hAnsi="Consolas"/>
          <w:sz w:val="20"/>
        </w:rPr>
        <w:t>palm_thickness_mm</w:t>
      </w:r>
      <w:r>
        <w:t xml:space="preserve">; os comprimentos totais de </w:t>
      </w:r>
      <w:r>
        <w:rPr>
          <w:rFonts w:ascii="Consolas" w:hAnsi="Consolas"/>
          <w:sz w:val="20"/>
        </w:rPr>
        <w:t>digits.index</w:t>
      </w:r>
      <w:r>
        <w:t xml:space="preserve">, </w:t>
      </w:r>
      <w:r>
        <w:rPr>
          <w:rFonts w:ascii="Consolas" w:hAnsi="Consolas"/>
          <w:sz w:val="20"/>
        </w:rPr>
        <w:t>middle</w:t>
      </w:r>
      <w:r>
        <w:t xml:space="preserve">, </w:t>
      </w:r>
      <w:r>
        <w:rPr>
          <w:rFonts w:ascii="Consolas" w:hAnsi="Consolas"/>
          <w:sz w:val="20"/>
        </w:rPr>
        <w:t>ring</w:t>
      </w:r>
      <w:r>
        <w:t xml:space="preserve">, </w:t>
      </w:r>
      <w:r>
        <w:rPr>
          <w:rFonts w:ascii="Consolas" w:hAnsi="Consolas"/>
          <w:sz w:val="20"/>
        </w:rPr>
        <w:t>pinky</w:t>
      </w:r>
      <w:r>
        <w:t xml:space="preserve"> e </w:t>
      </w:r>
      <w:r>
        <w:rPr>
          <w:rFonts w:ascii="Consolas" w:hAnsi="Consolas"/>
          <w:sz w:val="20"/>
        </w:rPr>
        <w:t>thumb</w:t>
      </w:r>
      <w:r>
        <w:t xml:space="preserve"> aos cinco parâmetros </w:t>
      </w:r>
      <w:r>
        <w:rPr>
          <w:rFonts w:ascii="Consolas" w:hAnsi="Consolas"/>
          <w:sz w:val="20"/>
        </w:rPr>
        <w:t>*_finger_length_mm</w:t>
      </w:r>
      <w:r>
        <w:t xml:space="preserve">; os comprimentos proximais dos mesmos dedos aos parâmetros </w:t>
      </w:r>
      <w:r>
        <w:rPr>
          <w:rFonts w:ascii="Consolas" w:hAnsi="Consolas"/>
          <w:sz w:val="20"/>
        </w:rPr>
        <w:t>*_base_length_mm</w:t>
      </w:r>
      <w:r>
        <w:t xml:space="preserve">; e </w:t>
      </w:r>
      <w:r>
        <w:rPr>
          <w:rFonts w:ascii="Consolas" w:hAnsi="Consolas"/>
          <w:sz w:val="20"/>
        </w:rPr>
        <w:t>wrist.circumference_mm</w:t>
      </w:r>
      <w:r>
        <w:t xml:space="preserve"> a </w:t>
      </w:r>
      <w:r>
        <w:rPr>
          <w:rFonts w:ascii="Consolas" w:hAnsi="Consolas"/>
          <w:sz w:val="20"/>
        </w:rPr>
        <w:t>wrist_circumference_mm</w:t>
      </w:r>
      <w: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pPr>
      <w: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3"/>
        <w:numPr>
          <w:ilvl w:val="2"/>
          <w:numId w:val="0"/>
        </w:numPr>
      </w:pPr>
      <w:r>
        <w:t>A.9 Resultado Final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Conjunto de dados</w:t>
            </w:r>
          </w:p>
        </w:tc>
        <w:tc>
          <w:tcPr>
            <w:tcW w:w="1800" w:type="dxa"/>
          </w:tcPr>
          <w:p>
            <w:pPr>
              <w:pStyle w:val="TextoNormal-IPCA"/>
            </w:pPr>
            <w:r>
              <w:rPr>
                <w:sz w:val="16"/>
                <w:szCs w:val="16"/>
                <w:b/>
              </w:rPr>
              <w:t>Linhas</w:t>
            </w:r>
          </w:p>
        </w:tc>
        <w:tc>
          <w:tcPr>
            <w:tcW w:w="1800" w:type="dxa"/>
          </w:tcPr>
          <w:p>
            <w:pPr>
              <w:pStyle w:val="TextoNormal-IPCA"/>
            </w:pPr>
            <w:r>
              <w:rPr>
                <w:sz w:val="16"/>
                <w:szCs w:val="16"/>
                <w:b/>
              </w:rPr>
              <w:t>Países</w:t>
            </w:r>
          </w:p>
        </w:tc>
        <w:tc>
          <w:tcPr>
            <w:tcW w:w="1800" w:type="dxa"/>
          </w:tcPr>
          <w:p>
            <w:pPr>
              <w:pStyle w:val="TextoNormal-IPCA"/>
            </w:pPr>
            <w:r>
              <w:rPr>
                <w:sz w:val="16"/>
                <w:szCs w:val="16"/>
                <w:b/>
              </w:rPr>
              <w:t>Fontes ou subconjuntos</w:t>
            </w:r>
          </w:p>
        </w:tc>
        <w:tc>
          <w:tcPr>
            <w:tcW w:w="1800" w:type="dxa"/>
          </w:tcPr>
          <w:p>
            <w:pPr>
              <w:pStyle w:val="TextoNormal-IPCA"/>
            </w:pPr>
            <w:r>
              <w:rPr>
                <w:sz w:val="16"/>
                <w:szCs w:val="16"/>
                <w:b/>
              </w:rPr>
              <w:t>Dimensões distintas</w:t>
            </w:r>
          </w:p>
        </w:tc>
      </w:tr>
      <w:tr>
        <w:trPr>
          <w:cantSplit/>
        </w:trPr>
        <w:tc>
          <w:tcPr>
            <w:tcW w:w="1800" w:type="dxa"/>
          </w:tcPr>
          <w:p>
            <w:pPr>
              <w:pStyle w:val="TextoNormal-IPCA"/>
            </w:pPr>
            <w:r>
              <w:rPr>
                <w:sz w:val="16"/>
                <w:szCs w:val="16"/>
              </w:rPr>
              <w:t>ANSUR completo</w:t>
            </w:r>
          </w:p>
        </w:tc>
        <w:tc>
          <w:tcPr>
            <w:tcW w:w="1800" w:type="dxa"/>
          </w:tcPr>
          <w:p>
            <w:pPr>
              <w:pStyle w:val="TextoNormal-IPCA"/>
            </w:pPr>
            <w:r>
              <w:rPr>
                <w:sz w:val="16"/>
                <w:szCs w:val="16"/>
              </w:rPr>
              <w:t>2.726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47</w:t>
            </w:r>
          </w:p>
        </w:tc>
      </w:tr>
      <w:tr>
        <w:trPr>
          <w:cantSplit/>
        </w:trPr>
        <w:tc>
          <w:tcPr>
            <w:tcW w:w="1800" w:type="dxa"/>
          </w:tcPr>
          <w:p>
            <w:pPr>
              <w:pStyle w:val="TextoNormal-IPCA"/>
            </w:pPr>
            <w:r>
              <w:rPr>
                <w:sz w:val="16"/>
                <w:szCs w:val="16"/>
              </w:rPr>
              <w:t>ANSUR mão–braço</w:t>
            </w:r>
          </w:p>
        </w:tc>
        <w:tc>
          <w:tcPr>
            <w:tcW w:w="1800" w:type="dxa"/>
          </w:tcPr>
          <w:p>
            <w:pPr>
              <w:pStyle w:val="TextoNormal-IPCA"/>
            </w:pPr>
            <w:r>
              <w:rPr>
                <w:sz w:val="16"/>
                <w:szCs w:val="16"/>
              </w:rPr>
              <w:t>696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17</w:t>
            </w:r>
          </w:p>
        </w:tc>
      </w:tr>
      <w:tr>
        <w:trPr>
          <w:cantSplit/>
        </w:trPr>
        <w:tc>
          <w:tcPr>
            <w:tcW w:w="1800" w:type="dxa"/>
          </w:tcPr>
          <w:p>
            <w:pPr>
              <w:pStyle w:val="TextoNormal-IPCA"/>
            </w:pPr>
            <w:r>
              <w:rPr>
                <w:sz w:val="16"/>
                <w:szCs w:val="16"/>
              </w:rPr>
              <w:t>Base multipopulacional da mão</w:t>
            </w:r>
          </w:p>
        </w:tc>
        <w:tc>
          <w:tcPr>
            <w:tcW w:w="1800" w:type="dxa"/>
          </w:tcPr>
          <w:p>
            <w:pPr>
              <w:pStyle w:val="TextoNormal-IPCA"/>
            </w:pPr>
            <w:r>
              <w:rPr>
                <w:sz w:val="16"/>
                <w:szCs w:val="16"/>
              </w:rPr>
              <w:t>1.790</w:t>
            </w:r>
          </w:p>
        </w:tc>
        <w:tc>
          <w:tcPr>
            <w:tcW w:w="1800" w:type="dxa"/>
          </w:tcPr>
          <w:p>
            <w:pPr>
              <w:pStyle w:val="TextoNormal-IPCA"/>
            </w:pPr>
            <w:r>
              <w:rPr>
                <w:sz w:val="16"/>
                <w:szCs w:val="16"/>
              </w:rPr>
              <w:t>9</w:t>
            </w:r>
          </w:p>
        </w:tc>
        <w:tc>
          <w:tcPr>
            <w:tcW w:w="1800" w:type="dxa"/>
          </w:tcPr>
          <w:p>
            <w:pPr>
              <w:pStyle w:val="TextoNormal-IPCA"/>
            </w:pPr>
            <w:r>
              <w:rPr>
                <w:sz w:val="16"/>
                <w:szCs w:val="16"/>
              </w:rPr>
              <w:t>12</w:t>
            </w:r>
          </w:p>
        </w:tc>
        <w:tc>
          <w:tcPr>
            <w:tcW w:w="1800" w:type="dxa"/>
          </w:tcPr>
          <w:p>
            <w:pPr>
              <w:pStyle w:val="TextoNormal-IPCA"/>
            </w:pPr>
            <w:r>
              <w:rPr>
                <w:sz w:val="16"/>
                <w:szCs w:val="16"/>
              </w:rPr>
              <w:t>cerca de 85</w:t>
            </w:r>
          </w:p>
        </w:tc>
      </w:tr>
    </w:tbl>
    <w:p>
      <w:pPr>
        <w:pStyle w:val="TextoNormal-IPCA"/>
      </w:pPr>
      <w:r>
        <w:t xml:space="preserve">Estes totais foram confirmados pela regeneração dos três conjuntos de dados. A contagem de 12 corresponde a documentos-fonte ou subconjuntos identificados pelo procedimento de geração e não implica 12 estudos primários independentes.</w:t>
      </w:r>
      <w:r>
        <w:rPr>
          <w:rFonts w:ascii="Consolas" w:hAnsi="Consolas"/>
          <w:sz w:val="20"/>
        </w:rPr>
        <w:t/>
      </w:r>
      <w:r>
        <w:t xml:space="preserve"/>
      </w:r>
      <w:r>
        <w:rPr>
          <w:rFonts w:ascii="Consolas" w:hAnsi="Consolas"/>
          <w:sz w:val="20"/>
        </w:rPr>
        <w:t/>
      </w:r>
      <w:r>
        <w:t/>
      </w:r>
    </w:p>
    <w:p>
      <w:pPr>
        <w:pStyle w:val="TextoNormal-IPCA"/>
      </w:pPr>
      <w: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pPr>
      <w:r>
        <w:t xml:space="preserve">Na inspecção final da base local da aplicação, a tabela antropométrica continha 100 perfis agregados: 97 com origem </w:t>
      </w:r>
      <w:r>
        <w:rPr>
          <w:rFonts w:ascii="Consolas" w:hAnsi="Consolas"/>
          <w:sz w:val="20"/>
        </w:rPr>
        <w:t>csv_bulk</w:t>
      </w:r>
      <w:r>
        <w:t xml:space="preserve">, dois com origem </w:t>
      </w:r>
      <w:r>
        <w:rPr>
          <w:rFonts w:ascii="Consolas" w:hAnsi="Consolas"/>
          <w:sz w:val="20"/>
        </w:rP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base multipopulacional da mão foi construída para reunir diferenças antropométricas da mão em várias dimensões geográficas, demográficas, etárias e estatísticas. A tabela seguinte sintetiza a cobertura actual.</w:t>
      </w:r>
      <w:r>
        <w:t/>
      </w:r>
      <w:r>
        <w:t xml:space="preserve"/>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134</w:t>
      </w:r>
    </w:p>
    <w:p>
      <w:pPr>
        <w:pStyle w:val="ndiceAnexo2"/>
        <w:tabs>
          <w:tab w:val="right" w:leader="dot" w:pos="8204"/>
        </w:tabs>
      </w:pPr>
      <w:r>
        <w:t>B.2 Âmbito e limites</w:t>
        <w:tab/>
      </w:r>
      <w:r>
        <w:t>134</w:t>
      </w:r>
    </w:p>
    <w:p>
      <w:pPr>
        <w:pStyle w:val="ndiceAnexo2"/>
        <w:tabs>
          <w:tab w:val="right" w:leader="dot" w:pos="8204"/>
        </w:tabs>
      </w:pPr>
      <w:r>
        <w:t>B.3 Procedimento</w:t>
        <w:tab/>
      </w:r>
      <w:r>
        <w:t>134</w:t>
      </w:r>
    </w:p>
    <w:p>
      <w:pPr>
        <w:pStyle w:val="ndiceAnexo2"/>
        <w:tabs>
          <w:tab w:val="right" w:leader="dot" w:pos="8204"/>
        </w:tabs>
      </w:pPr>
      <w:r>
        <w:t>B.4 Resultados de previsibilidade</w:t>
        <w:tab/>
      </w:r>
      <w:r>
        <w:t>135</w:t>
      </w:r>
    </w:p>
    <w:p>
      <w:pPr>
        <w:pStyle w:val="ndiceAnexo3"/>
        <w:tabs>
          <w:tab w:val="right" w:leader="dot" w:pos="8204"/>
        </w:tabs>
      </w:pPr>
      <w:r>
        <w:t>B.4.1 Repetição da mesma configuração</w:t>
        <w:tab/>
      </w:r>
      <w:r>
        <w:t>135</w:t>
      </w:r>
    </w:p>
    <w:p>
      <w:pPr>
        <w:pStyle w:val="ndiceAnexo3"/>
        <w:tabs>
          <w:tab w:val="right" w:leader="dot" w:pos="8204"/>
        </w:tabs>
      </w:pPr>
      <w:r>
        <w:t>B.4.2 Comparação entre navegadores</w:t>
        <w:tab/>
      </w:r>
      <w:r>
        <w:t>135</w:t>
      </w:r>
    </w:p>
    <w:p>
      <w:pPr>
        <w:pStyle w:val="ndiceAnexo2"/>
        <w:tabs>
          <w:tab w:val="right" w:leader="dot" w:pos="8204"/>
        </w:tabs>
      </w:pPr>
      <w:r>
        <w:t>B.5 Resultados de recuperação e controlo</w:t>
        <w:tab/>
      </w:r>
      <w:r>
        <w:t>136</w:t>
      </w:r>
    </w:p>
    <w:p>
      <w:pPr>
        <w:pStyle w:val="ndiceAnexo2"/>
        <w:tabs>
          <w:tab w:val="right" w:leader="dot" w:pos="8204"/>
        </w:tabs>
      </w:pPr>
      <w:r>
        <w:t>B.6 Resultados da verificação automática de acessibilidade digital</w:t>
        <w:tab/>
      </w:r>
      <w:r>
        <w:t>136</w:t>
      </w:r>
    </w:p>
    <w:p>
      <w:pPr>
        <w:pStyle w:val="ndiceAnexo3"/>
        <w:tabs>
          <w:tab w:val="right" w:leader="dot" w:pos="8204"/>
        </w:tabs>
      </w:pPr>
      <w:r>
        <w:t>B.6.1 Percurso local autenticado</w:t>
        <w:tab/>
      </w:r>
      <w:r>
        <w:t>136</w:t>
      </w:r>
    </w:p>
    <w:p>
      <w:pPr>
        <w:pStyle w:val="ndiceAnexo3"/>
        <w:tabs>
          <w:tab w:val="right" w:leader="dot" w:pos="8204"/>
        </w:tabs>
      </w:pPr>
      <w:r>
        <w:t>B.6.2 Superfície pública</w:t>
        <w:tab/>
      </w:r>
      <w:r>
        <w:t>137</w:t>
      </w:r>
    </w:p>
    <w:p>
      <w:pPr>
        <w:pStyle w:val="ndiceAnexo3"/>
        <w:tabs>
          <w:tab w:val="right" w:leader="dot" w:pos="8204"/>
        </w:tabs>
      </w:pPr>
      <w:r>
        <w:t>B.6.3 Verificação manual pendente</w:t>
        <w:tab/>
      </w:r>
      <w:r>
        <w:t>137</w:t>
      </w:r>
    </w:p>
    <w:p>
      <w:pPr>
        <w:pStyle w:val="ndiceAnexo2"/>
        <w:tabs>
          <w:tab w:val="right" w:leader="dot" w:pos="8204"/>
        </w:tabs>
      </w:pPr>
      <w:r>
        <w:t>B.7 Aprendizagens para o Design Industrial</w:t>
        <w:tab/>
      </w:r>
      <w:r>
        <w:t>137</w:t>
      </w:r>
    </w:p>
    <w:p>
      <w:pPr>
        <w:pStyle w:val="ndiceAnexo2"/>
        <w:tabs>
          <w:tab w:val="right" w:leader="dot" w:pos="8204"/>
        </w:tabs>
      </w:pPr>
      <w:r>
        <w:t>B.8 Conclusão</w:t>
        <w:tab/>
      </w:r>
      <w:r>
        <w:t>138</w:t>
      </w:r>
    </w:p>
    <w:p>
      <w:pPr>
        <w:pStyle w:val="ndiceAnexo2"/>
        <w:tabs>
          <w:tab w:val="right" w:leader="dot" w:pos="8204"/>
        </w:tabs>
      </w:pPr>
      <w:r>
        <w:t>B.9 Ficha técnica e proveniência das evidências</w:t>
        <w:tab/>
      </w:r>
      <w:r>
        <w:t>138</w:t>
      </w:r>
    </w:p>
    <w:p>
      <w:pPr>
        <w:pStyle w:val="ndiceAnexo2"/>
        <w:tabs>
          <w:tab w:val="right" w:leader="dot" w:pos="8204"/>
        </w:tabs>
      </w:pPr>
      <w:r>
        <w:t>B.10 Referências normativas</w:t>
        <w:tab/>
      </w:r>
      <w:r>
        <w:t>138</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proveniência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correspondem à versão 14.69.0 da plataforma. O código de ensaio, os resultados estruturados e os registos necessários à interpretação das execuções foram conservados em conjunto no material suplementar.</w:t>
      </w:r>
      <w:r>
        <w:rPr>
          <w:rFonts w:ascii="Consolas" w:hAnsi="Consolas"/>
          <w:sz w:val="20"/>
        </w:rPr>
        <w:t/>
      </w:r>
      <w:r>
        <w:t xml:space="preserve"/>
      </w:r>
      <w:r>
        <w:rPr>
          <w:rFonts w:ascii="Consolas" w:hAnsi="Consolas"/>
          <w:sz w:val="20"/>
        </w:rPr>
        <w:t/>
      </w:r>
      <w:r>
        <w:t/>
      </w:r>
    </w:p>
    <w:p>
      <w:pPr>
        <w:pStyle w:val="TextoNormal-IPCA"/>
      </w:pPr>
      <w:r>
        <w:t>Os resultados estruturados e as saídas brutas de maior dimensão integram o material suplementar associado ao Anexo B, organizados pelos identificadores técnicos originais de cada série.</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140</w:t>
      </w:r>
    </w:p>
    <w:p>
      <w:pPr>
        <w:pStyle w:val="ndiceAnexo2"/>
        <w:tabs>
          <w:tab w:val="right" w:leader="dot" w:pos="8204"/>
        </w:tabs>
      </w:pPr>
      <w:r>
        <w:t>C.2 Princípio comum de adaptação</w:t>
        <w:tab/>
      </w:r>
      <w:r>
        <w:t>140</w:t>
      </w:r>
    </w:p>
    <w:p>
      <w:pPr>
        <w:pStyle w:val="ndiceAnexo3"/>
        <w:tabs>
          <w:tab w:val="right" w:leader="dot" w:pos="8204"/>
        </w:tabs>
      </w:pPr>
      <w:r>
        <w:t>C.2.1 Campos antropométricos comuns</w:t>
        <w:tab/>
      </w:r>
      <w:r>
        <w:t>141</w:t>
      </w:r>
    </w:p>
    <w:p>
      <w:pPr>
        <w:pStyle w:val="ndiceAnexo3"/>
        <w:tabs>
          <w:tab w:val="right" w:leader="dot" w:pos="8204"/>
        </w:tabs>
      </w:pPr>
      <w:r>
        <w:t>C.2.2 Tipos de parâmetros</w:t>
        <w:tab/>
      </w:r>
      <w:r>
        <w:t>142</w:t>
      </w:r>
    </w:p>
    <w:p>
      <w:pPr>
        <w:pStyle w:val="ndiceAnexo3"/>
        <w:tabs>
          <w:tab w:val="right" w:leader="dot" w:pos="8204"/>
        </w:tabs>
      </w:pPr>
      <w:r>
        <w:t>C.2.3 Coerência dos controlos na versão 14.72.0</w:t>
        <w:tab/>
      </w:r>
      <w:r>
        <w:t>142</w:t>
      </w:r>
    </w:p>
    <w:p>
      <w:pPr>
        <w:pStyle w:val="ndiceAnexo2"/>
        <w:tabs>
          <w:tab w:val="right" w:leader="dot" w:pos="8204"/>
        </w:tabs>
      </w:pPr>
      <w:r>
        <w:t>C.3 Flexy Beast</w:t>
        <w:tab/>
      </w:r>
      <w:r>
        <w:t>142</w:t>
      </w:r>
    </w:p>
    <w:p>
      <w:pPr>
        <w:pStyle w:val="ndiceAnexo3"/>
        <w:tabs>
          <w:tab w:val="right" w:leader="dot" w:pos="8204"/>
        </w:tabs>
      </w:pPr>
      <w:r>
        <w:t>C.3.1 Origem e estratégia de adaptação</w:t>
        <w:tab/>
      </w:r>
      <w:r>
        <w:t>142</w:t>
      </w:r>
    </w:p>
    <w:p>
      <w:pPr>
        <w:pStyle w:val="ndiceAnexo3"/>
        <w:tabs>
          <w:tab w:val="right" w:leader="dot" w:pos="8204"/>
        </w:tabs>
      </w:pPr>
      <w:r>
        <w:t>C.3.2 Entradas, limites e relações</w:t>
        <w:tab/>
      </w:r>
      <w:r>
        <w:t>143</w:t>
      </w:r>
    </w:p>
    <w:p>
      <w:pPr>
        <w:pStyle w:val="ndiceAnexo3"/>
        <w:tabs>
          <w:tab w:val="right" w:leader="dot" w:pos="8204"/>
        </w:tabs>
      </w:pPr>
      <w:r>
        <w:t>C.3.3 Braçadeira e interfaces confirmáveis</w:t>
        <w:tab/>
      </w:r>
      <w:r>
        <w:t>144</w:t>
      </w:r>
    </w:p>
    <w:p>
      <w:pPr>
        <w:pStyle w:val="ndiceAnexo3"/>
        <w:tabs>
          <w:tab w:val="right" w:leader="dot" w:pos="8204"/>
        </w:tabs>
      </w:pPr>
      <w:r>
        <w:t>C.3.4 Exemplo de propagação já preservado</w:t>
        <w:tab/>
      </w:r>
      <w:r>
        <w:t>144</w:t>
      </w:r>
    </w:p>
    <w:p>
      <w:pPr>
        <w:pStyle w:val="ndiceAnexo3"/>
        <w:tabs>
          <w:tab w:val="right" w:leader="dot" w:pos="8204"/>
        </w:tabs>
      </w:pPr>
      <w:r>
        <w:t>C.3.5 Limitações específicas</w:t>
        <w:tab/>
      </w:r>
      <w:r>
        <w:t>144</w:t>
      </w:r>
    </w:p>
    <w:p>
      <w:pPr>
        <w:pStyle w:val="ndiceAnexo2"/>
        <w:tabs>
          <w:tab w:val="right" w:leader="dot" w:pos="8204"/>
        </w:tabs>
      </w:pPr>
      <w:r>
        <w:t>C.4 Cyborg Beast</w:t>
        <w:tab/>
      </w:r>
      <w:r>
        <w:t>145</w:t>
      </w:r>
    </w:p>
    <w:p>
      <w:pPr>
        <w:pStyle w:val="ndiceAnexo3"/>
        <w:tabs>
          <w:tab w:val="right" w:leader="dot" w:pos="8204"/>
        </w:tabs>
      </w:pPr>
      <w:r>
        <w:t>C.4.1 Origem e estratégia de adaptação</w:t>
        <w:tab/>
      </w:r>
      <w:r>
        <w:t>145</w:t>
      </w:r>
    </w:p>
    <w:p>
      <w:pPr>
        <w:pStyle w:val="ndiceAnexo3"/>
        <w:tabs>
          <w:tab w:val="right" w:leader="dot" w:pos="8204"/>
        </w:tabs>
      </w:pPr>
      <w:r>
        <w:t>C.4.2 Entradas e escala da mão</w:t>
        <w:tab/>
      </w:r>
      <w:r>
        <w:t>145</w:t>
      </w:r>
    </w:p>
    <w:p>
      <w:pPr>
        <w:pStyle w:val="ndiceAnexo3"/>
        <w:tabs>
          <w:tab w:val="right" w:leader="dot" w:pos="8204"/>
        </w:tabs>
      </w:pPr>
      <w:r>
        <w:t>C.4.3 Divisão proximal–distal</w:t>
        <w:tab/>
      </w:r>
      <w:r>
        <w:t>145</w:t>
      </w:r>
    </w:p>
    <w:p>
      <w:pPr>
        <w:pStyle w:val="ndiceAnexo3"/>
        <w:tabs>
          <w:tab w:val="right" w:leader="dot" w:pos="8204"/>
        </w:tabs>
      </w:pPr>
      <w:r>
        <w:t>C.4.4 Braçadeira, folgas e parâmetros fixos</w:t>
        <w:tab/>
      </w:r>
      <w:r>
        <w:t>146</w:t>
      </w:r>
    </w:p>
    <w:p>
      <w:pPr>
        <w:pStyle w:val="ndiceAnexo3"/>
        <w:tabs>
          <w:tab w:val="right" w:leader="dot" w:pos="8204"/>
        </w:tabs>
      </w:pPr>
      <w:r>
        <w:t>C.4.5 Exemplo de propagação</w:t>
        <w:tab/>
      </w:r>
      <w:r>
        <w:t>146</w:t>
      </w:r>
    </w:p>
    <w:p>
      <w:pPr>
        <w:pStyle w:val="ndiceAnexo3"/>
        <w:tabs>
          <w:tab w:val="right" w:leader="dot" w:pos="8204"/>
        </w:tabs>
      </w:pPr>
      <w:r>
        <w:t>C.4.6 Limitações específicas</w:t>
        <w:tab/>
      </w:r>
      <w:r>
        <w:t>146</w:t>
      </w:r>
    </w:p>
    <w:p>
      <w:pPr>
        <w:pStyle w:val="ndiceAnexo2"/>
        <w:tabs>
          <w:tab w:val="right" w:leader="dot" w:pos="8204"/>
        </w:tabs>
      </w:pPr>
      <w:r>
        <w:t>C.5 Paraglider Hand</w:t>
        <w:tab/>
      </w:r>
      <w:r>
        <w:t>146</w:t>
      </w:r>
    </w:p>
    <w:p>
      <w:pPr>
        <w:pStyle w:val="ndiceAnexo3"/>
        <w:tabs>
          <w:tab w:val="right" w:leader="dot" w:pos="8204"/>
        </w:tabs>
      </w:pPr>
      <w:r>
        <w:t>C.5.1 Origem e estratégia de adaptação</w:t>
        <w:tab/>
      </w:r>
      <w:r>
        <w:t>146</w:t>
      </w:r>
    </w:p>
    <w:p>
      <w:pPr>
        <w:pStyle w:val="ndiceAnexo3"/>
        <w:tabs>
          <w:tab w:val="right" w:leader="dot" w:pos="8204"/>
        </w:tabs>
      </w:pPr>
      <w:r>
        <w:t>C.5.2 Relações implementadas</w:t>
        <w:tab/>
      </w:r>
      <w:r>
        <w:t>146</w:t>
      </w:r>
    </w:p>
    <w:p>
      <w:pPr>
        <w:pStyle w:val="ndiceAnexo3"/>
        <w:tabs>
          <w:tab w:val="right" w:leader="dot" w:pos="8204"/>
        </w:tabs>
      </w:pPr>
      <w:r>
        <w:t>C.5.3 Hardware e limites confirmáveis</w:t>
        <w:tab/>
      </w:r>
      <w:r>
        <w:t>147</w:t>
      </w:r>
    </w:p>
    <w:p>
      <w:pPr>
        <w:pStyle w:val="ndiceAnexo3"/>
        <w:tabs>
          <w:tab w:val="right" w:leader="dot" w:pos="8204"/>
        </w:tabs>
      </w:pPr>
      <w:r>
        <w:t>C.5.4 Exemplo de propagação</w:t>
        <w:tab/>
      </w:r>
      <w:r>
        <w:t>148</w:t>
      </w:r>
    </w:p>
    <w:p>
      <w:pPr>
        <w:pStyle w:val="ndiceAnexo3"/>
        <w:tabs>
          <w:tab w:val="right" w:leader="dot" w:pos="8204"/>
        </w:tabs>
      </w:pPr>
      <w:r>
        <w:t>C.5.5 Limitações específicas</w:t>
        <w:tab/>
      </w:r>
      <w:r>
        <w:t>148</w:t>
      </w:r>
    </w:p>
    <w:p>
      <w:pPr>
        <w:pStyle w:val="ndiceAnexo2"/>
        <w:tabs>
          <w:tab w:val="right" w:leader="dot" w:pos="8204"/>
        </w:tabs>
      </w:pPr>
      <w:r>
        <w:t>C.6 UnLimbited Phoenix Hand</w:t>
        <w:tab/>
      </w:r>
      <w:r>
        <w:t>148</w:t>
      </w:r>
    </w:p>
    <w:p>
      <w:pPr>
        <w:pStyle w:val="ndiceAnexo3"/>
        <w:tabs>
          <w:tab w:val="right" w:leader="dot" w:pos="8204"/>
        </w:tabs>
      </w:pPr>
      <w:r>
        <w:t>C.6.1 Origem e estratégia de adaptação</w:t>
        <w:tab/>
      </w:r>
      <w:r>
        <w:t>148</w:t>
      </w:r>
    </w:p>
    <w:p>
      <w:pPr>
        <w:pStyle w:val="ndiceAnexo3"/>
        <w:tabs>
          <w:tab w:val="right" w:leader="dot" w:pos="8204"/>
        </w:tabs>
      </w:pPr>
      <w:r>
        <w:t>C.6.2 Escala global e piso dimensional</w:t>
        <w:tab/>
      </w:r>
      <w:r>
        <w:t>148</w:t>
      </w:r>
    </w:p>
    <w:p>
      <w:pPr>
        <w:pStyle w:val="ndiceAnexo3"/>
        <w:tabs>
          <w:tab w:val="right" w:leader="dot" w:pos="8204"/>
        </w:tabs>
      </w:pPr>
      <w:r>
        <w:t>C.6.3 Comprimentos digitais e preservação dos furos</w:t>
        <w:tab/>
      </w:r>
      <w:r>
        <w:t>149</w:t>
      </w:r>
    </w:p>
    <w:p>
      <w:pPr>
        <w:pStyle w:val="ndiceAnexo3"/>
        <w:tabs>
          <w:tab w:val="right" w:leader="dot" w:pos="8204"/>
        </w:tabs>
      </w:pPr>
      <w:r>
        <w:t>C.6.4 Dependência entre comprimento digital e escala global</w:t>
        <w:tab/>
      </w:r>
      <w:r>
        <w:t>149</w:t>
      </w:r>
    </w:p>
    <w:p>
      <w:pPr>
        <w:pStyle w:val="ndiceAnexo3"/>
        <w:tabs>
          <w:tab w:val="right" w:leader="dot" w:pos="8204"/>
        </w:tabs>
      </w:pPr>
      <w:r>
        <w:t>C.6.5 Exemplo de propagação</w:t>
        <w:tab/>
      </w:r>
      <w:r>
        <w:t>149</w:t>
      </w:r>
    </w:p>
    <w:p>
      <w:pPr>
        <w:pStyle w:val="ndiceAnexo3"/>
        <w:tabs>
          <w:tab w:val="right" w:leader="dot" w:pos="8204"/>
        </w:tabs>
      </w:pPr>
      <w:r>
        <w:t>C.6.6 Componentes fixos e tolerâncias confirmáveis</w:t>
        <w:tab/>
      </w:r>
      <w:r>
        <w:t>150</w:t>
      </w:r>
    </w:p>
    <w:p>
      <w:pPr>
        <w:pStyle w:val="ndiceAnexo3"/>
        <w:tabs>
          <w:tab w:val="right" w:leader="dot" w:pos="8204"/>
        </w:tabs>
      </w:pPr>
      <w:r>
        <w:t>C.6.7 Limitações específicas</w:t>
        <w:tab/>
      </w:r>
      <w:r>
        <w:t>150</w:t>
      </w:r>
    </w:p>
    <w:p>
      <w:pPr>
        <w:pStyle w:val="ndiceAnexo2"/>
        <w:tabs>
          <w:tab w:val="right" w:leader="dot" w:pos="8204"/>
        </w:tabs>
      </w:pPr>
      <w:r>
        <w:t>C.7 Síntese comparativa das estratégias</w:t>
        <w:tab/>
      </w:r>
      <w:r>
        <w:t>150</w:t>
      </w:r>
    </w:p>
    <w:p>
      <w:pPr>
        <w:pStyle w:val="ndiceAnexo2"/>
        <w:tabs>
          <w:tab w:val="right" w:leader="dot" w:pos="8204"/>
        </w:tabs>
      </w:pPr>
      <w:r>
        <w:t>C.8 Critérios de aceitação, limitação e rejeição</w:t>
        <w:tab/>
      </w:r>
      <w:r>
        <w:t>151</w:t>
      </w:r>
    </w:p>
    <w:p>
      <w:pPr>
        <w:pStyle w:val="ndiceAnexo2"/>
        <w:tabs>
          <w:tab w:val="right" w:leader="dot" w:pos="8204"/>
        </w:tabs>
      </w:pPr>
      <w:r>
        <w:t>C.9 Relação com o suplemento da versão 14.67.0</w:t>
        <w:tab/>
      </w:r>
      <w:r>
        <w:t>151</w:t>
      </w:r>
    </w:p>
    <w:p>
      <w:pPr>
        <w:pStyle w:val="ndiceAnexo2"/>
        <w:tabs>
          <w:tab w:val="right" w:leader="dot" w:pos="8204"/>
        </w:tabs>
      </w:pPr>
      <w:r>
        <w:t>C.10 Limite de interpretação</w:t>
        <w:tab/>
      </w:r>
      <w:r>
        <w:t>151</w:t>
      </w:r>
    </w:p>
    <w:p>
      <w:pPr>
        <w:pStyle w:val="ndiceAnexo2"/>
        <w:tabs>
          <w:tab w:val="right" w:leader="dot" w:pos="8204"/>
        </w:tabs>
      </w:pPr>
      <w:r>
        <w:t>C.11 Fontes técnicas consultadas</w:t>
        <w:tab/>
      </w:r>
      <w:r>
        <w:t>152</w:t>
      </w:r>
    </w:p>
    <w:p>
      <w:pPr>
        <w:pStyle w:val="ndiceAnexo2"/>
        <w:tabs>
          <w:tab w:val="right" w:leader="dot" w:pos="8204"/>
        </w:tabs>
      </w:pPr>
      <w:r>
        <w:t>C.12 Verificações executadas</w:t>
        <w:tab/>
      </w:r>
      <w:r>
        <w:t>152</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r>
        <w:rPr>
          <w:rFonts w:ascii="Consolas" w:hAnsi="Consolas"/>
          <w:sz w:val="20"/>
        </w:rPr>
        <w:t/>
      </w:r>
      <w:r>
        <w:t/>
      </w:r>
    </w:p>
    <w:p>
      <w:pPr>
        <w:pStyle w:val="TextoNormal-IPCA"/>
      </w:pPr>
      <w:r>
        <w:t xml:space="preserve">O modelo de desenvolvimento pec Phoenix hand não integra este anexo. Embora tenha sido desenvolvido no âmbito do projecto, não pertence ao conjunto de quatro modelos registados que sustenta a comparação principal da dissertação.</w:t>
      </w:r>
      <w:r>
        <w:rPr>
          <w:rFonts w:ascii="Consolas" w:hAnsi="Consolas"/>
          <w:sz w:val="20"/>
        </w:rPr>
        <w:t/>
      </w:r>
      <w:r>
        <w:t xml:space="preserve"/>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r>
        <w:rPr>
          <w:rFonts w:ascii="Consolas" w:hAnsi="Consolas"/>
          <w:sz w:val="20"/>
        </w:rPr>
        <w:t/>
      </w:r>
      <w:r>
        <w:t xml:space="preserve"/>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r>
        <w:rPr>
          <w:rFonts w:ascii="Consolas" w:hAnsi="Consolas"/>
          <w:sz w:val="20"/>
        </w:rPr>
        <w:t/>
      </w:r>
      <w:r>
        <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r>
        <w:rPr>
          <w:rFonts w:ascii="Consolas" w:hAnsi="Consolas"/>
          <w:sz w:val="20"/>
        </w:rPr>
        <w:t/>
      </w:r>
      <w:r>
        <w:t xml:space="preserve"/>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Fontes técnicas consultadas</w:t>
      </w:r>
    </w:p>
    <w:p>
      <w:pPr>
        <w:pStyle w:val="TextoNormal-IPCA"/>
      </w:pPr>
      <w:r>
        <w:t>- relatório técnico de adaptação antropométrica da plataforma;</w:t>
      </w:r>
    </w:p>
    <w:p>
      <w:pPr>
        <w:pStyle w:val="TextoNormal-IPCA"/>
      </w:pPr>
      <w:r>
        <w:t>- catálogo versionado de configuração dos modelos;</w:t>
      </w:r>
    </w:p>
    <w:p>
      <w:pPr>
        <w:pStyle w:val="TextoNormal-IPCA"/>
      </w:pPr>
      <w:r>
        <w:t>- serviços de correspondência e importação de perfis antropométricos;</w:t>
      </w:r>
    </w:p>
    <w:p>
      <w:pPr>
        <w:pStyle w:val="TextoNormal-IPCA"/>
      </w:pPr>
      <w:r>
        <w:t>- implementações OpenSCAD activas das famílias Flexy Beast, Cyborg Beast,</w:t>
      </w:r>
    </w:p>
    <w:p>
      <w:pPr>
        <w:pStyle w:val="TextoNormal-IPCA"/>
      </w:pPr>
      <w:r>
        <w:t>Paraglider Hand e UnLimbited Phoenix, incluindo as dependências de montagem;</w:t>
      </w:r>
    </w:p>
    <w:p>
      <w:pPr>
        <w:pStyle w:val="TextoNormal-IPCA"/>
      </w:pPr>
      <w:r>
        <w:t>- dicionário integral de parâmetros e percurso numérico do perfil de ensaio,</w:t>
      </w:r>
    </w:p>
    <w:p>
      <w:pPr>
        <w:pStyle w:val="TextoNormal-IPCA"/>
      </w:pPr>
      <w:r>
        <w:t>conservados no material suplementar do Anexo C;</w:t>
      </w:r>
    </w:p>
    <w:p>
      <w:pPr>
        <w:pStyle w:val="TextoNormal-IPCA"/>
      </w:pPr>
      <w:r>
        <w:t>- Capítulo 4 do manuscrito consolidado;</w:t>
      </w:r>
    </w:p>
    <w:p>
      <w:pPr>
        <w:pStyle w:val="TextoNormal-IPCA"/>
      </w:pPr>
      <w:r>
        <w:t>- relatório integral de revisão académica.</w:t>
      </w:r>
    </w:p>
    <w:p>
      <w:pPr>
        <w:pStyle w:val="Cabealho2"/>
        <w:numPr>
          <w:ilvl w:val="1"/>
          <w:numId w:val="0"/>
        </w:numPr>
      </w:pPr>
      <w:r>
        <w:t>C.12 Verificações executadas</w:t>
      </w:r>
    </w:p>
    <w:p>
      <w:pPr>
        <w:pStyle w:val="TextoNormal-IPCA"/>
      </w:pPr>
      <w:r>
        <w:t xml:space="preserve">- comparação dos quatro modelos registados com os parâmetros de catálogo versionado dos modelos;</w:t>
      </w:r>
      <w:r>
        <w:rPr>
          <w:rFonts w:ascii="Consolas" w:hAnsi="Consolas"/>
          <w:sz w:val="20"/>
        </w:rPr>
        <w:t/>
      </w:r>
      <w:r>
        <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154</w:t>
      </w:r>
    </w:p>
    <w:p>
      <w:pPr>
        <w:pStyle w:val="ndiceAnexo2"/>
        <w:tabs>
          <w:tab w:val="right" w:leader="dot" w:pos="8204"/>
        </w:tabs>
      </w:pPr>
      <w:r>
        <w:t>D.2 Distinção entre estimativa e medição real</w:t>
        <w:tab/>
      </w:r>
      <w:r>
        <w:t>154</w:t>
      </w:r>
    </w:p>
    <w:p>
      <w:pPr>
        <w:pStyle w:val="ndiceAnexo2"/>
        <w:tabs>
          <w:tab w:val="right" w:leader="dot" w:pos="8204"/>
        </w:tabs>
      </w:pPr>
      <w:r>
        <w:t>D.3 Variáveis, controlos e materiais</w:t>
        <w:tab/>
      </w:r>
      <w:r>
        <w:t>155</w:t>
      </w:r>
    </w:p>
    <w:p>
      <w:pPr>
        <w:pStyle w:val="ndiceAnexo3"/>
        <w:tabs>
          <w:tab w:val="right" w:leader="dot" w:pos="8204"/>
        </w:tabs>
      </w:pPr>
      <w:r>
        <w:t>D.3.1 Série A — projectos de preparação digital para impressão 3D com configuração analisada</w:t>
        <w:tab/>
      </w:r>
      <w:r>
        <w:t>155</w:t>
      </w:r>
    </w:p>
    <w:p>
      <w:pPr>
        <w:pStyle w:val="ndiceAnexo3"/>
        <w:tabs>
          <w:tab w:val="right" w:leader="dot" w:pos="8204"/>
        </w:tabs>
      </w:pPr>
      <w:r>
        <w:t>D.3.2 Série B — comparação digital controlada</w:t>
        <w:tab/>
      </w:r>
      <w:r>
        <w:t>155</w:t>
      </w:r>
    </w:p>
    <w:p>
      <w:pPr>
        <w:pStyle w:val="ndiceAnexo2"/>
        <w:tabs>
          <w:tab w:val="right" w:leader="dot" w:pos="8204"/>
        </w:tabs>
      </w:pPr>
      <w:r>
        <w:t>D.4 Resultados</w:t>
        <w:tab/>
      </w:r>
      <w:r>
        <w:t>156</w:t>
      </w:r>
    </w:p>
    <w:p>
      <w:pPr>
        <w:pStyle w:val="ndiceAnexo3"/>
        <w:tabs>
          <w:tab w:val="right" w:leader="dot" w:pos="8204"/>
        </w:tabs>
      </w:pPr>
      <w:r>
        <w:t>D.4.1 Série A</w:t>
        <w:tab/>
      </w:r>
      <w:r>
        <w:t>156</w:t>
      </w:r>
    </w:p>
    <w:p>
      <w:pPr>
        <w:pStyle w:val="ndiceAnexo3"/>
        <w:tabs>
          <w:tab w:val="right" w:leader="dot" w:pos="8204"/>
        </w:tabs>
      </w:pPr>
      <w:r>
        <w:t>D.4.2 Série B (condição comum)</w:t>
        <w:tab/>
      </w:r>
      <w:r>
        <w:t>157</w:t>
      </w:r>
    </w:p>
    <w:p>
      <w:pPr>
        <w:pStyle w:val="ndiceAnexo3"/>
        <w:tabs>
          <w:tab w:val="right" w:leader="dot" w:pos="8204"/>
        </w:tabs>
      </w:pPr>
      <w:r>
        <w:t>D.4.3 Geometria — tamanho do conjunto vs tamanho da peça</w:t>
        <w:tab/>
      </w:r>
      <w:r>
        <w:t>161</w:t>
      </w:r>
    </w:p>
    <w:p>
      <w:pPr>
        <w:pStyle w:val="ndiceAnexo3"/>
        <w:tabs>
          <w:tab w:val="right" w:leader="dot" w:pos="8204"/>
        </w:tabs>
      </w:pPr>
      <w:r>
        <w:t>D.4.4 Comparação entre entrada, malha e peça física</w:t>
        <w:tab/>
      </w:r>
      <w:r>
        <w:t>161</w:t>
      </w:r>
    </w:p>
    <w:p>
      <w:pPr>
        <w:pStyle w:val="ndiceAnexo3"/>
        <w:tabs>
          <w:tab w:val="right" w:leader="dot" w:pos="8204"/>
        </w:tabs>
      </w:pPr>
      <w:r>
        <w:t>D.4.5 Registo fotográfico dos protótipos</w:t>
        <w:tab/>
      </w:r>
      <w:r>
        <w:t>163</w:t>
      </w:r>
    </w:p>
    <w:p>
      <w:pPr>
        <w:pStyle w:val="ndiceAnexo2"/>
        <w:tabs>
          <w:tab w:val="right" w:leader="dot" w:pos="8204"/>
        </w:tabs>
      </w:pPr>
      <w:r>
        <w:t>D.5 Compatibilidade com orientações de dimensionamento</w:t>
        <w:tab/>
      </w:r>
      <w:r>
        <w:t>164</w:t>
      </w:r>
    </w:p>
    <w:p>
      <w:pPr>
        <w:pStyle w:val="ndiceAnexo2"/>
        <w:tabs>
          <w:tab w:val="right" w:leader="dot" w:pos="8204"/>
        </w:tabs>
      </w:pPr>
      <w:r>
        <w:t>D.6 Limites de comparabilidade</w:t>
        <w:tab/>
      </w:r>
      <w:r>
        <w:t>164</w:t>
      </w:r>
    </w:p>
    <w:p>
      <w:pPr>
        <w:pStyle w:val="ndiceAnexo2"/>
        <w:tabs>
          <w:tab w:val="right" w:leader="dot" w:pos="8204"/>
        </w:tabs>
      </w:pPr>
      <w:r>
        <w:t>D.7 Campos que não puderam ser obtidos</w:t>
        <w:tab/>
      </w:r>
      <w:r>
        <w:t>165</w:t>
      </w:r>
    </w:p>
    <w:p>
      <w:pPr>
        <w:pStyle w:val="ndiceAnexo2"/>
        <w:tabs>
          <w:tab w:val="right" w:leader="dot" w:pos="8204"/>
        </w:tabs>
      </w:pPr>
      <w:r>
        <w:t>D.8 O que pode e não pode ser afirmado na dissertação</w:t>
        <w:tab/>
      </w:r>
      <w:r>
        <w:t>165</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estimativas produzidas por programas de preparação para impressão 3D (Bambu Studio e PrusaSlicer). São o resultado do planeamento de trajectórias que o programa faz antes de existir qualquer objecto físico.</w:t>
      </w:r>
      <w:r>
        <w:rPr>
          <w:b/>
        </w:rPr>
        <w:t/>
      </w:r>
      <w:r>
        <w:t xml:space="preserve"/>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As estimativas dependem da versão e do perfil. Trocar de versão do programa,</w:t>
      </w:r>
      <w:r>
        <w:rPr>
          <w:b/>
        </w:rPr>
        <w:t/>
      </w:r>
      <w:r>
        <w:t xml:space="preserve"/>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A documentação técnica associada ao anexo reúne as versões, as condições de preparação e os resultados completos no material suplementar da dissertação.</w:t>
      </w:r>
      <w:r>
        <w:rPr>
          <w:i/>
        </w:rPr>
        <w:t/>
      </w:r>
      <w:r>
        <w:t xml:space="preserve"/>
      </w:r>
      <w:r>
        <w:rPr>
          <w:rFonts w:ascii="Consolas" w:hAnsi="Consolas"/>
          <w:sz w:val="20"/>
        </w:rPr>
        <w:t/>
      </w:r>
      <w:r>
        <w:t/>
      </w:r>
    </w:p>
    <w:p>
      <w:pPr>
        <w:pStyle w:val="TextoNormal-IPCA"/>
      </w:pPr>
      <w:r>
        <w:rPr>
          <w:b/>
        </w:rPr>
        <w:t>Programas: Bambu Studio 01.10.02.76; PrusaSlicer 2.8.1. Análise geométrica em Python 3.12 / NumPy 2.4 (sem preparação para impressão).</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D.3.1 Série A — projectos de preparação digital para impressão 3D com configuração analisada</w:t>
      </w:r>
    </w:p>
    <w:p>
      <w:pPr>
        <w:pStyle w:val="TextoNormal-IPCA"/>
      </w:pPr>
      <w:r>
        <w:t xml:space="preserve">Quatro projectos de preparação digital para impressão 3D foram </w:t>
      </w:r>
      <w:r>
        <w:rPr>
          <w:b/>
        </w:rPr>
        <w:t>processados com a configuração própria de cada caso</w:t>
      </w:r>
      <w: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Programa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de ensaio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processados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Cabealho2"/>
        <w:numPr>
          <w:ilvl w:val="1"/>
          <w:numId w:val="0"/>
        </w:numPr>
      </w:pPr>
      <w:r>
        <w:t>D.4 Resultados</w:t>
      </w:r>
    </w:p>
    <w:p>
      <w:pPr>
        <w:pStyle w:val="TextoNormal-IPCA"/>
      </w:pPr>
      <w:r>
        <w:t xml:space="preserve">Os resultados quantitativos completos e os registos geométricos encontram-se no material suplementar associado a este anexo.</w:t>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D.4.1 Série A</w:t>
      </w:r>
    </w:p>
    <w:p>
      <w:pPr>
        <w:pStyle w:val="Legenda"/>
      </w:pPr>
      <w:r>
        <w:t>Tabela D.1 — Estimativas dos projectos de preparação digital para impressão 3D com configuração analisada</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pStyle w:val="TextoNormal-IPCA"/>
            </w:pPr>
            <w:r>
              <w:rPr>
                <w:sz w:val="16"/>
                <w:szCs w:val="16"/>
                <w:b/>
              </w:rPr>
              <w:t>Modelo</w:t>
            </w:r>
          </w:p>
        </w:tc>
        <w:tc>
          <w:tcPr>
            <w:tcW w:w="750" w:type="dxa"/>
          </w:tcPr>
          <w:p>
            <w:pPr>
              <w:pStyle w:val="TextoNormal-IPCA"/>
            </w:pPr>
            <w:r>
              <w:rPr>
                <w:sz w:val="16"/>
                <w:szCs w:val="16"/>
                <w:b/>
              </w:rPr>
              <w:t>Perfil</w:t>
            </w:r>
          </w:p>
        </w:tc>
        <w:tc>
          <w:tcPr>
            <w:tcW w:w="750" w:type="dxa"/>
          </w:tcPr>
          <w:p>
            <w:pPr>
              <w:pStyle w:val="TextoNormal-IPCA"/>
            </w:pPr>
            <w:r>
              <w:rPr>
                <w:sz w:val="16"/>
                <w:szCs w:val="16"/>
                <w:b/>
              </w:rPr>
              <w:t>Material</w:t>
            </w:r>
          </w:p>
        </w:tc>
        <w:tc>
          <w:tcPr>
            <w:tcW w:w="750" w:type="dxa"/>
          </w:tcPr>
          <w:p>
            <w:pPr>
              <w:pStyle w:val="TextoNormal-IPCA"/>
            </w:pPr>
            <w:r>
              <w:rPr>
                <w:sz w:val="16"/>
                <w:szCs w:val="16"/>
                <w:b/>
              </w:rPr>
              <w:t>Impressora</w:t>
            </w:r>
          </w:p>
        </w:tc>
        <w:tc>
          <w:tcPr>
            <w:tcW w:w="750" w:type="dxa"/>
          </w:tcPr>
          <w:p>
            <w:pPr>
              <w:pStyle w:val="TextoNormal-IPCA"/>
            </w:pPr>
            <w:r>
              <w:rPr>
                <w:sz w:val="16"/>
                <w:szCs w:val="16"/>
                <w:b/>
              </w:rPr>
              <w:t>Camada</w:t>
            </w:r>
          </w:p>
        </w:tc>
        <w:tc>
          <w:tcPr>
            <w:tcW w:w="750" w:type="dxa"/>
          </w:tcPr>
          <w:p>
            <w:pPr>
              <w:pStyle w:val="TextoNormal-IPCA"/>
            </w:pPr>
            <w:r>
              <w:rPr>
                <w:sz w:val="16"/>
                <w:szCs w:val="16"/>
                <w:b/>
              </w:rPr>
              <w:t>Enchimento</w:t>
            </w:r>
          </w:p>
        </w:tc>
        <w:tc>
          <w:tcPr>
            <w:tcW w:w="750" w:type="dxa"/>
          </w:tcPr>
          <w:p>
            <w:pPr>
              <w:pStyle w:val="TextoNormal-IPCA"/>
            </w:pPr>
            <w:r>
              <w:rPr>
                <w:sz w:val="16"/>
                <w:szCs w:val="16"/>
                <w:b/>
              </w:rPr>
              <w:t>Suportes</w:t>
            </w:r>
          </w:p>
        </w:tc>
        <w:tc>
          <w:tcPr>
            <w:tcW w:w="750" w:type="dxa"/>
          </w:tcPr>
          <w:p>
            <w:pPr>
              <w:pStyle w:val="TextoNormal-IPCA"/>
            </w:pPr>
            <w:r>
              <w:rPr>
                <w:sz w:val="16"/>
                <w:szCs w:val="16"/>
                <w:b/>
              </w:rPr>
              <w:t>Tempo estimado</w:t>
            </w:r>
          </w:p>
        </w:tc>
        <w:tc>
          <w:tcPr>
            <w:tcW w:w="750" w:type="dxa"/>
          </w:tcPr>
          <w:p>
            <w:pPr>
              <w:pStyle w:val="TextoNormal-IPCA"/>
            </w:pPr>
            <w:r>
              <w:rPr>
                <w:sz w:val="16"/>
                <w:szCs w:val="16"/>
                <w:b/>
              </w:rPr>
              <w:t>Filamento estimado</w:t>
            </w:r>
          </w:p>
        </w:tc>
        <w:tc>
          <w:tcPr>
            <w:tcW w:w="750" w:type="dxa"/>
          </w:tcPr>
          <w:p>
            <w:pPr>
              <w:pStyle w:val="TextoNormal-IPCA"/>
            </w:pPr>
            <w:r>
              <w:rPr>
                <w:sz w:val="16"/>
                <w:szCs w:val="16"/>
                <w:b/>
              </w:rPr>
              <w:t>Massa estimada</w:t>
            </w:r>
          </w:p>
        </w:tc>
        <w:tc>
          <w:tcPr>
            <w:tcW w:w="750" w:type="dxa"/>
          </w:tcPr>
          <w:p>
            <w:pPr>
              <w:pStyle w:val="TextoNormal-IPCA"/>
            </w:pPr>
            <w:r>
              <w:rPr>
                <w:sz w:val="16"/>
                <w:szCs w:val="16"/>
                <w:b/>
              </w:rPr>
              <w:t>Custo (36,29 €/kg)</w:t>
            </w:r>
          </w:p>
        </w:tc>
        <w:tc>
          <w:tcPr>
            <w:tcW w:w="750" w:type="dxa"/>
          </w:tcPr>
          <w:p>
            <w:pPr>
              <w:pStyle w:val="TextoNormal-IPCA"/>
            </w:pPr>
            <w:r>
              <w:rPr>
                <w:sz w:val="16"/>
                <w:szCs w:val="16"/>
                <w:b/>
              </w:rPr>
              <w:t>Placas A1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39 min 34 s</w:t>
            </w:r>
          </w:p>
        </w:tc>
        <w:tc>
          <w:tcPr>
            <w:tcW w:w="750" w:type="dxa"/>
          </w:tcPr>
          <w:p>
            <w:pPr>
              <w:pStyle w:val="TextoNormal-IPCA"/>
            </w:pPr>
            <w:r>
              <w:rPr>
                <w:sz w:val="16"/>
                <w:szCs w:val="16"/>
              </w:rPr>
              <w:t>27 387,6 mm</w:t>
            </w:r>
          </w:p>
        </w:tc>
        <w:tc>
          <w:tcPr>
            <w:tcW w:w="750" w:type="dxa"/>
          </w:tcPr>
          <w:p>
            <w:pPr>
              <w:pStyle w:val="TextoNormal-IPCA"/>
            </w:pPr>
            <w:r>
              <w:rPr>
                <w:sz w:val="16"/>
                <w:szCs w:val="16"/>
              </w:rPr>
              <w:t>83,00 g</w:t>
            </w:r>
          </w:p>
        </w:tc>
        <w:tc>
          <w:tcPr>
            <w:tcW w:w="750" w:type="dxa"/>
          </w:tcPr>
          <w:p>
            <w:pPr>
              <w:pStyle w:val="TextoNormal-IPCA"/>
            </w:pPr>
            <w:r>
              <w:rPr>
                <w:sz w:val="16"/>
                <w:szCs w:val="16"/>
              </w:rPr>
              <w:t>3,01 €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9 h 51 min 52 s</w:t>
            </w:r>
          </w:p>
        </w:tc>
        <w:tc>
          <w:tcPr>
            <w:tcW w:w="750" w:type="dxa"/>
          </w:tcPr>
          <w:p>
            <w:pPr>
              <w:pStyle w:val="TextoNormal-IPCA"/>
            </w:pPr>
            <w:r>
              <w:rPr>
                <w:sz w:val="16"/>
                <w:szCs w:val="16"/>
              </w:rPr>
              <w:t>43 180,9 mm</w:t>
            </w:r>
          </w:p>
        </w:tc>
        <w:tc>
          <w:tcPr>
            <w:tcW w:w="750" w:type="dxa"/>
          </w:tcPr>
          <w:p>
            <w:pPr>
              <w:pStyle w:val="TextoNormal-IPCA"/>
            </w:pPr>
            <w:r>
              <w:rPr>
                <w:sz w:val="16"/>
                <w:szCs w:val="16"/>
              </w:rPr>
              <w:t>130,87 g</w:t>
            </w:r>
          </w:p>
        </w:tc>
        <w:tc>
          <w:tcPr>
            <w:tcW w:w="750" w:type="dxa"/>
          </w:tcPr>
          <w:p>
            <w:pPr>
              <w:pStyle w:val="TextoNormal-IPCA"/>
            </w:pPr>
            <w:r>
              <w:rPr>
                <w:sz w:val="16"/>
                <w:szCs w:val="16"/>
              </w:rPr>
              <w:t>4,75 €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12 h 34 min 14 s</w:t>
            </w:r>
          </w:p>
        </w:tc>
        <w:tc>
          <w:tcPr>
            <w:tcW w:w="750" w:type="dxa"/>
          </w:tcPr>
          <w:p>
            <w:pPr>
              <w:pStyle w:val="TextoNormal-IPCA"/>
            </w:pPr>
            <w:r>
              <w:rPr>
                <w:sz w:val="16"/>
                <w:szCs w:val="16"/>
              </w:rPr>
              <w:t>55 811,9 mm</w:t>
            </w:r>
          </w:p>
        </w:tc>
        <w:tc>
          <w:tcPr>
            <w:tcW w:w="750" w:type="dxa"/>
          </w:tcPr>
          <w:p>
            <w:pPr>
              <w:pStyle w:val="TextoNormal-IPCA"/>
            </w:pPr>
            <w:r>
              <w:rPr>
                <w:sz w:val="16"/>
                <w:szCs w:val="16"/>
              </w:rPr>
              <w:t>169,15 g</w:t>
            </w:r>
          </w:p>
        </w:tc>
        <w:tc>
          <w:tcPr>
            <w:tcW w:w="750" w:type="dxa"/>
          </w:tcPr>
          <w:p>
            <w:pPr>
              <w:pStyle w:val="TextoNormal-IPCA"/>
            </w:pPr>
            <w:r>
              <w:rPr>
                <w:sz w:val="16"/>
                <w:szCs w:val="16"/>
              </w:rPr>
              <w:t>6,14 €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10 h 52 min 57 s</w:t>
            </w:r>
          </w:p>
        </w:tc>
        <w:tc>
          <w:tcPr>
            <w:tcW w:w="750" w:type="dxa"/>
          </w:tcPr>
          <w:p>
            <w:pPr>
              <w:pStyle w:val="TextoNormal-IPCA"/>
            </w:pPr>
            <w:r>
              <w:rPr>
                <w:sz w:val="16"/>
                <w:szCs w:val="16"/>
              </w:rPr>
              <w:t>47 602,0 mm</w:t>
            </w:r>
          </w:p>
        </w:tc>
        <w:tc>
          <w:tcPr>
            <w:tcW w:w="750" w:type="dxa"/>
          </w:tcPr>
          <w:p>
            <w:pPr>
              <w:pStyle w:val="TextoNormal-IPCA"/>
            </w:pPr>
            <w:r>
              <w:rPr>
                <w:sz w:val="16"/>
                <w:szCs w:val="16"/>
              </w:rPr>
              <w:t>144,27 g</w:t>
            </w:r>
          </w:p>
        </w:tc>
        <w:tc>
          <w:tcPr>
            <w:tcW w:w="750" w:type="dxa"/>
          </w:tcPr>
          <w:p>
            <w:pPr>
              <w:pStyle w:val="TextoNormal-IPCA"/>
            </w:pPr>
            <w:r>
              <w:rPr>
                <w:sz w:val="16"/>
                <w:szCs w:val="16"/>
              </w:rPr>
              <w:t>5,24 €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4 h 22 min 47 s</w:t>
            </w:r>
          </w:p>
        </w:tc>
        <w:tc>
          <w:tcPr>
            <w:tcW w:w="750" w:type="dxa"/>
          </w:tcPr>
          <w:p>
            <w:pPr>
              <w:pStyle w:val="TextoNormal-IPCA"/>
            </w:pPr>
            <w:r>
              <w:rPr>
                <w:sz w:val="16"/>
                <w:szCs w:val="16"/>
              </w:rPr>
              <w:t>16 522,2 mm</w:t>
            </w:r>
          </w:p>
        </w:tc>
        <w:tc>
          <w:tcPr>
            <w:tcW w:w="750" w:type="dxa"/>
          </w:tcPr>
          <w:p>
            <w:pPr>
              <w:pStyle w:val="TextoNormal-IPCA"/>
            </w:pPr>
            <w:r>
              <w:rPr>
                <w:sz w:val="16"/>
                <w:szCs w:val="16"/>
              </w:rPr>
              <w:t>50,07 g</w:t>
            </w:r>
          </w:p>
        </w:tc>
        <w:tc>
          <w:tcPr>
            <w:tcW w:w="750" w:type="dxa"/>
          </w:tcPr>
          <w:p>
            <w:pPr>
              <w:pStyle w:val="TextoNormal-IPCA"/>
            </w:pPr>
            <w:r>
              <w:rPr>
                <w:sz w:val="16"/>
                <w:szCs w:val="16"/>
              </w:rPr>
              <w:t>1,82 €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45 min 18 s</w:t>
            </w:r>
          </w:p>
        </w:tc>
        <w:tc>
          <w:tcPr>
            <w:tcW w:w="750" w:type="dxa"/>
          </w:tcPr>
          <w:p>
            <w:pPr>
              <w:pStyle w:val="TextoNormal-IPCA"/>
            </w:pPr>
            <w:r>
              <w:rPr>
                <w:sz w:val="16"/>
                <w:szCs w:val="16"/>
              </w:rPr>
              <w:t>27 695,5 mm</w:t>
            </w:r>
          </w:p>
        </w:tc>
        <w:tc>
          <w:tcPr>
            <w:tcW w:w="750" w:type="dxa"/>
          </w:tcPr>
          <w:p>
            <w:pPr>
              <w:pStyle w:val="TextoNormal-IPCA"/>
            </w:pPr>
            <w:r>
              <w:rPr>
                <w:sz w:val="16"/>
                <w:szCs w:val="16"/>
              </w:rPr>
              <w:t>83,94 g</w:t>
            </w:r>
          </w:p>
        </w:tc>
        <w:tc>
          <w:tcPr>
            <w:tcW w:w="750" w:type="dxa"/>
          </w:tcPr>
          <w:p>
            <w:pPr>
              <w:pStyle w:val="TextoNormal-IPCA"/>
            </w:pPr>
            <w:r>
              <w:rPr>
                <w:sz w:val="16"/>
                <w:szCs w:val="16"/>
              </w:rPr>
              <w:t>3,05 €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55 min 41 s</w:t>
            </w:r>
          </w:p>
        </w:tc>
        <w:tc>
          <w:tcPr>
            <w:tcW w:w="750" w:type="dxa"/>
          </w:tcPr>
          <w:p>
            <w:pPr>
              <w:pStyle w:val="TextoNormal-IPCA"/>
            </w:pPr>
            <w:r>
              <w:rPr>
                <w:sz w:val="16"/>
                <w:szCs w:val="16"/>
              </w:rPr>
              <w:t>38 449,4 mm</w:t>
            </w:r>
          </w:p>
        </w:tc>
        <w:tc>
          <w:tcPr>
            <w:tcW w:w="750" w:type="dxa"/>
          </w:tcPr>
          <w:p>
            <w:pPr>
              <w:pStyle w:val="TextoNormal-IPCA"/>
            </w:pPr>
            <w:r>
              <w:rPr>
                <w:sz w:val="16"/>
                <w:szCs w:val="16"/>
              </w:rPr>
              <w:t>116,53 g</w:t>
            </w:r>
          </w:p>
        </w:tc>
        <w:tc>
          <w:tcPr>
            <w:tcW w:w="750" w:type="dxa"/>
          </w:tcPr>
          <w:p>
            <w:pPr>
              <w:pStyle w:val="TextoNormal-IPCA"/>
            </w:pPr>
            <w:r>
              <w:rPr>
                <w:sz w:val="16"/>
                <w:szCs w:val="16"/>
              </w:rPr>
              <w:t>4,23 €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09 min 05 s</w:t>
            </w:r>
          </w:p>
        </w:tc>
        <w:tc>
          <w:tcPr>
            <w:tcW w:w="750" w:type="dxa"/>
          </w:tcPr>
          <w:p>
            <w:pPr>
              <w:pStyle w:val="TextoNormal-IPCA"/>
            </w:pPr>
            <w:r>
              <w:rPr>
                <w:sz w:val="16"/>
                <w:szCs w:val="16"/>
              </w:rPr>
              <w:t>29 627,5 mm</w:t>
            </w:r>
          </w:p>
        </w:tc>
        <w:tc>
          <w:tcPr>
            <w:tcW w:w="750" w:type="dxa"/>
          </w:tcPr>
          <w:p>
            <w:pPr>
              <w:pStyle w:val="TextoNormal-IPCA"/>
            </w:pPr>
            <w:r>
              <w:rPr>
                <w:sz w:val="16"/>
                <w:szCs w:val="16"/>
              </w:rPr>
              <w:t>89,79 g</w:t>
            </w:r>
          </w:p>
        </w:tc>
        <w:tc>
          <w:tcPr>
            <w:tcW w:w="750" w:type="dxa"/>
          </w:tcPr>
          <w:p>
            <w:pPr>
              <w:pStyle w:val="TextoNormal-IPCA"/>
            </w:pPr>
            <w:r>
              <w:rPr>
                <w:sz w:val="16"/>
                <w:szCs w:val="16"/>
              </w:rPr>
              <w:t>3,26 €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29 min 44 s</w:t>
            </w:r>
          </w:p>
        </w:tc>
        <w:tc>
          <w:tcPr>
            <w:tcW w:w="750" w:type="dxa"/>
          </w:tcPr>
          <w:p>
            <w:pPr>
              <w:pStyle w:val="TextoNormal-IPCA"/>
            </w:pPr>
            <w:r>
              <w:rPr>
                <w:sz w:val="16"/>
                <w:szCs w:val="16"/>
              </w:rPr>
              <w:t>30 673,7 mm</w:t>
            </w:r>
          </w:p>
        </w:tc>
        <w:tc>
          <w:tcPr>
            <w:tcW w:w="750" w:type="dxa"/>
          </w:tcPr>
          <w:p>
            <w:pPr>
              <w:pStyle w:val="TextoNormal-IPCA"/>
            </w:pPr>
            <w:r>
              <w:rPr>
                <w:sz w:val="16"/>
                <w:szCs w:val="16"/>
              </w:rPr>
              <w:t>92,96 g</w:t>
            </w:r>
          </w:p>
        </w:tc>
        <w:tc>
          <w:tcPr>
            <w:tcW w:w="750" w:type="dxa"/>
          </w:tcPr>
          <w:p>
            <w:pPr>
              <w:pStyle w:val="TextoNormal-IPCA"/>
            </w:pPr>
            <w:r>
              <w:rPr>
                <w:sz w:val="16"/>
                <w:szCs w:val="16"/>
              </w:rPr>
              <w:t>3,37 €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30 min 45 s</w:t>
            </w:r>
          </w:p>
        </w:tc>
        <w:tc>
          <w:tcPr>
            <w:tcW w:w="750" w:type="dxa"/>
          </w:tcPr>
          <w:p>
            <w:pPr>
              <w:pStyle w:val="TextoNormal-IPCA"/>
            </w:pPr>
            <w:r>
              <w:rPr>
                <w:sz w:val="16"/>
                <w:szCs w:val="16"/>
              </w:rPr>
              <w:t>36 335,2 mm</w:t>
            </w:r>
          </w:p>
        </w:tc>
        <w:tc>
          <w:tcPr>
            <w:tcW w:w="750" w:type="dxa"/>
          </w:tcPr>
          <w:p>
            <w:pPr>
              <w:pStyle w:val="TextoNormal-IPCA"/>
            </w:pPr>
            <w:r>
              <w:rPr>
                <w:sz w:val="16"/>
                <w:szCs w:val="16"/>
              </w:rPr>
              <w:t>110,12 g</w:t>
            </w:r>
          </w:p>
        </w:tc>
        <w:tc>
          <w:tcPr>
            <w:tcW w:w="750" w:type="dxa"/>
          </w:tcPr>
          <w:p>
            <w:pPr>
              <w:pStyle w:val="TextoNormal-IPCA"/>
            </w:pPr>
            <w:r>
              <w:rPr>
                <w:sz w:val="16"/>
                <w:szCs w:val="16"/>
              </w:rPr>
              <w:t>4,00 €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56 min 20 s</w:t>
            </w:r>
          </w:p>
        </w:tc>
        <w:tc>
          <w:tcPr>
            <w:tcW w:w="750" w:type="dxa"/>
          </w:tcPr>
          <w:p>
            <w:pPr>
              <w:pStyle w:val="TextoNormal-IPCA"/>
            </w:pPr>
            <w:r>
              <w:rPr>
                <w:sz w:val="16"/>
                <w:szCs w:val="16"/>
              </w:rPr>
              <w:t>38 179,8 mm</w:t>
            </w:r>
          </w:p>
        </w:tc>
        <w:tc>
          <w:tcPr>
            <w:tcW w:w="750" w:type="dxa"/>
          </w:tcPr>
          <w:p>
            <w:pPr>
              <w:pStyle w:val="TextoNormal-IPCA"/>
            </w:pPr>
            <w:r>
              <w:rPr>
                <w:sz w:val="16"/>
                <w:szCs w:val="16"/>
              </w:rPr>
              <w:t>115,71 g</w:t>
            </w:r>
          </w:p>
        </w:tc>
        <w:tc>
          <w:tcPr>
            <w:tcW w:w="750" w:type="dxa"/>
          </w:tcPr>
          <w:p>
            <w:pPr>
              <w:pStyle w:val="TextoNormal-IPCA"/>
            </w:pPr>
            <w:r>
              <w:rPr>
                <w:sz w:val="16"/>
                <w:szCs w:val="16"/>
              </w:rPr>
              <w:t>4,20 €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49 min 09 s</w:t>
            </w:r>
          </w:p>
        </w:tc>
        <w:tc>
          <w:tcPr>
            <w:tcW w:w="750" w:type="dxa"/>
          </w:tcPr>
          <w:p>
            <w:pPr>
              <w:pStyle w:val="TextoNormal-IPCA"/>
            </w:pPr>
            <w:r>
              <w:rPr>
                <w:sz w:val="16"/>
                <w:szCs w:val="16"/>
              </w:rPr>
              <w:t>32 412,0 mm</w:t>
            </w:r>
          </w:p>
        </w:tc>
        <w:tc>
          <w:tcPr>
            <w:tcW w:w="750" w:type="dxa"/>
          </w:tcPr>
          <w:p>
            <w:pPr>
              <w:pStyle w:val="TextoNormal-IPCA"/>
            </w:pPr>
            <w:r>
              <w:rPr>
                <w:sz w:val="16"/>
                <w:szCs w:val="16"/>
              </w:rPr>
              <w:t>98,23 g</w:t>
            </w:r>
          </w:p>
        </w:tc>
        <w:tc>
          <w:tcPr>
            <w:tcW w:w="750" w:type="dxa"/>
          </w:tcPr>
          <w:p>
            <w:pPr>
              <w:pStyle w:val="TextoNormal-IPCA"/>
            </w:pPr>
            <w:r>
              <w:rPr>
                <w:sz w:val="16"/>
                <w:szCs w:val="16"/>
              </w:rPr>
              <w:t>3,56 €</w:t>
            </w:r>
          </w:p>
        </w:tc>
        <w:tc>
          <w:tcPr>
            <w:tcW w:w="750" w:type="dxa"/>
          </w:tcPr>
          <w:p>
            <w:pPr>
              <w:pStyle w:val="TextoNormal-IPCA"/>
            </w:pPr>
            <w:r>
              <w:rPr>
                <w:sz w:val="16"/>
                <w:szCs w:val="16"/>
              </w:rPr>
              <w:t>2</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programa gerou trajectórias e estimativas. Contudo, assinalou regiões suspensas nos quatro casos Flexy Beast e no Paraglider </w:t>
      </w:r>
      <w:r>
        <w:rPr>
          <w:rFonts w:ascii="Consolas" w:hAnsi="Consolas"/>
          <w:sz w:val="20"/>
        </w:rPr>
        <w:t>elderly_70</w:t>
      </w:r>
      <w: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três noções de tamanho que não devem ser confundidas; os valores completos constam do registo geométrico suplementar:</w:t>
      </w:r>
      <w:r>
        <w:rPr>
          <w:b/>
        </w:rPr>
        <w:t/>
      </w:r>
      <w:r>
        <w:t xml:space="preserve"/>
      </w:r>
      <w:r>
        <w:rPr>
          <w:rFonts w:ascii="Consolas" w:hAnsi="Consolas"/>
          <w:sz w:val="20"/>
        </w:rPr>
        <w:t/>
      </w:r>
      <w:r>
        <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r>
        <w:rPr>
          <w:b/>
        </w:rPr>
        <w:t/>
      </w:r>
      <w:r>
        <w:t xml:space="preserve"/>
      </w:r>
      <w:r>
        <w:rPr>
          <w:b/>
        </w:rPr>
        <w:t/>
      </w:r>
      <w:r>
        <w:t xml:space="preserve"/>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palm_breadth_mm foi lido no registo de parâmetros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r>
        <w:rPr>
          <w:rFonts w:ascii="Consolas" w:hAnsi="Consolas"/>
          <w:sz w:val="20"/>
        </w:rPr>
        <w:t/>
      </w:r>
      <w:r>
        <w:t xml:space="preserve"/>
      </w:r>
      <w:r>
        <w:rPr>
          <w:rFonts w:ascii="Consolas" w:hAnsi="Consolas"/>
          <w:sz w:val="20"/>
        </w:rPr>
        <w:t/>
      </w:r>
      <w:r>
        <w:t xml:space="preserve"/>
      </w:r>
    </w:p>
    <w:p>
      <w:pPr>
        <w:pStyle w:val="TextoNormal-IPCA"/>
      </w:pPr>
      <w:r>
        <w:t>Como referência de planeamento, foi calculado um cenário teórico para PLA sob a condição virtual comum da Série B. Adoptou-se uma contracção linear uniforme de 0,30%, aplicada independentemente aos três eixos:</w:t>
      </w:r>
    </w:p>
    <w:p>
      <w:pPr>
        <w:pStyle w:val="TextoNormal-IPCA"/>
      </w:pPr>
      <w:r>
        <w:rPr>
          <w:rFonts w:ascii="Liberation Mono" w:hAnsi="Liberation Mono" w:cs="Liberation Mono"/>
          <w:sz w:val="18"/>
        </w:rPr>
        <w:t>estimativa dimensional teórica = medida da malha × (1 − 0,003)</w:t>
        <w:br/>
        <w:t>desvio teórico = estimativa dimensional teórica − medida da malha</w:t>
      </w:r>
    </w:p>
    <w:p>
      <w:pPr>
        <w:pStyle w:val="TextoNormal-IPCA"/>
      </w:pPr>
      <w:r>
        <w:t>A hipótese não modela anisotropia, calibração da máquina, orientação das camadas, humidade, empeno ou variação local. Por isso, os valores calculados não constituem previsões metrológicas das peças fotografadas e não substituem as três leituras do protocolo físico.</w:t>
      </w:r>
    </w:p>
    <w:p>
      <w:pPr>
        <w:pStyle w:val="Legenda"/>
      </w:pPr>
      <w:r>
        <w:t>Tabela D.3 — Cenário de estimativa dimensional teórica da palma no eixo X</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Entrada</w:t>
            </w:r>
          </w:p>
        </w:tc>
        <w:tc>
          <w:tcPr>
            <w:tcW w:w="1285" w:type="dxa"/>
          </w:tcPr>
          <w:p>
            <w:pPr>
              <w:pStyle w:val="TextoNormal-IPCA"/>
            </w:pPr>
            <w:r>
              <w:rPr>
                <w:sz w:val="16"/>
                <w:szCs w:val="16"/>
                <w:b/>
              </w:rPr>
              <w:t>Malha X</w:t>
            </w:r>
          </w:p>
        </w:tc>
        <w:tc>
          <w:tcPr>
            <w:tcW w:w="1285" w:type="dxa"/>
          </w:tcPr>
          <w:p>
            <w:pPr>
              <w:pStyle w:val="TextoNormal-IPCA"/>
            </w:pPr>
            <w:r>
              <w:rPr>
                <w:sz w:val="16"/>
                <w:szCs w:val="16"/>
                <w:b/>
              </w:rPr>
              <w:t>Estimativa</w:t>
            </w:r>
          </w:p>
        </w:tc>
        <w:tc>
          <w:tcPr>
            <w:tcW w:w="1285" w:type="dxa"/>
          </w:tcPr>
          <w:p>
            <w:pPr>
              <w:pStyle w:val="TextoNormal-IPCA"/>
            </w:pPr>
            <w:r>
              <w:rPr>
                <w:sz w:val="16"/>
                <w:szCs w:val="16"/>
                <w:b/>
              </w:rPr>
              <w:t>Desvio teórico</w:t>
            </w:r>
          </w:p>
        </w:tc>
        <w:tc>
          <w:tcPr>
            <w:tcW w:w="1285" w:type="dxa"/>
          </w:tcPr>
          <w:p>
            <w:pPr>
              <w:pStyle w:val="TextoNormal-IPCA"/>
            </w:pPr>
            <w:r>
              <w:rPr>
                <w:sz w:val="16"/>
                <w:szCs w:val="16"/>
                <w:b/>
              </w:rPr>
              <w:t>Medição física X</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97,093 mm</w:t>
            </w:r>
          </w:p>
        </w:tc>
        <w:tc>
          <w:tcPr>
            <w:tcW w:w="1285" w:type="dxa"/>
          </w:tcPr>
          <w:p>
            <w:pPr>
              <w:pStyle w:val="TextoNormal-IPCA"/>
            </w:pPr>
            <w:r>
              <w:rPr>
                <w:sz w:val="16"/>
                <w:szCs w:val="16"/>
              </w:rPr>
              <w:t>−0,292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116,793 mm</w:t>
            </w:r>
          </w:p>
        </w:tc>
        <w:tc>
          <w:tcPr>
            <w:tcW w:w="1285" w:type="dxa"/>
          </w:tcPr>
          <w:p>
            <w:pPr>
              <w:pStyle w:val="TextoNormal-IPCA"/>
            </w:pPr>
            <w:r>
              <w:rPr>
                <w:sz w:val="16"/>
                <w:szCs w:val="16"/>
              </w:rPr>
              <w:t>−0,351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133,679 mm</w:t>
            </w:r>
          </w:p>
        </w:tc>
        <w:tc>
          <w:tcPr>
            <w:tcW w:w="1285" w:type="dxa"/>
          </w:tcPr>
          <w:p>
            <w:pPr>
              <w:pStyle w:val="TextoNormal-IPCA"/>
            </w:pPr>
            <w:r>
              <w:rPr>
                <w:sz w:val="16"/>
                <w:szCs w:val="16"/>
              </w:rPr>
              <w:t>−0,402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125,235 mm</w:t>
            </w:r>
          </w:p>
        </w:tc>
        <w:tc>
          <w:tcPr>
            <w:tcW w:w="1285" w:type="dxa"/>
          </w:tcPr>
          <w:p>
            <w:pPr>
              <w:pStyle w:val="TextoNormal-IPCA"/>
            </w:pPr>
            <w:r>
              <w:rPr>
                <w:sz w:val="16"/>
                <w:szCs w:val="16"/>
              </w:rPr>
              <w:t>−0,377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76,283 mm</w:t>
            </w:r>
          </w:p>
        </w:tc>
        <w:tc>
          <w:tcPr>
            <w:tcW w:w="1285" w:type="dxa"/>
          </w:tcPr>
          <w:p>
            <w:pPr>
              <w:pStyle w:val="TextoNormal-IPCA"/>
            </w:pPr>
            <w:r>
              <w:rPr>
                <w:sz w:val="16"/>
                <w:szCs w:val="16"/>
              </w:rPr>
              <w:t>−0,230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94,446 mm</w:t>
            </w:r>
          </w:p>
        </w:tc>
        <w:tc>
          <w:tcPr>
            <w:tcW w:w="1285" w:type="dxa"/>
          </w:tcPr>
          <w:p>
            <w:pPr>
              <w:pStyle w:val="TextoNormal-IPCA"/>
            </w:pPr>
            <w:r>
              <w:rPr>
                <w:sz w:val="16"/>
                <w:szCs w:val="16"/>
              </w:rPr>
              <w:t>−0,284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108,976 mm</w:t>
            </w:r>
          </w:p>
        </w:tc>
        <w:tc>
          <w:tcPr>
            <w:tcW w:w="1285" w:type="dxa"/>
          </w:tcPr>
          <w:p>
            <w:pPr>
              <w:pStyle w:val="TextoNormal-IPCA"/>
            </w:pPr>
            <w:r>
              <w:rPr>
                <w:sz w:val="16"/>
                <w:szCs w:val="16"/>
              </w:rPr>
              <w:t>−0,328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101,711 mm</w:t>
            </w:r>
          </w:p>
        </w:tc>
        <w:tc>
          <w:tcPr>
            <w:tcW w:w="1285" w:type="dxa"/>
          </w:tcPr>
          <w:p>
            <w:pPr>
              <w:pStyle w:val="TextoNormal-IPCA"/>
            </w:pPr>
            <w:r>
              <w:rPr>
                <w:sz w:val="16"/>
                <w:szCs w:val="16"/>
              </w:rPr>
              <w:t>−0,306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81,919 mm</w:t>
            </w:r>
          </w:p>
        </w:tc>
        <w:tc>
          <w:tcPr>
            <w:tcW w:w="1285" w:type="dxa"/>
          </w:tcPr>
          <w:p>
            <w:pPr>
              <w:pStyle w:val="TextoNormal-IPCA"/>
            </w:pPr>
            <w:r>
              <w:rPr>
                <w:sz w:val="16"/>
                <w:szCs w:val="16"/>
              </w:rPr>
              <w:t>−0,246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87,912 mm</w:t>
            </w:r>
          </w:p>
        </w:tc>
        <w:tc>
          <w:tcPr>
            <w:tcW w:w="1285" w:type="dxa"/>
          </w:tcPr>
          <w:p>
            <w:pPr>
              <w:pStyle w:val="TextoNormal-IPCA"/>
            </w:pPr>
            <w:r>
              <w:rPr>
                <w:sz w:val="16"/>
                <w:szCs w:val="16"/>
              </w:rPr>
              <w:t>−0,265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89,910 mm</w:t>
            </w:r>
          </w:p>
        </w:tc>
        <w:tc>
          <w:tcPr>
            <w:tcW w:w="1285" w:type="dxa"/>
          </w:tcPr>
          <w:p>
            <w:pPr>
              <w:pStyle w:val="TextoNormal-IPCA"/>
            </w:pPr>
            <w:r>
              <w:rPr>
                <w:sz w:val="16"/>
                <w:szCs w:val="16"/>
              </w:rPr>
              <w:t>−0,271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83,916 mm</w:t>
            </w:r>
          </w:p>
        </w:tc>
        <w:tc>
          <w:tcPr>
            <w:tcW w:w="1285" w:type="dxa"/>
          </w:tcPr>
          <w:p>
            <w:pPr>
              <w:pStyle w:val="TextoNormal-IPCA"/>
            </w:pPr>
            <w:r>
              <w:rPr>
                <w:sz w:val="16"/>
                <w:szCs w:val="16"/>
              </w:rPr>
              <w:t>−0,253 mm</w:t>
            </w:r>
          </w:p>
        </w:tc>
        <w:tc>
          <w:tcPr>
            <w:tcW w:w="1285" w:type="dxa"/>
          </w:tcPr>
          <w:p>
            <w:pPr>
              <w:pStyle w:val="TextoNormal-IPCA"/>
            </w:pPr>
            <w:r>
              <w:rPr>
                <w:sz w:val="16"/>
                <w:szCs w:val="16"/>
              </w:rPr>
              <w:t>—</w:t>
            </w:r>
          </w:p>
        </w:tc>
      </w:tr>
    </w:tbl>
    <w:p>
      <w:pPr>
        <w:pStyle w:val="TextoNormal-IPCA"/>
      </w:pPr>
      <w:r>
        <w:t xml:space="preserve">A Tabela D.3 resume a extensão total no eixo X, por ser o único eixo associado a um parâmetro activo nos três modelos. A medição física e o respectivo desvio observado permanecem por preencher. A folha suplementar de comparação dimensional conserva as 36 linhas de medição física ainda por executar. Uma segunda folha suplementar apresenta, em separado, as 36 estimativas teóricas para as extensões X, Y e Z das doze combinações modelo–perfil. Nos casos Paraglider, os valores palm_length_mm e palm_thickness_mm são conservados como contexto do perfil, mas não controlam isoladamente as extensões Y e Z; no Flexy Beast e no Phoenix não existe, nestas configurações, um parâmetro de entrada correspondente a esses dois eixos. Esta diferença encontra-se identificada no registo suplementar.</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r>
        <w:rPr>
          <w:rFonts w:ascii="Consolas" w:hAnsi="Consolas"/>
          <w:sz w:val="20"/>
        </w:rPr>
        <w:t/>
      </w:r>
      <w:r>
        <w:t xml:space="preserve"/>
      </w:r>
      <w:r>
        <w:rPr>
          <w:rFonts w:ascii="Consolas" w:hAnsi="Consolas"/>
          <w:sz w:val="20"/>
        </w:rPr>
        <w:t/>
      </w:r>
      <w:r>
        <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A Série A não permite comparação directa: mistura programas (Bambu Studio/PrusaSlicer),</w:t>
      </w:r>
      <w:r>
        <w:rPr>
          <w:b/>
        </w:rPr>
        <w:t/>
      </w:r>
      <w:r>
        <w:t xml:space="preserve"/>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programas de preparação e permitiram gerar trajectórias</w:t>
      </w:r>
    </w:p>
    <w:p>
      <w:pPr>
        <w:pStyle w:val="TextoNormal-IPCA"/>
      </w:pPr>
      <w:r>
        <w:t>e estimativas em 4/4 projectos com configuração analisada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 sob condições declaradas e variou com o modelo e com as dimensões dos perfis de ensaio.</w:t>
      </w:r>
      <w:r>
        <w:t xml:space="preserve"/>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Série A são comparáveis entre si (programas/configurações</w:t>
      </w:r>
      <w:r>
        <w:rPr>
          <w:b/>
        </w:rPr>
        <w:t/>
      </w:r>
      <w:r>
        <w:t xml:space="preserve"/>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processamento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 Id="rId58" Type="http://schemas.openxmlformats.org/officeDocument/2006/relationships/image" Target="media/restored_figura_1_1.jpeg"/><Relationship Id="rId59" Type="http://schemas.openxmlformats.org/officeDocument/2006/relationships/image" Target="media/restored_figura_2_2.jpeg"/><Relationship Id="rId60" Type="http://schemas.openxmlformats.org/officeDocument/2006/relationships/image" Target="media/restored_figura_2_3.png"/><Relationship Id="rId61" Type="http://schemas.openxmlformats.org/officeDocument/2006/relationships/image" Target="media/restored_figura_2_8.png"/><Relationship Id="rId62" Type="http://schemas.openxmlformats.org/officeDocument/2006/relationships/image" Target="media/restored_figura_3_1.png"/><Relationship Id="rId63" Type="http://schemas.openxmlformats.org/officeDocument/2006/relationships/image" Target="media/restored_figura_4_1.png"/><Relationship Id="rId64" Type="http://schemas.openxmlformats.org/officeDocument/2006/relationships/image" Target="media/restored_figura_5_5.png"/><Relationship Id="rId65" Type="http://schemas.openxmlformats.org/officeDocument/2006/relationships/image" Target="media/restored_figura_5_2.png"/><Relationship Id="rId66" Type="http://schemas.openxmlformats.org/officeDocument/2006/relationships/image" Target="media/restored_figura_5_7.png"/><Relationship Id="rId67" Type="http://schemas.openxmlformats.org/officeDocument/2006/relationships/image" Target="media/restored_figura_5_8a.png"/><Relationship Id="rId68" Type="http://schemas.openxmlformats.org/officeDocument/2006/relationships/image" Target="media/restored_figura_5_8b.png"/><Relationship Id="rId69" Type="http://schemas.openxmlformats.org/officeDocument/2006/relationships/image" Target="media/restored_figura_5_8c.png"/><Relationship Id="rId70" Type="http://schemas.openxmlformats.org/officeDocument/2006/relationships/image" Target="media/restored_figura_5_8d.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