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2.3 — Correspondência entre lacunas do estado da arte, resposta da investigação e limites de avaliação</w:t>
        <w:tab/>
      </w:r>
      <w:r>
        <w:t>34</w:t>
      </w:r>
    </w:p>
    <w:p>
      <w:pPr>
        <w:pStyle w:val="ndice1"/>
        <w:tabs>
          <w:tab w:val="right" w:leader="dot" w:pos="8204"/>
        </w:tabs>
      </w:pPr>
      <w:r>
        <w:t>Tabela 3.1 — Ciclos de Research Through Design documentados no desenvolvimento</w:t>
        <w:tab/>
      </w:r>
      <w:r>
        <w:t>37</w:t>
      </w:r>
    </w:p>
    <w:p>
      <w:pPr>
        <w:pStyle w:val="ndice1"/>
        <w:tabs>
          <w:tab w:val="right" w:leader="dot" w:pos="8204"/>
        </w:tabs>
      </w:pPr>
      <w:r>
        <w:t>Tabela 3.2 — Correspondência entre perguntas, actividades, evidência e limites</w:t>
        <w:tab/>
      </w:r>
      <w:r>
        <w:t>39</w:t>
      </w:r>
    </w:p>
    <w:p>
      <w:pPr>
        <w:pStyle w:val="ndice1"/>
        <w:tabs>
          <w:tab w:val="right" w:leader="dot" w:pos="8204"/>
        </w:tabs>
      </w:pPr>
      <w:r>
        <w:t>Tabela 3.3 — Métodos, unidades de análise, critérios e localização dos resultados</w:t>
        <w:tab/>
      </w:r>
      <w:r>
        <w:t>40</w:t>
      </w:r>
    </w:p>
    <w:p>
      <w:pPr>
        <w:pStyle w:val="ndice1"/>
        <w:tabs>
          <w:tab w:val="right" w:leader="dot" w:pos="8204"/>
        </w:tabs>
      </w:pPr>
      <w:r>
        <w:t>Tabela 4.1 — Principais parâmetros antropométricos da mão e do membro superior relevantes para modelação paramétrica</w:t>
        <w:tab/>
      </w:r>
      <w:r>
        <w:t>47</w:t>
      </w:r>
    </w:p>
    <w:p>
      <w:pPr>
        <w:pStyle w:val="ndice1"/>
        <w:tabs>
          <w:tab w:val="right" w:leader="dot" w:pos="8204"/>
        </w:tabs>
      </w:pPr>
      <w:r>
        <w:t>Tabela 4.2 — Conjuntos mínimos de parâmetros por nível de amputação</w:t>
        <w:tab/>
      </w:r>
      <w:r>
        <w:t>47</w:t>
      </w:r>
    </w:p>
    <w:p>
      <w:pPr>
        <w:pStyle w:val="ndice1"/>
        <w:tabs>
          <w:tab w:val="right" w:leader="dot" w:pos="8204"/>
        </w:tabs>
      </w:pPr>
      <w:r>
        <w:t>Tabela 4.3 — Métodos de recolha de dados antropométricos e suas características</w:t>
        <w:tab/>
      </w:r>
      <w:r>
        <w:t>49</w:t>
      </w:r>
    </w:p>
    <w:p>
      <w:pPr>
        <w:pStyle w:val="ndice1"/>
        <w:tabs>
          <w:tab w:val="right" w:leader="dot" w:pos="8204"/>
        </w:tabs>
      </w:pPr>
      <w:r>
        <w:t>Tabela 4.4 — Funções e limites da base antropométrica na configuração</w:t>
        <w:tab/>
      </w:r>
      <w:r>
        <w:t>50</w:t>
      </w:r>
    </w:p>
    <w:p>
      <w:pPr>
        <w:pStyle w:val="ndice1"/>
        <w:tabs>
          <w:tab w:val="right" w:leader="dot" w:pos="8204"/>
        </w:tabs>
      </w:pPr>
      <w:r>
        <w:t>Tabela 4.5 — Estrutura hierárquica dos parâmetros no modelo paramétrico</w:t>
        <w:tab/>
      </w:r>
      <w:r>
        <w:t>51</w:t>
      </w:r>
    </w:p>
    <w:p>
      <w:pPr>
        <w:pStyle w:val="ndice1"/>
        <w:tabs>
          <w:tab w:val="right" w:leader="dot" w:pos="8204"/>
        </w:tabs>
      </w:pPr>
      <w:r>
        <w:t>Tabela 4.6 — Mapeamento entre parâmetros antropométricos e elementos do modelo</w:t>
        <w:tab/>
      </w:r>
      <w:r>
        <w:t>53</w:t>
      </w:r>
    </w:p>
    <w:p>
      <w:pPr>
        <w:pStyle w:val="ndice1"/>
        <w:tabs>
          <w:tab w:val="right" w:leader="dot" w:pos="8204"/>
        </w:tabs>
      </w:pPr>
      <w:r>
        <w:t>Tabela 4.7 — Estrutura técnica em camadas de um modelo paramétrico em OpenSCAD para próteses personalizadas</w:t>
        <w:tab/>
      </w:r>
      <w:r>
        <w:t>55</w:t>
      </w:r>
    </w:p>
    <w:p>
      <w:pPr>
        <w:pStyle w:val="ndice1"/>
        <w:tabs>
          <w:tab w:val="right" w:leader="dot" w:pos="8204"/>
        </w:tabs>
      </w:pPr>
      <w:r>
        <w:t>Tabela 4.8 — Síntese das relações implementadas e respectivas limitações</w:t>
        <w:tab/>
      </w:r>
      <w:r>
        <w:t>57</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4.11 — Cronologia das principais iterações paramétricas</w:t>
        <w:tab/>
      </w:r>
      <w:r>
        <w:t>60</w:t>
      </w:r>
    </w:p>
    <w:p>
      <w:pPr>
        <w:pStyle w:val="ndice1"/>
        <w:tabs>
          <w:tab w:val="right" w:leader="dot" w:pos="8204"/>
        </w:tabs>
      </w:pPr>
      <w:r>
        <w:t>Tabela 5.1 — Fluxo de dados e responsabilidades da plataforma</w:t>
        <w:tab/>
      </w:r>
      <w:r>
        <w:t>64</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78</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87</w:t>
      </w:r>
    </w:p>
    <w:p>
      <w:pPr>
        <w:pStyle w:val="ndice1"/>
        <w:tabs>
          <w:tab w:val="right" w:leader="dot" w:pos="8204"/>
        </w:tabs>
      </w:pPr>
      <w:r>
        <w:t>Tabela 8.2 — Projectos de preparação digital para impressão 3D com configuração analisada</w:t>
        <w:tab/>
      </w:r>
      <w:r>
        <w:t>89</w:t>
      </w:r>
    </w:p>
    <w:p>
      <w:pPr>
        <w:pStyle w:val="ndice1"/>
        <w:tabs>
          <w:tab w:val="right" w:leader="dot" w:pos="8204"/>
        </w:tabs>
      </w:pPr>
      <w:r>
        <w:t>Tabela 8.3 — Inspecção computacional de malhas na configuração infantil</w:t>
        <w:tab/>
      </w:r>
      <w:r>
        <w:t>91</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95</w:t>
      </w:r>
    </w:p>
    <w:p>
      <w:pPr>
        <w:pStyle w:val="ndice1"/>
        <w:tabs>
          <w:tab w:val="right" w:leader="dot" w:pos="8204"/>
        </w:tabs>
      </w:pPr>
      <w:r>
        <w:t>Tabela 8.6 — Modelos e mecanismos de escala avaliados</w:t>
        <w:tab/>
      </w:r>
      <w:r>
        <w:t>96</w:t>
      </w:r>
    </w:p>
    <w:p>
      <w:pPr>
        <w:pStyle w:val="ndice1"/>
        <w:tabs>
          <w:tab w:val="right" w:leader="dot" w:pos="8204"/>
        </w:tabs>
      </w:pPr>
      <w:r>
        <w:t>Tabela 8.7 — Rácio adimensional da maior dimensão da palma exportada face ao valor de referência</w:t>
        <w:tab/>
      </w:r>
      <w:r>
        <w:t>97</w:t>
      </w:r>
    </w:p>
    <w:p>
      <w:pPr>
        <w:pStyle w:val="ndice1"/>
        <w:tabs>
          <w:tab w:val="right" w:leader="dot" w:pos="8204"/>
        </w:tabs>
      </w:pPr>
      <w:r>
        <w:t>Tabela 8.8 — Discussão dos resultados face às lacunas seleccionadas do estado da arte</w:t>
        <w:tab/>
      </w:r>
      <w:r>
        <w:t>99</w:t>
      </w:r>
    </w:p>
    <w:p>
      <w:pPr>
        <w:pStyle w:val="ndice1"/>
        <w:tabs>
          <w:tab w:val="right" w:leader="dot" w:pos="8204"/>
        </w:tabs>
      </w:pPr>
      <w:r>
        <w:t>Tabela 9.1 — Estado da resposta às perguntas de investigação aprovadas</w:t>
        <w:tab/>
      </w:r>
      <w:r>
        <w:t>101</w:t>
      </w:r>
    </w:p>
    <w:p>
      <w:pPr>
        <w:pStyle w:val="ndice1"/>
        <w:tabs>
          <w:tab w:val="right" w:leader="dot" w:pos="8204"/>
        </w:tabs>
      </w:pPr>
      <w:r>
        <w:t>Tabela B.1 — Resultados da repetição da mesma configuração por modelo</w:t>
        <w:tab/>
      </w:r>
      <w:r>
        <w:t>134</w:t>
      </w:r>
    </w:p>
    <w:p>
      <w:pPr>
        <w:pStyle w:val="ndice1"/>
        <w:tabs>
          <w:tab w:val="right" w:leader="dot" w:pos="8204"/>
        </w:tabs>
      </w:pPr>
      <w:r>
        <w:t>Tabela B.2 — Resultados do percurso examinado em três navegadores</w:t>
        <w:tab/>
      </w:r>
      <w:r>
        <w:t>134</w:t>
      </w:r>
    </w:p>
    <w:p>
      <w:pPr>
        <w:pStyle w:val="ndice1"/>
        <w:tabs>
          <w:tab w:val="right" w:leader="dot" w:pos="8204"/>
        </w:tabs>
      </w:pPr>
      <w:r>
        <w:t>Tabela B.3 — Comportamento observado perante limites, entradas inválidas e falhas previstas</w:t>
        <w:tab/>
      </w:r>
      <w:r>
        <w:t>135</w:t>
      </w:r>
    </w:p>
    <w:p>
      <w:pPr>
        <w:pStyle w:val="ndice1"/>
        <w:tabs>
          <w:tab w:val="right" w:leader="dot" w:pos="8204"/>
        </w:tabs>
      </w:pPr>
      <w:r>
        <w:t>Tabela B.4 — Categorias de problemas de acessibilidade digital detectadas automaticamente</w:t>
        <w:tab/>
      </w:r>
      <w:r>
        <w:t>135</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140</w:t>
      </w:r>
    </w:p>
    <w:p>
      <w:pPr>
        <w:pStyle w:val="ndice1"/>
        <w:tabs>
          <w:tab w:val="right" w:leader="dot" w:pos="8204"/>
        </w:tabs>
      </w:pPr>
      <w:r>
        <w:t>Tabela C.2 — Parâmetros numéricos do Flexy Beast com efeito dimensional</w:t>
        <w:tab/>
      </w:r>
      <w:r>
        <w:t>142</w:t>
      </w:r>
    </w:p>
    <w:p>
      <w:pPr>
        <w:pStyle w:val="ndice1"/>
        <w:tabs>
          <w:tab w:val="right" w:leader="dot" w:pos="8204"/>
        </w:tabs>
      </w:pPr>
      <w:r>
        <w:t>Tabela C.3 — Relações dimensionais do Paraglider Hand</w:t>
        <w:tab/>
      </w:r>
      <w:r>
        <w:t>145</w:t>
      </w:r>
    </w:p>
    <w:p>
      <w:pPr>
        <w:pStyle w:val="ndice1"/>
        <w:tabs>
          <w:tab w:val="right" w:leader="dot" w:pos="8204"/>
        </w:tabs>
      </w:pPr>
      <w:r>
        <w:t>Tabela C.4 — Comparação das adaptações e excepções de escala</w:t>
        <w:tab/>
      </w:r>
      <w:r>
        <w:t>149</w:t>
      </w:r>
    </w:p>
    <w:p>
      <w:pPr>
        <w:pStyle w:val="ndice1"/>
        <w:tabs>
          <w:tab w:val="right" w:leader="dot" w:pos="8204"/>
        </w:tabs>
      </w:pPr>
      <w:r>
        <w:t>Tabela D.1 — Estimativas dos projectos de preparação digital para impressão 3D com configuração analisada</w:t>
        <w:tab/>
      </w:r>
      <w:r>
        <w:t>155</w:t>
      </w:r>
    </w:p>
    <w:p>
      <w:pPr>
        <w:pStyle w:val="ndice1"/>
        <w:tabs>
          <w:tab w:val="right" w:leader="dot" w:pos="8204"/>
        </w:tabs>
      </w:pPr>
      <w:r>
        <w:t>Tabela D.2 — Estimativas de preparação para impressão na condição digital comum</w:t>
        <w:tab/>
      </w:r>
      <w:r>
        <w:t>156</w:t>
      </w:r>
    </w:p>
    <w:p>
      <w:pPr>
        <w:pStyle w:val="ndice1"/>
        <w:tabs>
          <w:tab w:val="right" w:leader="dot" w:pos="8204"/>
        </w:tabs>
      </w:pPr>
      <w:r>
        <w:t>Tabela D.3 — Cenário de estimativa dimensional teórica da palma no eixo X</w:t>
        <w:tab/>
      </w:r>
      <w:r>
        <w:t>161</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38</w:t>
      </w:r>
    </w:p>
    <w:p>
      <w:pPr>
        <w:pStyle w:val="ndice1"/>
        <w:tabs>
          <w:tab w:val="right" w:leader="dot" w:pos="8204"/>
        </w:tabs>
      </w:pPr>
      <w:r>
        <w:t>Figura 3.2 — Exemplo de recolha dimensional para ajuste de prótese impressa em 3D.</w:t>
        <w:tab/>
      </w:r>
      <w:r>
        <w:t>43</w:t>
      </w:r>
    </w:p>
    <w:p>
      <w:pPr>
        <w:pStyle w:val="ndice1"/>
        <w:tabs>
          <w:tab w:val="right" w:leader="dot" w:pos="8204"/>
        </w:tabs>
      </w:pPr>
      <w:r>
        <w:t>Figura 4.1 — Parâmetros antropométricos utilizados na modelação paramétrica de dedos protésicos.</w:t>
        <w:tab/>
      </w:r>
      <w:r>
        <w:t>46</w:t>
      </w:r>
    </w:p>
    <w:p>
      <w:pPr>
        <w:pStyle w:val="ndice1"/>
        <w:tabs>
          <w:tab w:val="right" w:leader="dot" w:pos="8204"/>
        </w:tabs>
      </w:pPr>
      <w:r>
        <w:t>Figura 4.2 — Comparação entre o escalonamento uniforme e a modelação paramétrica de dedo protésico.</w:t>
        <w:tab/>
      </w:r>
      <w:r>
        <w:t>49</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66</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71</w:t>
      </w:r>
    </w:p>
    <w:p>
      <w:pPr>
        <w:pStyle w:val="ndice1"/>
        <w:tabs>
          <w:tab w:val="right" w:leader="dot" w:pos="8204"/>
        </w:tabs>
      </w:pPr>
      <w:r>
        <w:t>Figura 6.1 — Relação entre desafios de explicabilidade e princípios de IA responsável.</w:t>
        <w:tab/>
      </w:r>
      <w:r>
        <w:t>82</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Componentes impressos e estados preliminares de montagem: segmentos digitais articulados, palma e elementos separados.</w:t>
        <w:tab/>
      </w:r>
      <w:r>
        <w:t>92</w:t>
      </w:r>
    </w:p>
    <w:p>
      <w:pPr>
        <w:pStyle w:val="ndice1"/>
        <w:tabs>
          <w:tab w:val="right" w:leader="dot" w:pos="8204"/>
        </w:tabs>
      </w:pPr>
      <w:r>
        <w:t>Figura 8.2 — Séries físicas de segmentos identificados pelos perfis de ensaio de 8, 15, 28 e 70 anos.</w:t>
        <w:tab/>
      </w:r>
      <w:r>
        <w:t>92</w:t>
      </w:r>
    </w:p>
    <w:p>
      <w:pPr>
        <w:pStyle w:val="ndice1"/>
        <w:tabs>
          <w:tab w:val="right" w:leader="dot" w:pos="8204"/>
        </w:tabs>
      </w:pPr>
      <w:r>
        <w:t>Figura 8.3 — UnLimbited Phoenix configurada para o perfil de ensaio de 15 anos, apresentada em sete vistas da montagem física.</w:t>
        <w:tab/>
      </w:r>
      <w:r>
        <w:t>92</w:t>
      </w:r>
    </w:p>
    <w:p>
      <w:pPr>
        <w:pStyle w:val="ndice1"/>
        <w:tabs>
          <w:tab w:val="right" w:leader="dot" w:pos="8204"/>
        </w:tabs>
      </w:pPr>
      <w:r>
        <w:t>Figura 8.4 — Tarefas funcionais usadas em avaliação de prótese personalizada de membro superior.</w:t>
        <w:tab/>
      </w:r>
      <w:r>
        <w:t>93</w:t>
      </w:r>
    </w:p>
    <w:p>
      <w:pPr>
        <w:pStyle w:val="ndice1"/>
        <w:tabs>
          <w:tab w:val="right" w:leader="dot" w:pos="8204"/>
        </w:tabs>
      </w:pPr>
      <w:r>
        <w:t>Figura C.1 — Fluxo entre dados de entrada, mapa comum, regras específicas dos modelos e geometria exportável. Produção própria.</w:t>
        <w:tab/>
      </w:r>
      <w:r>
        <w:t>140</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33</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34</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37</w:t>
      </w:r>
    </w:p>
    <w:p>
      <w:pPr>
        <w:pStyle w:val="ndice2"/>
        <w:tabs>
          <w:tab w:val="right" w:leader="dot" w:pos="8204"/>
        </w:tabs>
      </w:pPr>
      <w:r>
        <w:t>3.1 Enquadramento metodológico e abordagem Research Through Design</w:t>
        <w:tab/>
      </w:r>
      <w:r>
        <w:t>37</w:t>
      </w:r>
    </w:p>
    <w:p>
      <w:pPr>
        <w:pStyle w:val="ndice2"/>
        <w:tabs>
          <w:tab w:val="right" w:leader="dot" w:pos="8204"/>
        </w:tabs>
      </w:pPr>
      <w:r>
        <w:t>3.2 O design industrial como prática investigativa</w:t>
        <w:tab/>
      </w:r>
      <w:r>
        <w:t>38</w:t>
      </w:r>
    </w:p>
    <w:p>
      <w:pPr>
        <w:pStyle w:val="ndice2"/>
        <w:tabs>
          <w:tab w:val="right" w:leader="dot" w:pos="8204"/>
        </w:tabs>
      </w:pPr>
      <w:r>
        <w:t>3.3 Estrutura metodológica do projecto</w:t>
        <w:tab/>
      </w:r>
      <w:r>
        <w:t>39</w:t>
      </w:r>
    </w:p>
    <w:p>
      <w:pPr>
        <w:pStyle w:val="ndice2"/>
        <w:tabs>
          <w:tab w:val="right" w:leader="dot" w:pos="8204"/>
        </w:tabs>
      </w:pPr>
      <w:r>
        <w:t>3.4 Métodos de recolha e análise de dados</w:t>
        <w:tab/>
      </w:r>
      <w:r>
        <w:t>41</w:t>
      </w:r>
    </w:p>
    <w:p>
      <w:pPr>
        <w:pStyle w:val="ndice2"/>
        <w:tabs>
          <w:tab w:val="right" w:leader="dot" w:pos="8204"/>
        </w:tabs>
      </w:pPr>
      <w:r>
        <w:t>3.5 Critérios de avaliação e limitações metodológicas</w:t>
        <w:tab/>
      </w:r>
      <w:r>
        <w:t>43</w:t>
      </w:r>
    </w:p>
    <w:p>
      <w:pPr>
        <w:pStyle w:val="ndice1"/>
        <w:tabs>
          <w:tab w:val="right" w:leader="dot" w:pos="8204"/>
        </w:tabs>
      </w:pPr>
      <w:r>
        <w:t>Capítulo 4 — Desenvolvimento do Modelo Paramétrico</w:t>
        <w:tab/>
      </w:r>
      <w:r>
        <w:t>45</w:t>
      </w:r>
    </w:p>
    <w:p>
      <w:pPr>
        <w:pStyle w:val="ndice2"/>
        <w:tabs>
          <w:tab w:val="right" w:leader="dot" w:pos="8204"/>
        </w:tabs>
      </w:pPr>
      <w:r>
        <w:t>4.1 Definição do problema de design e requisitos</w:t>
        <w:tab/>
      </w:r>
      <w:r>
        <w:t>45</w:t>
      </w:r>
    </w:p>
    <w:p>
      <w:pPr>
        <w:pStyle w:val="ndice2"/>
        <w:tabs>
          <w:tab w:val="right" w:leader="dot" w:pos="8204"/>
        </w:tabs>
      </w:pPr>
      <w:r>
        <w:t>4.2 Parâmetros antropométricos e estrutura do modelo</w:t>
        <w:tab/>
      </w:r>
      <w:r>
        <w:t>46</w:t>
      </w:r>
    </w:p>
    <w:p>
      <w:pPr>
        <w:pStyle w:val="ndice2"/>
        <w:tabs>
          <w:tab w:val="right" w:leader="dot" w:pos="8204"/>
        </w:tabs>
      </w:pPr>
      <w:r>
        <w:t>Conjuntos mínimos de parâmetros por nível de amputação</w:t>
        <w:tab/>
      </w:r>
      <w:r>
        <w:t>47</w:t>
      </w:r>
    </w:p>
    <w:p>
      <w:pPr>
        <w:pStyle w:val="ndice2"/>
        <w:tabs>
          <w:tab w:val="right" w:leader="dot" w:pos="8204"/>
        </w:tabs>
      </w:pPr>
      <w:r>
        <w:t>Limitações do redimensionamento proporcional</w:t>
        <w:tab/>
      </w:r>
      <w:r>
        <w:t>48</w:t>
      </w:r>
    </w:p>
    <w:p>
      <w:pPr>
        <w:pStyle w:val="ndice2"/>
        <w:tabs>
          <w:tab w:val="right" w:leader="dot" w:pos="8204"/>
        </w:tabs>
      </w:pPr>
      <w:r>
        <w:t>Métodos de recolha de dados antropométricos</w:t>
        <w:tab/>
      </w:r>
      <w:r>
        <w:t>49</w:t>
      </w:r>
    </w:p>
    <w:p>
      <w:pPr>
        <w:pStyle w:val="ndice2"/>
        <w:tabs>
          <w:tab w:val="right" w:leader="dot" w:pos="8204"/>
        </w:tabs>
      </w:pPr>
      <w:r>
        <w:t>Bases de dados antropométricas, extracção e normalização</w:t>
        <w:tab/>
      </w:r>
      <w:r>
        <w:t>49</w:t>
      </w:r>
    </w:p>
    <w:p>
      <w:pPr>
        <w:pStyle w:val="ndice2"/>
        <w:tabs>
          <w:tab w:val="right" w:leader="dot" w:pos="8204"/>
        </w:tabs>
      </w:pPr>
      <w:r>
        <w:t>Correspondência entre perfil populacional e parâmetros do modelo</w:t>
        <w:tab/>
      </w:r>
      <w:r>
        <w:t>50</w:t>
      </w:r>
    </w:p>
    <w:p>
      <w:pPr>
        <w:pStyle w:val="ndice2"/>
        <w:tabs>
          <w:tab w:val="right" w:leader="dot" w:pos="8204"/>
        </w:tabs>
      </w:pPr>
      <w:r>
        <w:t>Estrutura paramétrica e mapeamento de parâmetros</w:t>
        <w:tab/>
      </w:r>
      <w:r>
        <w:t>51</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57</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e decisões de projecto</w:t>
        <w:tab/>
      </w:r>
      <w:r>
        <w:t>60</w:t>
      </w:r>
    </w:p>
    <w:p>
      <w:pPr>
        <w:pStyle w:val="ndice1"/>
        <w:tabs>
          <w:tab w:val="right" w:leader="dot" w:pos="8204"/>
        </w:tabs>
      </w:pPr>
      <w:r>
        <w:t>Capítulo 5 — Plataforma Web e Integração Digital</w:t>
        <w:tab/>
      </w:r>
      <w:r>
        <w:t>62</w:t>
      </w:r>
    </w:p>
    <w:p>
      <w:pPr>
        <w:pStyle w:val="ndice2"/>
        <w:tabs>
          <w:tab w:val="right" w:leader="dot" w:pos="8204"/>
        </w:tabs>
      </w:pPr>
      <w:r>
        <w:t>5.1 Enquadramento conceptual e perfis de utilizador</w:t>
        <w:tab/>
      </w:r>
      <w:r>
        <w:t>62</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75</w:t>
      </w:r>
    </w:p>
    <w:p>
      <w:pPr>
        <w:pStyle w:val="ndice1"/>
        <w:tabs>
          <w:tab w:val="right" w:leader="dot" w:pos="8204"/>
        </w:tabs>
      </w:pPr>
      <w:r>
        <w:t>Capítulo 6 — Integração da Inteligência Artificial</w:t>
        <w:tab/>
      </w:r>
      <w:r>
        <w:t>77</w:t>
      </w:r>
    </w:p>
    <w:p>
      <w:pPr>
        <w:pStyle w:val="ndice2"/>
        <w:tabs>
          <w:tab w:val="right" w:leader="dot" w:pos="8204"/>
        </w:tabs>
      </w:pPr>
      <w:r>
        <w:t>6.1 Papel da IA no sistema proposto</w:t>
        <w:tab/>
      </w:r>
      <w:r>
        <w:t>77</w:t>
      </w:r>
    </w:p>
    <w:p>
      <w:pPr>
        <w:pStyle w:val="ndice2"/>
        <w:tabs>
          <w:tab w:val="right" w:leader="dot" w:pos="8204"/>
        </w:tabs>
      </w:pPr>
      <w:r>
        <w:t>6.2 IA na parametrização, personalização e apoio à decisão</w:t>
        <w:tab/>
      </w:r>
      <w:r>
        <w:t>77</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81</w:t>
      </w:r>
    </w:p>
    <w:p>
      <w:pPr>
        <w:pStyle w:val="ndice1"/>
        <w:tabs>
          <w:tab w:val="right" w:leader="dot" w:pos="8204"/>
        </w:tabs>
      </w:pPr>
      <w:r>
        <w:t>Capítulo 7 — Princípios de Interface e Decisões de Interacção</w:t>
        <w:tab/>
      </w:r>
      <w:r>
        <w:t>83</w:t>
      </w:r>
    </w:p>
    <w:p>
      <w:pPr>
        <w:pStyle w:val="ndice2"/>
        <w:tabs>
          <w:tab w:val="right" w:leader="dot" w:pos="8204"/>
        </w:tabs>
      </w:pPr>
      <w:r>
        <w:t>7.1 Estratégia de interacção e decisões de UI/UX</w:t>
        <w:tab/>
      </w:r>
      <w:r>
        <w:t>83</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87</w:t>
      </w:r>
    </w:p>
    <w:p>
      <w:pPr>
        <w:pStyle w:val="ndice2"/>
        <w:tabs>
          <w:tab w:val="right" w:leader="dot" w:pos="8204"/>
        </w:tabs>
      </w:pPr>
      <w:r>
        <w:t>8.1 Estratégia e critérios de avaliação</w:t>
        <w:tab/>
      </w:r>
      <w:r>
        <w:t>87</w:t>
      </w:r>
    </w:p>
    <w:p>
      <w:pPr>
        <w:pStyle w:val="ndice3"/>
        <w:tabs>
          <w:tab w:val="right" w:leader="dot" w:pos="8204"/>
        </w:tabs>
      </w:pPr>
      <w:r>
        <w:t>8.1.1 Verificação técnica da plataforma</w:t>
        <w:tab/>
      </w:r>
      <w:r>
        <w:t>87</w:t>
      </w:r>
    </w:p>
    <w:p>
      <w:pPr>
        <w:pStyle w:val="ndice3"/>
        <w:tabs>
          <w:tab w:val="right" w:leader="dot" w:pos="8204"/>
        </w:tabs>
      </w:pPr>
      <w:r>
        <w:t>8.1.2 Avaliação complementar da previsibilidade, recuperação e acessibilidade</w:t>
        <w:tab/>
      </w:r>
      <w:r>
        <w:t>88</w:t>
      </w:r>
    </w:p>
    <w:p>
      <w:pPr>
        <w:pStyle w:val="ndice3"/>
        <w:tabs>
          <w:tab w:val="right" w:leader="dot" w:pos="8204"/>
        </w:tabs>
      </w:pPr>
      <w:r>
        <w:t>8.1.3 Preparação para impressão e protótipos físicos</w:t>
        <w:tab/>
      </w:r>
      <w:r>
        <w:t>89</w:t>
      </w:r>
    </w:p>
    <w:p>
      <w:pPr>
        <w:pStyle w:val="ndice2"/>
        <w:tabs>
          <w:tab w:val="right" w:leader="dot" w:pos="8204"/>
        </w:tabs>
      </w:pPr>
      <w:r>
        <w:t>8.2 Avaliação da coerência das sugestões de IA</w:t>
        <w:tab/>
      </w:r>
      <w:r>
        <w:t>93</w:t>
      </w:r>
    </w:p>
    <w:p>
      <w:pPr>
        <w:pStyle w:val="ndice2"/>
        <w:tabs>
          <w:tab w:val="right" w:leader="dot" w:pos="8204"/>
        </w:tabs>
      </w:pPr>
      <w:r>
        <w:t>8.3 Verificação geométrica entre modelos</w:t>
        <w:tab/>
      </w:r>
      <w:r>
        <w:t>96</w:t>
      </w:r>
    </w:p>
    <w:p>
      <w:pPr>
        <w:pStyle w:val="ndice2"/>
        <w:tabs>
          <w:tab w:val="right" w:leader="dot" w:pos="8204"/>
        </w:tabs>
      </w:pPr>
      <w:r>
        <w:t>8.4 Discussão dos resultados face aos objectivos</w:t>
        <w:tab/>
      </w:r>
      <w:r>
        <w:t>98</w:t>
      </w:r>
    </w:p>
    <w:p>
      <w:pPr>
        <w:pStyle w:val="ndice1"/>
        <w:tabs>
          <w:tab w:val="right" w:leader="dot" w:pos="8204"/>
        </w:tabs>
      </w:pPr>
      <w:r>
        <w:t>Capítulo 9 — Conclusões e Trabalhos Futuros</w:t>
        <w:tab/>
      </w:r>
      <w:r>
        <w:t>101</w:t>
      </w:r>
    </w:p>
    <w:p>
      <w:pPr>
        <w:pStyle w:val="ndice2"/>
        <w:tabs>
          <w:tab w:val="right" w:leader="dot" w:pos="8204"/>
        </w:tabs>
      </w:pPr>
      <w:r>
        <w:t>9.1 Resposta ao problema e às perguntas de investigação</w:t>
        <w:tab/>
      </w:r>
      <w:r>
        <w:t>101</w:t>
      </w:r>
    </w:p>
    <w:p>
      <w:pPr>
        <w:pStyle w:val="ndice2"/>
        <w:tabs>
          <w:tab w:val="right" w:leader="dot" w:pos="8204"/>
        </w:tabs>
      </w:pPr>
      <w:r>
        <w:t>9.2 Contributos da investigação</w:t>
        <w:tab/>
      </w:r>
      <w:r>
        <w:t>102</w:t>
      </w:r>
    </w:p>
    <w:p>
      <w:pPr>
        <w:pStyle w:val="ndice2"/>
        <w:tabs>
          <w:tab w:val="right" w:leader="dot" w:pos="8204"/>
        </w:tabs>
      </w:pPr>
      <w:r>
        <w:t>9.3 Limitações</w:t>
        <w:tab/>
      </w:r>
      <w:r>
        <w:t>102</w:t>
      </w:r>
    </w:p>
    <w:p>
      <w:pPr>
        <w:pStyle w:val="ndice2"/>
        <w:tabs>
          <w:tab w:val="right" w:leader="dot" w:pos="8204"/>
        </w:tabs>
      </w:pPr>
      <w:r>
        <w:t>9.4 Trabalho futuro</w:t>
        <w:tab/>
      </w:r>
      <w:r>
        <w:t>103</w:t>
      </w:r>
    </w:p>
    <w:p>
      <w:pPr>
        <w:pStyle w:val="ndice1"/>
        <w:tabs>
          <w:tab w:val="right" w:leader="dot" w:pos="8204"/>
        </w:tabs>
      </w:pPr>
      <w:r>
        <w:t>Referências Bibliográficas</w:t>
        <w:tab/>
      </w:r>
      <w:r>
        <w:t>105</w:t>
      </w:r>
    </w:p>
    <w:p>
      <w:pPr>
        <w:pStyle w:val="ndice1"/>
        <w:tabs>
          <w:tab w:val="right" w:leader="dot" w:pos="8204"/>
        </w:tabs>
      </w:pPr>
      <w:r>
        <w:t>Anexo A — Metodologia de extracção e codificação de dados antropométricos da mão</w:t>
        <w:tab/>
      </w:r>
      <w:r>
        <w:t>117</w:t>
      </w:r>
    </w:p>
    <w:p>
      <w:pPr>
        <w:pStyle w:val="ndice1"/>
        <w:tabs>
          <w:tab w:val="right" w:leader="dot" w:pos="8204"/>
        </w:tabs>
      </w:pPr>
      <w:r>
        <w:t>Anexo B — Avaliação do processo paramétrico e da interface da plataforma HandFab</w:t>
        <w:tab/>
      </w:r>
      <w:r>
        <w:t>132</w:t>
      </w:r>
    </w:p>
    <w:p>
      <w:pPr>
        <w:pStyle w:val="ndice1"/>
        <w:tabs>
          <w:tab w:val="right" w:leader="dot" w:pos="8204"/>
        </w:tabs>
      </w:pPr>
      <w:r>
        <w:t>Anexo C — Adaptação paramétrica dos modelos de mão protésica</w:t>
        <w:tab/>
      </w:r>
      <w:r>
        <w:t>138</w:t>
      </w:r>
    </w:p>
    <w:p>
      <w:pPr>
        <w:pStyle w:val="ndice1"/>
        <w:tabs>
          <w:tab w:val="right" w:leader="dot" w:pos="8204"/>
        </w:tabs>
      </w:pPr>
      <w:r>
        <w:t>Anexo D — Preparação para fabrico e verificação dos protótipos</w:t>
        <w:tab/>
      </w:r>
      <w:r>
        <w:t>152</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TextoNormal-IPCA"/>
      </w:pPr>
      <w:r>
        <w:drawing>
          <wp:inline distT="0" distB="0" distL="0" distR="0">
            <wp:extent cx="5715000" cy="4067175"/>
            <wp:docPr id="39"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 descr="Image 1"/>
                    <pic:cNvPicPr/>
                  </pic:nvPicPr>
                  <pic:blipFill>
                    <a:blip r:embed="rId57"/>
                    <a:stretch>
                      <a:fillRect/>
                    </a:stretch>
                  </pic:blipFill>
                  <pic:spPr>
                    <a:xfrm>
                      <a:off x="0" y="0"/>
                      <a:ext cx="5715000" cy="4067175"/>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de preparação digital para impressão 3D com configuração analisada,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child_8, teen_15, adult_28 e elderly_70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da branch </w:t>
      </w:r>
      <w:r>
        <w:rPr>
          <w:rFonts w:ascii="Consolas" w:hAnsi="Consolas"/>
          <w:sz w:val="20"/>
        </w:rPr>
        <w:t>staging</w:t>
      </w:r>
      <w:r>
        <w:t xml:space="preserve">, confirmação Git </w:t>
      </w:r>
      <w:r>
        <w:rPr>
          <w:rFonts w:ascii="Consolas" w:hAnsi="Consolas"/>
          <w:sz w:val="20"/>
        </w:rPr>
        <w:t>3a7b2f1</w:t>
      </w:r>
      <w:r>
        <w:t>. A preparação para fabrico do Anexo D incidiu sobre os ficheiros 3MF arquivados e identifica autonomamente as versões dos programas usados. Esta separação evita apresentar o estado actual do protótipo como se correspondesse exactamente ao estado de todas as execuções preservadas.</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as respectivas somas de verificação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rPr>
          <w:rFonts w:ascii="Consolas" w:hAnsi="Consolas"/>
          <w:sz w:val="20"/>
        </w:rPr>
        <w:t>staging</w:t>
      </w:r>
      <w:r>
        <w:t xml:space="preserve"> foi inspeccionada e os dez ensaios unitários disponíveis foram concluídos, mas a bateria completa no navegador não foi novamente executada no fecho da dissertação.</w:t>
      </w:r>
    </w:p>
    <w:p>
      <w:pPr>
        <w:pStyle w:val="TextoNormal-IPCA"/>
      </w:pPr>
      <w:r>
        <w:t>A avaliação de fabrico combina quatro projectos de preparação digital para impressão 3D com configuração analisada,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118</w:t>
      </w:r>
    </w:p>
    <w:p>
      <w:pPr>
        <w:pStyle w:val="ndiceAnexo3"/>
        <w:tabs>
          <w:tab w:val="right" w:leader="dot" w:pos="8204"/>
        </w:tabs>
      </w:pPr>
      <w:r>
        <w:t>A.1.1 Versão, rastreabilidade e integridade do suplemento</w:t>
        <w:tab/>
      </w:r>
      <w:r>
        <w:t>118</w:t>
      </w:r>
    </w:p>
    <w:p>
      <w:pPr>
        <w:pStyle w:val="ndiceAnexo2"/>
        <w:tabs>
          <w:tab w:val="right" w:leader="dot" w:pos="8204"/>
        </w:tabs>
      </w:pPr>
      <w:r>
        <w:t>A.2 Estratégia de Pesquisa Bibliográfica</w:t>
        <w:tab/>
      </w:r>
      <w:r>
        <w:t>119</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119</w:t>
      </w:r>
    </w:p>
    <w:p>
      <w:pPr>
        <w:pStyle w:val="ndiceAnexo3"/>
        <w:tabs>
          <w:tab w:val="right" w:leader="dot" w:pos="8204"/>
        </w:tabs>
      </w:pPr>
      <w:r>
        <w:t>A.3.1 Critérios de inclusão</w:t>
        <w:tab/>
      </w:r>
      <w:r>
        <w:t>119</w:t>
      </w:r>
    </w:p>
    <w:p>
      <w:pPr>
        <w:pStyle w:val="ndiceAnexo3"/>
        <w:tabs>
          <w:tab w:val="right" w:leader="dot" w:pos="8204"/>
        </w:tabs>
      </w:pPr>
      <w:r>
        <w:t>A.3.2 Critérios de exclusão</w:t>
        <w:tab/>
      </w:r>
      <w:r>
        <w:t>120</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120</w:t>
      </w:r>
    </w:p>
    <w:p>
      <w:pPr>
        <w:pStyle w:val="ndiceAnexo3"/>
        <w:tabs>
          <w:tab w:val="right" w:leader="dot" w:pos="8204"/>
        </w:tabs>
      </w:pPr>
      <w:r>
        <w:t>A.4.3 Decomposição em linhas atómicas</w:t>
        <w:tab/>
      </w:r>
      <w:r>
        <w:t>120</w:t>
      </w:r>
    </w:p>
    <w:p>
      <w:pPr>
        <w:pStyle w:val="ndiceAnexo3"/>
        <w:tabs>
          <w:tab w:val="right" w:leader="dot" w:pos="8204"/>
        </w:tabs>
      </w:pPr>
      <w:r>
        <w:t>A.4.4 Registo fiel do contexto da medição</w:t>
        <w:tab/>
      </w:r>
      <w:r>
        <w:t>120</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121</w:t>
      </w:r>
    </w:p>
    <w:p>
      <w:pPr>
        <w:pStyle w:val="ndiceAnexo3"/>
        <w:tabs>
          <w:tab w:val="right" w:leader="dot" w:pos="8204"/>
        </w:tabs>
      </w:pPr>
      <w:r>
        <w:t>A.5.3 México — população geral (Rodríguez-Vega &amp; Rodríguez-Vega, 2024)</w:t>
        <w:tab/>
      </w:r>
      <w:r>
        <w:t>122</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122</w:t>
      </w:r>
    </w:p>
    <w:p>
      <w:pPr>
        <w:pStyle w:val="ndiceAnexo3"/>
        <w:tabs>
          <w:tab w:val="right" w:leader="dot" w:pos="8204"/>
        </w:tabs>
      </w:pPr>
      <w:r>
        <w:t>A.5.6 Nigéria — atletas universitários (Ibiwari et al., 2025)</w:t>
        <w:tab/>
      </w:r>
      <w:r>
        <w:t>122</w:t>
      </w:r>
    </w:p>
    <w:p>
      <w:pPr>
        <w:pStyle w:val="ndiceAnexo3"/>
        <w:tabs>
          <w:tab w:val="right" w:leader="dot" w:pos="8204"/>
        </w:tabs>
      </w:pPr>
      <w:r>
        <w:t>A.5.7 Jordânia — trabalhadores com deficiência (Mistarihi, 2020)</w:t>
        <w:tab/>
      </w:r>
      <w:r>
        <w:t>123</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123</w:t>
      </w:r>
    </w:p>
    <w:p>
      <w:pPr>
        <w:pStyle w:val="ndiceAnexo3"/>
        <w:tabs>
          <w:tab w:val="right" w:leader="dot" w:pos="8204"/>
        </w:tabs>
      </w:pPr>
      <w:r>
        <w:t>A.5.10 EUA — militares ANSUR II (Gordon et al., 2015)</w:t>
        <w:tab/>
      </w:r>
      <w:r>
        <w:t>123</w:t>
      </w:r>
    </w:p>
    <w:p>
      <w:pPr>
        <w:pStyle w:val="ndiceAnexo3"/>
        <w:tabs>
          <w:tab w:val="right" w:leader="dot" w:pos="8204"/>
        </w:tabs>
      </w:pPr>
      <w:r>
        <w:t>A.5.11 Países Baixos — DINED (TU Delft, 1993–2004)</w:t>
        <w:tab/>
      </w:r>
      <w:r>
        <w:t>124</w:t>
      </w:r>
    </w:p>
    <w:p>
      <w:pPr>
        <w:pStyle w:val="ndiceAnexo3"/>
        <w:tabs>
          <w:tab w:val="right" w:leader="dot" w:pos="8204"/>
        </w:tabs>
      </w:pPr>
      <w:r>
        <w:t>A.5.12 China — idosos de Pequim (Hu et al., 2007)</w:t>
        <w:tab/>
      </w:r>
      <w:r>
        <w:t>124</w:t>
      </w:r>
    </w:p>
    <w:p>
      <w:pPr>
        <w:pStyle w:val="ndiceAnexo3"/>
        <w:tabs>
          <w:tab w:val="right" w:leader="dot" w:pos="8204"/>
        </w:tabs>
      </w:pPr>
      <w:r>
        <w:t>A.5.13 Estudo excluído: reconstrução corporal 3D a partir de fotografias ortogonais</w:t>
        <w:tab/>
      </w:r>
      <w:r>
        <w:t>124</w:t>
      </w:r>
    </w:p>
    <w:p>
      <w:pPr>
        <w:pStyle w:val="ndiceAnexo2"/>
        <w:tabs>
          <w:tab w:val="right" w:leader="dot" w:pos="8204"/>
        </w:tabs>
      </w:pPr>
      <w:r>
        <w:t>A.6 Estrutura do CSV e esquema de dados</w:t>
        <w:tab/>
      </w:r>
      <w:r>
        <w:t>125</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126</w:t>
      </w:r>
    </w:p>
    <w:p>
      <w:pPr>
        <w:pStyle w:val="ndiceAnexo3"/>
        <w:tabs>
          <w:tab w:val="right" w:leader="dot" w:pos="8204"/>
        </w:tabs>
      </w:pPr>
      <w:r>
        <w:t>A.7.2 Verificação de unidades</w:t>
        <w:tab/>
      </w:r>
      <w:r>
        <w:t>126</w:t>
      </w:r>
    </w:p>
    <w:p>
      <w:pPr>
        <w:pStyle w:val="ndiceAnexo3"/>
        <w:tabs>
          <w:tab w:val="right" w:leader="dot" w:pos="8204"/>
        </w:tabs>
      </w:pPr>
      <w:r>
        <w:t>A.7.3 Ligação à fonte</w:t>
        <w:tab/>
      </w:r>
      <w:r>
        <w:t>126</w:t>
      </w:r>
    </w:p>
    <w:p>
      <w:pPr>
        <w:pStyle w:val="ndiceAnexo2"/>
        <w:tabs>
          <w:tab w:val="right" w:leader="dot" w:pos="8204"/>
        </w:tabs>
      </w:pPr>
      <w:r>
        <w:t>A.8 Escrita do Código de Geração</w:t>
        <w:tab/>
      </w:r>
      <w:r>
        <w:t>126</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128</w:t>
      </w:r>
    </w:p>
    <w:p>
      <w:pPr>
        <w:pStyle w:val="ndiceAnexo2"/>
        <w:tabs>
          <w:tab w:val="right" w:leader="dot" w:pos="8204"/>
        </w:tabs>
      </w:pPr>
      <w:r>
        <w:t>A.10 Cobertura Global da Base de Dados e Lacunas</w:t>
        <w:tab/>
      </w:r>
      <w:r>
        <w:t>128</w:t>
      </w:r>
    </w:p>
    <w:p>
      <w:pPr>
        <w:pStyle w:val="ndiceAnexo3"/>
        <w:tabs>
          <w:tab w:val="right" w:leader="dot" w:pos="8204"/>
        </w:tabs>
      </w:pPr>
      <w:r>
        <w:t>A.10.1 O que está coberto</w:t>
        <w:tab/>
      </w:r>
      <w:r>
        <w:t>128</w:t>
      </w:r>
    </w:p>
    <w:p>
      <w:pPr>
        <w:pStyle w:val="ndiceAnexo4"/>
        <w:tabs>
          <w:tab w:val="right" w:leader="dot" w:pos="8204"/>
        </w:tabs>
      </w:pPr>
      <w:r>
        <w:t>A.10.1.1 Cobertura geográfica</w:t>
        <w:tab/>
      </w:r>
      <w:r>
        <w:t>128</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129</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130</w:t>
      </w:r>
    </w:p>
    <w:p>
      <w:pPr>
        <w:pStyle w:val="ndiceAnexo4"/>
        <w:tabs>
          <w:tab w:val="right" w:leader="dot" w:pos="8204"/>
        </w:tabs>
      </w:pPr>
      <w:r>
        <w:t>A.10.2.3 Limitações qualitativas dos dados existentes</w:t>
        <w:tab/>
      </w:r>
      <w:r>
        <w:t>130</w:t>
      </w:r>
    </w:p>
    <w:p>
      <w:pPr>
        <w:pStyle w:val="ndiceAnexo3"/>
        <w:tabs>
          <w:tab w:val="right" w:leader="dot" w:pos="8204"/>
        </w:tabs>
      </w:pPr>
      <w:r>
        <w:t>A.10.3 Frentes identificadas para expansão futura</w:t>
        <w:tab/>
      </w:r>
      <w:r>
        <w:t>131</w:t>
      </w:r>
    </w:p>
    <w:p>
      <w:pPr>
        <w:pStyle w:val="ndiceAnexo4"/>
        <w:tabs>
          <w:tab w:val="right" w:leader="dot" w:pos="8204"/>
        </w:tabs>
      </w:pPr>
      <w:r>
        <w:t>A.10.3.1 Prioridade alta</w:t>
        <w:tab/>
      </w:r>
      <w:r>
        <w:t>131</w:t>
      </w:r>
    </w:p>
    <w:p>
      <w:pPr>
        <w:pStyle w:val="ndiceAnexo4"/>
        <w:tabs>
          <w:tab w:val="right" w:leader="dot" w:pos="8204"/>
        </w:tabs>
      </w:pPr>
      <w:r>
        <w:t>A.10.3.2 Prioridade média</w:t>
        <w:tab/>
      </w:r>
      <w:r>
        <w:t>131</w:t>
      </w:r>
    </w:p>
    <w:p>
      <w:pPr>
        <w:pStyle w:val="ndiceAnexo4"/>
        <w:tabs>
          <w:tab w:val="right" w:leader="dot" w:pos="8204"/>
        </w:tabs>
      </w:pPr>
      <w:r>
        <w:t>A.10.3.3 Pertinência directa para o tema da tese</w:t>
        <w:tab/>
      </w:r>
      <w:r>
        <w:t>131</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3"/>
        <w:numPr>
          <w:ilvl w:val="2"/>
          <w:numId w:val="0"/>
        </w:numPr>
      </w:pPr>
      <w:r>
        <w:t>A.1.1 Versão, rastreabilidade e integridade do suplemento</w:t>
      </w:r>
    </w:p>
    <w:p>
      <w:pPr>
        <w:pStyle w:val="TextoNormal-IPCA"/>
      </w:pPr>
      <w:r>
        <w:t xml:space="preserve">Os três conjuntos de dados e os dois procedimentos de geração integram o material suplementar da dissertação. O suplemento corresponde ao estado versionado da plataforma HandFab 14.67.0, confirmação Git </w:t>
      </w:r>
      <w:r>
        <w:rPr>
          <w:rFonts w:ascii="Consolas" w:hAnsi="Consolas"/>
          <w:sz w:val="20"/>
        </w:rPr>
        <w:t>bcef0db</w:t>
      </w:r>
      <w:r>
        <w:t>, anterior às alterações experimentais posteriores. A documentação técnica associada regista a origem, o procedimento de regeneração, os resultados esperados e as somas SHA-256 dos cinco artefactos:</w:t>
      </w:r>
    </w:p>
    <w:p>
      <w:pPr>
        <w:pStyle w:val="TextoNormal-IPCA"/>
      </w:pPr>
      <w:r>
        <w:t xml:space="preserve">- conjunto ANSUR completo: </w:t>
      </w:r>
      <w:r>
        <w:rPr>
          <w:rFonts w:ascii="Consolas" w:hAnsi="Consolas"/>
          <w:sz w:val="20"/>
        </w:rPr>
        <w:t>88575ef62771f8be1abefeba070426d4eab3d6a4005618b064df603024ccff4d</w:t>
      </w:r>
    </w:p>
    <w:p>
      <w:pPr>
        <w:pStyle w:val="TextoNormal-IPCA"/>
      </w:pPr>
      <w:r>
        <w:t xml:space="preserve">- subconjunto ANSUR mão–braço: </w:t>
      </w:r>
      <w:r>
        <w:rPr>
          <w:rFonts w:ascii="Consolas" w:hAnsi="Consolas"/>
          <w:sz w:val="20"/>
        </w:rPr>
        <w:t>82a010b2b38579b11c0eaa3d9488895350807647220c30c78650331297f8c503</w:t>
      </w:r>
    </w:p>
    <w:p>
      <w:pPr>
        <w:pStyle w:val="TextoNormal-IPCA"/>
      </w:pPr>
      <w:r>
        <w:t xml:space="preserve">- conjunto multipopulacional da mão: </w:t>
      </w:r>
      <w:r>
        <w:rPr>
          <w:rFonts w:ascii="Consolas" w:hAnsi="Consolas"/>
          <w:sz w:val="20"/>
        </w:rPr>
        <w:t>65b7e8b88e7d1abb3460342179f7360f2b69df8b77c8f6a992881eb496999a8f</w:t>
      </w:r>
    </w:p>
    <w:p>
      <w:pPr>
        <w:pStyle w:val="TextoNormal-IPCA"/>
      </w:pPr>
      <w:r>
        <w:t xml:space="preserve">- procedimento de geração ANSUR: </w:t>
      </w:r>
      <w:r>
        <w:rPr>
          <w:rFonts w:ascii="Consolas" w:hAnsi="Consolas"/>
          <w:sz w:val="20"/>
        </w:rPr>
        <w:t>63eae7b39a9e47054be1ae2cec8a8035f419cb50a78c818eb296f640eb9639d3</w:t>
      </w:r>
    </w:p>
    <w:p>
      <w:pPr>
        <w:pStyle w:val="TextoNormal-IPCA"/>
      </w:pPr>
      <w:r>
        <w:t xml:space="preserve">- procedimento de geração multipopulacional: </w:t>
      </w:r>
      <w:r>
        <w:rPr>
          <w:rFonts w:ascii="Consolas" w:hAnsi="Consolas"/>
          <w:sz w:val="20"/>
        </w:rPr>
        <w:t>5ab4fcba62a4c001ff8347c8858b28631537aadc0ad4bf8aa4cb75b96a949ae3</w:t>
      </w:r>
    </w:p>
    <w:p>
      <w:pPr>
        <w:pStyle w:val="TextoNormal-IPCA"/>
      </w:pPr>
      <w:r>
        <w:t>Em 13 de Julho de 2026, os dois procedimentos foram executados novamente no ambiente suplementar. A regeneração produziu 2.726 linhas de dados no conjunto ANSUR completo, 696 no subconjunto mão–braço e 1.790 na base multipopulacional; a verificação posterior das somas SHA-256 confirmou correspondência integral dos cinco artefactos.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 suplemento </w:t>
      </w:r>
      <w:r>
        <w:rPr>
          <w:rFonts w:ascii="Consolas" w:hAnsi="Consolas"/>
          <w:sz w:val="20"/>
        </w:rPr>
        <w:t>dados_antropometricos_v14.67.0</w:t>
      </w:r>
      <w:r>
        <w:t xml:space="preserve">, associado à confirmação Git </w:t>
      </w:r>
      <w:r>
        <w:rPr>
          <w:rFonts w:ascii="Consolas" w:hAnsi="Consolas"/>
          <w:sz w:val="20"/>
        </w:rPr>
        <w:t>bcef0db</w:t>
      </w:r>
      <w:r>
        <w:t>. A contagem de 12 corresponde a documentos-fonte ou subconjuntos identificados pelo gerador e não implica 12 estudos primários independentes.</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133</w:t>
      </w:r>
    </w:p>
    <w:p>
      <w:pPr>
        <w:pStyle w:val="ndiceAnexo2"/>
        <w:tabs>
          <w:tab w:val="right" w:leader="dot" w:pos="8204"/>
        </w:tabs>
      </w:pPr>
      <w:r>
        <w:t>B.2 Âmbito e limites</w:t>
        <w:tab/>
      </w:r>
      <w:r>
        <w:t>133</w:t>
      </w:r>
    </w:p>
    <w:p>
      <w:pPr>
        <w:pStyle w:val="ndiceAnexo2"/>
        <w:tabs>
          <w:tab w:val="right" w:leader="dot" w:pos="8204"/>
        </w:tabs>
      </w:pPr>
      <w:r>
        <w:t>B.3 Procedimento</w:t>
        <w:tab/>
      </w:r>
      <w:r>
        <w:t>133</w:t>
      </w:r>
    </w:p>
    <w:p>
      <w:pPr>
        <w:pStyle w:val="ndiceAnexo2"/>
        <w:tabs>
          <w:tab w:val="right" w:leader="dot" w:pos="8204"/>
        </w:tabs>
      </w:pPr>
      <w:r>
        <w:t>B.4 Resultados de previsibilidade</w:t>
        <w:tab/>
      </w:r>
      <w:r>
        <w:t>134</w:t>
      </w:r>
    </w:p>
    <w:p>
      <w:pPr>
        <w:pStyle w:val="ndiceAnexo3"/>
        <w:tabs>
          <w:tab w:val="right" w:leader="dot" w:pos="8204"/>
        </w:tabs>
      </w:pPr>
      <w:r>
        <w:t>B.4.1 Repetição da mesma configuração</w:t>
        <w:tab/>
      </w:r>
      <w:r>
        <w:t>134</w:t>
      </w:r>
    </w:p>
    <w:p>
      <w:pPr>
        <w:pStyle w:val="ndiceAnexo3"/>
        <w:tabs>
          <w:tab w:val="right" w:leader="dot" w:pos="8204"/>
        </w:tabs>
      </w:pPr>
      <w:r>
        <w:t>B.4.2 Comparação entre navegadores</w:t>
        <w:tab/>
      </w:r>
      <w:r>
        <w:t>134</w:t>
      </w:r>
    </w:p>
    <w:p>
      <w:pPr>
        <w:pStyle w:val="ndiceAnexo2"/>
        <w:tabs>
          <w:tab w:val="right" w:leader="dot" w:pos="8204"/>
        </w:tabs>
      </w:pPr>
      <w:r>
        <w:t>B.5 Resultados de recuperação e controlo</w:t>
        <w:tab/>
      </w:r>
      <w:r>
        <w:t>135</w:t>
      </w:r>
    </w:p>
    <w:p>
      <w:pPr>
        <w:pStyle w:val="ndiceAnexo2"/>
        <w:tabs>
          <w:tab w:val="right" w:leader="dot" w:pos="8204"/>
        </w:tabs>
      </w:pPr>
      <w:r>
        <w:t>B.6 Resultados da verificação automática de acessibilidade digital</w:t>
        <w:tab/>
      </w:r>
      <w:r>
        <w:t>135</w:t>
      </w:r>
    </w:p>
    <w:p>
      <w:pPr>
        <w:pStyle w:val="ndiceAnexo3"/>
        <w:tabs>
          <w:tab w:val="right" w:leader="dot" w:pos="8204"/>
        </w:tabs>
      </w:pPr>
      <w:r>
        <w:t>B.6.1 Percurso local autenticado</w:t>
        <w:tab/>
      </w:r>
      <w:r>
        <w:t>135</w:t>
      </w:r>
    </w:p>
    <w:p>
      <w:pPr>
        <w:pStyle w:val="ndiceAnexo3"/>
        <w:tabs>
          <w:tab w:val="right" w:leader="dot" w:pos="8204"/>
        </w:tabs>
      </w:pPr>
      <w:r>
        <w:t>B.6.2 Superfície pública</w:t>
        <w:tab/>
      </w:r>
      <w:r>
        <w:t>136</w:t>
      </w:r>
    </w:p>
    <w:p>
      <w:pPr>
        <w:pStyle w:val="ndiceAnexo3"/>
        <w:tabs>
          <w:tab w:val="right" w:leader="dot" w:pos="8204"/>
        </w:tabs>
      </w:pPr>
      <w:r>
        <w:t>B.6.3 Verificação manual pendente</w:t>
        <w:tab/>
      </w:r>
      <w:r>
        <w:t>136</w:t>
      </w:r>
    </w:p>
    <w:p>
      <w:pPr>
        <w:pStyle w:val="ndiceAnexo2"/>
        <w:tabs>
          <w:tab w:val="right" w:leader="dot" w:pos="8204"/>
        </w:tabs>
      </w:pPr>
      <w:r>
        <w:t>B.7 Aprendizagens para o Design Industrial</w:t>
        <w:tab/>
      </w:r>
      <w:r>
        <w:t>136</w:t>
      </w:r>
    </w:p>
    <w:p>
      <w:pPr>
        <w:pStyle w:val="ndiceAnexo2"/>
        <w:tabs>
          <w:tab w:val="right" w:leader="dot" w:pos="8204"/>
        </w:tabs>
      </w:pPr>
      <w:r>
        <w:t>B.8 Conclusão</w:t>
        <w:tab/>
      </w:r>
      <w:r>
        <w:t>137</w:t>
      </w:r>
    </w:p>
    <w:p>
      <w:pPr>
        <w:pStyle w:val="ndiceAnexo2"/>
        <w:tabs>
          <w:tab w:val="right" w:leader="dot" w:pos="8204"/>
        </w:tabs>
      </w:pPr>
      <w:r>
        <w:t>B.9 Ficha técnica e proveniência das evidências</w:t>
        <w:tab/>
      </w:r>
      <w:r>
        <w:t>137</w:t>
      </w:r>
    </w:p>
    <w:p>
      <w:pPr>
        <w:pStyle w:val="ndiceAnexo2"/>
        <w:tabs>
          <w:tab w:val="right" w:leader="dot" w:pos="8204"/>
        </w:tabs>
      </w:pPr>
      <w:r>
        <w:t>B.10 Referências normativas</w:t>
        <w:tab/>
      </w:r>
      <w:r>
        <w:t>137</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registam a versão 14.69.0, a branch </w:t>
      </w:r>
      <w:r>
        <w:rPr>
          <w:rFonts w:ascii="Consolas" w:hAnsi="Consolas"/>
          <w:sz w:val="20"/>
        </w:rPr>
        <w:t>staging</w:t>
      </w:r>
      <w:r>
        <w:t xml:space="preserve"> e o commit </w:t>
      </w:r>
      <w:r>
        <w:rPr>
          <w:rFonts w:ascii="Consolas" w:hAnsi="Consolas"/>
          <w:sz w:val="20"/>
        </w:rPr>
        <w:t>7e604558b337d02fff979169f057d6cbd0c80c0a</w:t>
      </w:r>
      <w:r>
        <w:t>.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p>
    <w:p>
      <w:pPr>
        <w:pStyle w:val="TextoNormal-IPCA"/>
      </w:pPr>
      <w:r>
        <w:t>Os resultados estruturados, os manifestos de integridade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139</w:t>
      </w:r>
    </w:p>
    <w:p>
      <w:pPr>
        <w:pStyle w:val="ndiceAnexo2"/>
        <w:tabs>
          <w:tab w:val="right" w:leader="dot" w:pos="8204"/>
        </w:tabs>
      </w:pPr>
      <w:r>
        <w:t>C.2 Princípio comum de adaptação</w:t>
        <w:tab/>
      </w:r>
      <w:r>
        <w:t>139</w:t>
      </w:r>
    </w:p>
    <w:p>
      <w:pPr>
        <w:pStyle w:val="ndiceAnexo3"/>
        <w:tabs>
          <w:tab w:val="right" w:leader="dot" w:pos="8204"/>
        </w:tabs>
      </w:pPr>
      <w:r>
        <w:t>C.2.1 Campos antropométricos comuns</w:t>
        <w:tab/>
      </w:r>
      <w:r>
        <w:t>140</w:t>
      </w:r>
    </w:p>
    <w:p>
      <w:pPr>
        <w:pStyle w:val="ndiceAnexo3"/>
        <w:tabs>
          <w:tab w:val="right" w:leader="dot" w:pos="8204"/>
        </w:tabs>
      </w:pPr>
      <w:r>
        <w:t>C.2.2 Tipos de parâmetros</w:t>
        <w:tab/>
      </w:r>
      <w:r>
        <w:t>141</w:t>
      </w:r>
    </w:p>
    <w:p>
      <w:pPr>
        <w:pStyle w:val="ndiceAnexo3"/>
        <w:tabs>
          <w:tab w:val="right" w:leader="dot" w:pos="8204"/>
        </w:tabs>
      </w:pPr>
      <w:r>
        <w:t>C.2.3 Coerência dos controlos na versão 14.72.0</w:t>
        <w:tab/>
      </w:r>
      <w:r>
        <w:t>141</w:t>
      </w:r>
    </w:p>
    <w:p>
      <w:pPr>
        <w:pStyle w:val="ndiceAnexo2"/>
        <w:tabs>
          <w:tab w:val="right" w:leader="dot" w:pos="8204"/>
        </w:tabs>
      </w:pPr>
      <w:r>
        <w:t>C.3 Flexy Beast</w:t>
        <w:tab/>
      </w:r>
      <w:r>
        <w:t>141</w:t>
      </w:r>
    </w:p>
    <w:p>
      <w:pPr>
        <w:pStyle w:val="ndiceAnexo3"/>
        <w:tabs>
          <w:tab w:val="right" w:leader="dot" w:pos="8204"/>
        </w:tabs>
      </w:pPr>
      <w:r>
        <w:t>C.3.1 Origem e estratégia de adaptação</w:t>
        <w:tab/>
      </w:r>
      <w:r>
        <w:t>141</w:t>
      </w:r>
    </w:p>
    <w:p>
      <w:pPr>
        <w:pStyle w:val="ndiceAnexo3"/>
        <w:tabs>
          <w:tab w:val="right" w:leader="dot" w:pos="8204"/>
        </w:tabs>
      </w:pPr>
      <w:r>
        <w:t>C.3.2 Entradas, limites e relações</w:t>
        <w:tab/>
      </w:r>
      <w:r>
        <w:t>142</w:t>
      </w:r>
    </w:p>
    <w:p>
      <w:pPr>
        <w:pStyle w:val="ndiceAnexo3"/>
        <w:tabs>
          <w:tab w:val="right" w:leader="dot" w:pos="8204"/>
        </w:tabs>
      </w:pPr>
      <w:r>
        <w:t>C.3.3 Braçadeira e interfaces confirmáveis</w:t>
        <w:tab/>
      </w:r>
      <w:r>
        <w:t>143</w:t>
      </w:r>
    </w:p>
    <w:p>
      <w:pPr>
        <w:pStyle w:val="ndiceAnexo3"/>
        <w:tabs>
          <w:tab w:val="right" w:leader="dot" w:pos="8204"/>
        </w:tabs>
      </w:pPr>
      <w:r>
        <w:t>C.3.4 Exemplo de propagação já preservado</w:t>
        <w:tab/>
      </w:r>
      <w:r>
        <w:t>143</w:t>
      </w:r>
    </w:p>
    <w:p>
      <w:pPr>
        <w:pStyle w:val="ndiceAnexo3"/>
        <w:tabs>
          <w:tab w:val="right" w:leader="dot" w:pos="8204"/>
        </w:tabs>
      </w:pPr>
      <w:r>
        <w:t>C.3.5 Limitações específicas</w:t>
        <w:tab/>
      </w:r>
      <w:r>
        <w:t>143</w:t>
      </w:r>
    </w:p>
    <w:p>
      <w:pPr>
        <w:pStyle w:val="ndiceAnexo2"/>
        <w:tabs>
          <w:tab w:val="right" w:leader="dot" w:pos="8204"/>
        </w:tabs>
      </w:pPr>
      <w:r>
        <w:t>C.4 Cyborg Beast</w:t>
        <w:tab/>
      </w:r>
      <w:r>
        <w:t>144</w:t>
      </w:r>
    </w:p>
    <w:p>
      <w:pPr>
        <w:pStyle w:val="ndiceAnexo3"/>
        <w:tabs>
          <w:tab w:val="right" w:leader="dot" w:pos="8204"/>
        </w:tabs>
      </w:pPr>
      <w:r>
        <w:t>C.4.1 Origem e estratégia de adaptação</w:t>
        <w:tab/>
      </w:r>
      <w:r>
        <w:t>144</w:t>
      </w:r>
    </w:p>
    <w:p>
      <w:pPr>
        <w:pStyle w:val="ndiceAnexo3"/>
        <w:tabs>
          <w:tab w:val="right" w:leader="dot" w:pos="8204"/>
        </w:tabs>
      </w:pPr>
      <w:r>
        <w:t>C.4.2 Entradas e escala da mão</w:t>
        <w:tab/>
      </w:r>
      <w:r>
        <w:t>144</w:t>
      </w:r>
    </w:p>
    <w:p>
      <w:pPr>
        <w:pStyle w:val="ndiceAnexo3"/>
        <w:tabs>
          <w:tab w:val="right" w:leader="dot" w:pos="8204"/>
        </w:tabs>
      </w:pPr>
      <w:r>
        <w:t>C.4.3 Divisão proximal–distal</w:t>
        <w:tab/>
      </w:r>
      <w:r>
        <w:t>144</w:t>
      </w:r>
    </w:p>
    <w:p>
      <w:pPr>
        <w:pStyle w:val="ndiceAnexo3"/>
        <w:tabs>
          <w:tab w:val="right" w:leader="dot" w:pos="8204"/>
        </w:tabs>
      </w:pPr>
      <w:r>
        <w:t>C.4.4 Braçadeira, folgas e parâmetros fixos</w:t>
        <w:tab/>
      </w:r>
      <w:r>
        <w:t>145</w:t>
      </w:r>
    </w:p>
    <w:p>
      <w:pPr>
        <w:pStyle w:val="ndiceAnexo3"/>
        <w:tabs>
          <w:tab w:val="right" w:leader="dot" w:pos="8204"/>
        </w:tabs>
      </w:pPr>
      <w:r>
        <w:t>C.4.5 Exemplo de propagação</w:t>
        <w:tab/>
      </w:r>
      <w:r>
        <w:t>145</w:t>
      </w:r>
    </w:p>
    <w:p>
      <w:pPr>
        <w:pStyle w:val="ndiceAnexo3"/>
        <w:tabs>
          <w:tab w:val="right" w:leader="dot" w:pos="8204"/>
        </w:tabs>
      </w:pPr>
      <w:r>
        <w:t>C.4.6 Limitações específicas</w:t>
        <w:tab/>
      </w:r>
      <w:r>
        <w:t>145</w:t>
      </w:r>
    </w:p>
    <w:p>
      <w:pPr>
        <w:pStyle w:val="ndiceAnexo2"/>
        <w:tabs>
          <w:tab w:val="right" w:leader="dot" w:pos="8204"/>
        </w:tabs>
      </w:pPr>
      <w:r>
        <w:t>C.5 Paraglider Hand</w:t>
        <w:tab/>
      </w:r>
      <w:r>
        <w:t>145</w:t>
      </w:r>
    </w:p>
    <w:p>
      <w:pPr>
        <w:pStyle w:val="ndiceAnexo3"/>
        <w:tabs>
          <w:tab w:val="right" w:leader="dot" w:pos="8204"/>
        </w:tabs>
      </w:pPr>
      <w:r>
        <w:t>C.5.1 Origem e estratégia de adaptação</w:t>
        <w:tab/>
      </w:r>
      <w:r>
        <w:t>145</w:t>
      </w:r>
    </w:p>
    <w:p>
      <w:pPr>
        <w:pStyle w:val="ndiceAnexo3"/>
        <w:tabs>
          <w:tab w:val="right" w:leader="dot" w:pos="8204"/>
        </w:tabs>
      </w:pPr>
      <w:r>
        <w:t>C.5.2 Relações implementadas</w:t>
        <w:tab/>
      </w:r>
      <w:r>
        <w:t>145</w:t>
      </w:r>
    </w:p>
    <w:p>
      <w:pPr>
        <w:pStyle w:val="ndiceAnexo3"/>
        <w:tabs>
          <w:tab w:val="right" w:leader="dot" w:pos="8204"/>
        </w:tabs>
      </w:pPr>
      <w:r>
        <w:t>C.5.3 Hardware e limites confirmáveis</w:t>
        <w:tab/>
      </w:r>
      <w:r>
        <w:t>146</w:t>
      </w:r>
    </w:p>
    <w:p>
      <w:pPr>
        <w:pStyle w:val="ndiceAnexo3"/>
        <w:tabs>
          <w:tab w:val="right" w:leader="dot" w:pos="8204"/>
        </w:tabs>
      </w:pPr>
      <w:r>
        <w:t>C.5.4 Exemplo de propagação</w:t>
        <w:tab/>
      </w:r>
      <w:r>
        <w:t>147</w:t>
      </w:r>
    </w:p>
    <w:p>
      <w:pPr>
        <w:pStyle w:val="ndiceAnexo3"/>
        <w:tabs>
          <w:tab w:val="right" w:leader="dot" w:pos="8204"/>
        </w:tabs>
      </w:pPr>
      <w:r>
        <w:t>C.5.5 Limitações específicas</w:t>
        <w:tab/>
      </w:r>
      <w:r>
        <w:t>147</w:t>
      </w:r>
    </w:p>
    <w:p>
      <w:pPr>
        <w:pStyle w:val="ndiceAnexo2"/>
        <w:tabs>
          <w:tab w:val="right" w:leader="dot" w:pos="8204"/>
        </w:tabs>
      </w:pPr>
      <w:r>
        <w:t>C.6 UnLimbited Phoenix Hand</w:t>
        <w:tab/>
      </w:r>
      <w:r>
        <w:t>147</w:t>
      </w:r>
    </w:p>
    <w:p>
      <w:pPr>
        <w:pStyle w:val="ndiceAnexo3"/>
        <w:tabs>
          <w:tab w:val="right" w:leader="dot" w:pos="8204"/>
        </w:tabs>
      </w:pPr>
      <w:r>
        <w:t>C.6.1 Origem e estratégia de adaptação</w:t>
        <w:tab/>
      </w:r>
      <w:r>
        <w:t>147</w:t>
      </w:r>
    </w:p>
    <w:p>
      <w:pPr>
        <w:pStyle w:val="ndiceAnexo3"/>
        <w:tabs>
          <w:tab w:val="right" w:leader="dot" w:pos="8204"/>
        </w:tabs>
      </w:pPr>
      <w:r>
        <w:t>C.6.2 Escala global e piso dimensional</w:t>
        <w:tab/>
      </w:r>
      <w:r>
        <w:t>147</w:t>
      </w:r>
    </w:p>
    <w:p>
      <w:pPr>
        <w:pStyle w:val="ndiceAnexo3"/>
        <w:tabs>
          <w:tab w:val="right" w:leader="dot" w:pos="8204"/>
        </w:tabs>
      </w:pPr>
      <w:r>
        <w:t>C.6.3 Comprimentos digitais e preservação dos furos</w:t>
        <w:tab/>
      </w:r>
      <w:r>
        <w:t>148</w:t>
      </w:r>
    </w:p>
    <w:p>
      <w:pPr>
        <w:pStyle w:val="ndiceAnexo3"/>
        <w:tabs>
          <w:tab w:val="right" w:leader="dot" w:pos="8204"/>
        </w:tabs>
      </w:pPr>
      <w:r>
        <w:t>C.6.4 Dependência entre comprimento digital e escala global</w:t>
        <w:tab/>
      </w:r>
      <w:r>
        <w:t>148</w:t>
      </w:r>
    </w:p>
    <w:p>
      <w:pPr>
        <w:pStyle w:val="ndiceAnexo3"/>
        <w:tabs>
          <w:tab w:val="right" w:leader="dot" w:pos="8204"/>
        </w:tabs>
      </w:pPr>
      <w:r>
        <w:t>C.6.5 Exemplo de propagação</w:t>
        <w:tab/>
      </w:r>
      <w:r>
        <w:t>148</w:t>
      </w:r>
    </w:p>
    <w:p>
      <w:pPr>
        <w:pStyle w:val="ndiceAnexo3"/>
        <w:tabs>
          <w:tab w:val="right" w:leader="dot" w:pos="8204"/>
        </w:tabs>
      </w:pPr>
      <w:r>
        <w:t>C.6.6 Componentes fixos e tolerâncias confirmáveis</w:t>
        <w:tab/>
      </w:r>
      <w:r>
        <w:t>149</w:t>
      </w:r>
    </w:p>
    <w:p>
      <w:pPr>
        <w:pStyle w:val="ndiceAnexo3"/>
        <w:tabs>
          <w:tab w:val="right" w:leader="dot" w:pos="8204"/>
        </w:tabs>
      </w:pPr>
      <w:r>
        <w:t>C.6.7 Limitações específicas</w:t>
        <w:tab/>
      </w:r>
      <w:r>
        <w:t>149</w:t>
      </w:r>
    </w:p>
    <w:p>
      <w:pPr>
        <w:pStyle w:val="ndiceAnexo2"/>
        <w:tabs>
          <w:tab w:val="right" w:leader="dot" w:pos="8204"/>
        </w:tabs>
      </w:pPr>
      <w:r>
        <w:t>C.7 Síntese comparativa das estratégias</w:t>
        <w:tab/>
      </w:r>
      <w:r>
        <w:t>149</w:t>
      </w:r>
    </w:p>
    <w:p>
      <w:pPr>
        <w:pStyle w:val="ndiceAnexo2"/>
        <w:tabs>
          <w:tab w:val="right" w:leader="dot" w:pos="8204"/>
        </w:tabs>
      </w:pPr>
      <w:r>
        <w:t>C.8 Critérios de aceitação, limitação e rejeição</w:t>
        <w:tab/>
      </w:r>
      <w:r>
        <w:t>150</w:t>
      </w:r>
    </w:p>
    <w:p>
      <w:pPr>
        <w:pStyle w:val="ndiceAnexo2"/>
        <w:tabs>
          <w:tab w:val="right" w:leader="dot" w:pos="8204"/>
        </w:tabs>
      </w:pPr>
      <w:r>
        <w:t>C.9 Relação com o suplemento da versão 14.67.0</w:t>
        <w:tab/>
      </w:r>
      <w:r>
        <w:t>150</w:t>
      </w:r>
    </w:p>
    <w:p>
      <w:pPr>
        <w:pStyle w:val="ndiceAnexo2"/>
        <w:tabs>
          <w:tab w:val="right" w:leader="dot" w:pos="8204"/>
        </w:tabs>
      </w:pPr>
      <w:r>
        <w:t>C.10 Limite de interpretação</w:t>
        <w:tab/>
      </w:r>
      <w:r>
        <w:t>150</w:t>
      </w:r>
    </w:p>
    <w:p>
      <w:pPr>
        <w:pStyle w:val="ndiceAnexo2"/>
        <w:tabs>
          <w:tab w:val="right" w:leader="dot" w:pos="8204"/>
        </w:tabs>
      </w:pPr>
      <w:r>
        <w:t>C.11 Fontes técnicas consultadas</w:t>
        <w:tab/>
      </w:r>
      <w:r>
        <w:t>151</w:t>
      </w:r>
    </w:p>
    <w:p>
      <w:pPr>
        <w:pStyle w:val="ndiceAnexo2"/>
        <w:tabs>
          <w:tab w:val="right" w:leader="dot" w:pos="8204"/>
        </w:tabs>
      </w:pPr>
      <w:r>
        <w:t>C.12 Verificações executadas</w:t>
        <w:tab/>
      </w:r>
      <w:r>
        <w:t>151</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153</w:t>
      </w:r>
    </w:p>
    <w:p>
      <w:pPr>
        <w:pStyle w:val="ndiceAnexo2"/>
        <w:tabs>
          <w:tab w:val="right" w:leader="dot" w:pos="8204"/>
        </w:tabs>
      </w:pPr>
      <w:r>
        <w:t>D.2 Distinção entre estimativa e medição real</w:t>
        <w:tab/>
      </w:r>
      <w:r>
        <w:t>153</w:t>
      </w:r>
    </w:p>
    <w:p>
      <w:pPr>
        <w:pStyle w:val="ndiceAnexo2"/>
        <w:tabs>
          <w:tab w:val="right" w:leader="dot" w:pos="8204"/>
        </w:tabs>
      </w:pPr>
      <w:r>
        <w:t>D.3 Variáveis, controlos e materiais</w:t>
        <w:tab/>
      </w:r>
      <w:r>
        <w:t>154</w:t>
      </w:r>
    </w:p>
    <w:p>
      <w:pPr>
        <w:pStyle w:val="ndiceAnexo3"/>
        <w:tabs>
          <w:tab w:val="right" w:leader="dot" w:pos="8204"/>
        </w:tabs>
      </w:pPr>
      <w:r>
        <w:t>D.3.1 Série A — projectos de preparação digital para impressão 3D com configuração analisada</w:t>
        <w:tab/>
      </w:r>
      <w:r>
        <w:t>154</w:t>
      </w:r>
    </w:p>
    <w:p>
      <w:pPr>
        <w:pStyle w:val="ndiceAnexo3"/>
        <w:tabs>
          <w:tab w:val="right" w:leader="dot" w:pos="8204"/>
        </w:tabs>
      </w:pPr>
      <w:r>
        <w:t>D.3.2 Série B — comparação digital controlada</w:t>
        <w:tab/>
      </w:r>
      <w:r>
        <w:t>154</w:t>
      </w:r>
    </w:p>
    <w:p>
      <w:pPr>
        <w:pStyle w:val="ndiceAnexo2"/>
        <w:tabs>
          <w:tab w:val="right" w:leader="dot" w:pos="8204"/>
        </w:tabs>
      </w:pPr>
      <w:r>
        <w:t>D.4 Resultados</w:t>
        <w:tab/>
      </w:r>
      <w:r>
        <w:t>155</w:t>
      </w:r>
    </w:p>
    <w:p>
      <w:pPr>
        <w:pStyle w:val="ndiceAnexo3"/>
        <w:tabs>
          <w:tab w:val="right" w:leader="dot" w:pos="8204"/>
        </w:tabs>
      </w:pPr>
      <w:r>
        <w:t>D.4.1 Série A</w:t>
        <w:tab/>
      </w:r>
      <w:r>
        <w:t>155</w:t>
      </w:r>
    </w:p>
    <w:p>
      <w:pPr>
        <w:pStyle w:val="ndiceAnexo3"/>
        <w:tabs>
          <w:tab w:val="right" w:leader="dot" w:pos="8204"/>
        </w:tabs>
      </w:pPr>
      <w:r>
        <w:t>D.4.2 Série B (condição comum)</w:t>
        <w:tab/>
      </w:r>
      <w:r>
        <w:t>156</w:t>
      </w:r>
    </w:p>
    <w:p>
      <w:pPr>
        <w:pStyle w:val="ndiceAnexo3"/>
        <w:tabs>
          <w:tab w:val="right" w:leader="dot" w:pos="8204"/>
        </w:tabs>
      </w:pPr>
      <w:r>
        <w:t>D.4.3 Geometria — tamanho do conjunto vs tamanho da peça</w:t>
        <w:tab/>
      </w:r>
      <w:r>
        <w:t>160</w:t>
      </w:r>
    </w:p>
    <w:p>
      <w:pPr>
        <w:pStyle w:val="ndiceAnexo3"/>
        <w:tabs>
          <w:tab w:val="right" w:leader="dot" w:pos="8204"/>
        </w:tabs>
      </w:pPr>
      <w:r>
        <w:t>D.4.4 Comparação entre entrada, malha e peça física</w:t>
        <w:tab/>
      </w:r>
      <w:r>
        <w:t>160</w:t>
      </w:r>
    </w:p>
    <w:p>
      <w:pPr>
        <w:pStyle w:val="ndiceAnexo3"/>
        <w:tabs>
          <w:tab w:val="right" w:leader="dot" w:pos="8204"/>
        </w:tabs>
      </w:pPr>
      <w:r>
        <w:t>D.4.5 Registo fotográfico dos protótipos</w:t>
        <w:tab/>
      </w:r>
      <w:r>
        <w:t>162</w:t>
      </w:r>
    </w:p>
    <w:p>
      <w:pPr>
        <w:pStyle w:val="ndiceAnexo2"/>
        <w:tabs>
          <w:tab w:val="right" w:leader="dot" w:pos="8204"/>
        </w:tabs>
      </w:pPr>
      <w:r>
        <w:t>D.5 Compatibilidade com orientações de dimensionamento</w:t>
        <w:tab/>
      </w:r>
      <w:r>
        <w:t>163</w:t>
      </w:r>
    </w:p>
    <w:p>
      <w:pPr>
        <w:pStyle w:val="ndiceAnexo2"/>
        <w:tabs>
          <w:tab w:val="right" w:leader="dot" w:pos="8204"/>
        </w:tabs>
      </w:pPr>
      <w:r>
        <w:t>D.6 Limites de comparabilidade</w:t>
        <w:tab/>
      </w:r>
      <w:r>
        <w:t>163</w:t>
      </w:r>
    </w:p>
    <w:p>
      <w:pPr>
        <w:pStyle w:val="ndiceAnexo2"/>
        <w:tabs>
          <w:tab w:val="right" w:leader="dot" w:pos="8204"/>
        </w:tabs>
      </w:pPr>
      <w:r>
        <w:t>D.7 Campos que não puderam ser obtidos</w:t>
        <w:tab/>
      </w:r>
      <w:r>
        <w:t>164</w:t>
      </w:r>
    </w:p>
    <w:p>
      <w:pPr>
        <w:pStyle w:val="ndiceAnexo2"/>
        <w:tabs>
          <w:tab w:val="right" w:leader="dot" w:pos="8204"/>
        </w:tabs>
      </w:pPr>
      <w:r>
        <w:t>D.8 O que pode e não pode ser afirmado na dissertação</w:t>
        <w:tab/>
      </w:r>
      <w:r>
        <w:t>164</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estimativas produzidas por programas de preparação para impressão 3D (Bambu Studio e PrusaSlicer). São o resultado do planeamento de trajectórias que o programa faz antes de existir qualquer objecto físico.</w:t>
      </w:r>
      <w:r>
        <w:rPr>
          <w:b/>
        </w:rPr>
        <w:t/>
      </w:r>
      <w:r>
        <w:t xml:space="preserve"/>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As estimativas dependem da versão e do perfil. Trocar de versão do programa,</w:t>
      </w:r>
      <w:r>
        <w:rPr>
          <w:b/>
        </w:rPr>
        <w:t/>
      </w:r>
      <w:r>
        <w:t xml:space="preserve"/>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os comandos exactos, as versões, as somas de verificação e as saídas brutas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palm_breadth_mm foi lido no registo de parâmetros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r>
        <w:rPr>
          <w:rFonts w:ascii="Consolas" w:hAnsi="Consolas"/>
          <w:sz w:val="20"/>
        </w:rPr>
        <w:t/>
      </w:r>
      <w:r>
        <w:t xml:space="preserve"/>
      </w:r>
      <w:r>
        <w:rPr>
          <w:rFonts w:ascii="Consolas" w:hAnsi="Consolas"/>
          <w:sz w:val="20"/>
        </w:rPr>
        <w:t/>
      </w:r>
      <w:r>
        <w:t xml:space="preserve"/>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suplementar de comparação dimensional conserva as 36 linhas de medição física ainda por executar. Uma segunda folha suplementar apresenta, em separado, as 36 estimativas teóricas para as extensões X, Y e Z das doze combinações modelo–perfil. Nos casos Paraglider, os valores palm_length_mm e palm_thickness_mm são conservados como contexto do perfil, mas não controlam isoladamente as extensões Y e Z; no Flexy Beast e no Phoenix não existe, nestas configurações, um parâmetro de entrada correspondente a esses dois eixos. Esta diferença encontra-se identificada no registo suplementar.</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A Série A não permite comparação directa: mistura programas (Bambu Studio/PrusaSlicer),</w:t>
      </w:r>
      <w:r>
        <w:rPr>
          <w:b/>
        </w:rPr>
        <w:t/>
      </w:r>
      <w:r>
        <w:t xml:space="preserve"/>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 sob condições declaradas e variou com o modelo e com as dimensões dos perfis de ensaio.</w:t>
      </w:r>
      <w:r>
        <w:t xml:space="preserve"/>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Série A são comparáveis entre si (programas/configurações</w:t>
      </w:r>
      <w:r>
        <w:rPr>
          <w:b/>
        </w:rPr>
        <w:t/>
      </w:r>
      <w:r>
        <w:t xml:space="preserve"/>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