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a980291e488c6b4e6a6d7acfe10480cc93756e"/>
    <w:p>
      <w:pPr>
        <w:pStyle w:val="Heading1"/>
      </w:pPr>
      <w:r>
        <w:t xml:space="preserve">Industrial Design Frameworks for Inclusive and User-Centred Medical and Assistive Products</w:t>
      </w:r>
    </w:p>
    <w:bookmarkStart w:id="20" w:name="introduction"/>
    <w:p>
      <w:pPr>
        <w:pStyle w:val="Heading2"/>
      </w:pPr>
      <w:r>
        <w:t xml:space="preserve">Introduction</w:t>
      </w:r>
    </w:p>
    <w:p>
      <w:pPr>
        <w:pStyle w:val="FirstParagraph"/>
      </w:pPr>
      <w:r>
        <w:t xml:space="preserve">Across healthcare and assistive-technology (AT) contexts, the literature repeatedly positions design as a means to improve inclusion, independence, well-being, and participation by shaping the fit between people and their environments through products and systems. Assistive technology is explicitly described as mediating the relationship between users and their environment, adapting limitations in context to promote inclusion and independence, which makes design decisions inseparable from social participation outcomes. In parallel, inclusive design is framed as an imperative that aims to minimise preventable design exclusion by accounting for population diversity and capability loss, which directly aligns with healthcare’s obligation to serve heterogeneous users and conditions over time.</w:t>
      </w:r>
    </w:p>
    <w:p>
      <w:pPr>
        <w:pStyle w:val="BodyText"/>
      </w:pPr>
      <w:r>
        <w:t xml:space="preserve">Within this corpus, industrial design is discussed both as a set of human-centred and empathic research practices and as a collaborative role inside multidisciplinary healthcare development teams. The same sources also highlight a recurring concern that medical devices are often designed without industrial designers, or by professionals less trained in human-centred methods, suggesting a structural gap between regulated engineering-driven development and design-for-use expertise.</w:t>
      </w:r>
    </w:p>
    <w:bookmarkEnd w:id="20"/>
    <w:bookmarkStart w:id="25" w:name="theoretical-frameworks-and-paradigms"/>
    <w:p>
      <w:pPr>
        <w:pStyle w:val="Heading2"/>
      </w:pPr>
      <w:r>
        <w:t xml:space="preserve">Theoretical frameworks and paradigms</w:t>
      </w:r>
    </w:p>
    <w:p>
      <w:pPr>
        <w:pStyle w:val="FirstParagraph"/>
      </w:pPr>
      <w:r>
        <w:t xml:space="preserve">This section synthesizes how inclusive design, universal design, human-centred and user-centred design, and participatory/co-design approaches are framed and operationalised across medical and assistive product contexts, while also showing where they conflict in assumptions about disability, expertise, and evidence.</w:t>
      </w:r>
    </w:p>
    <w:bookmarkStart w:id="21" w:name="inclusive-design"/>
    <w:p>
      <w:pPr>
        <w:pStyle w:val="Heading3"/>
      </w:pPr>
      <w:r>
        <w:t xml:space="preserve">Inclusive design</w:t>
      </w:r>
    </w:p>
    <w:p>
      <w:pPr>
        <w:pStyle w:val="FirstParagraph"/>
      </w:pPr>
      <w:r>
        <w:t xml:space="preserve">Inclusive design is presented as a conceptual shift away from locating disability in individual impairments and toward understanding disability as produced by designs and environments that fail to account for the full range of human capabilities. In the Cambridge-oriented inclusive design literature, inclusive design is also described as a management and research agenda, including discussion of inclusive design management guidance such as BS 7000-6, alongside user research methods and sustained engagement with research users and beneficiaries. A complementary industry-facing framing argues that inclusive design is no longer optional for companies and that it aims to minimise preventable design exclusion for mainstream products, using resources and methods that help design teams understand population diversity.</w:t>
      </w:r>
    </w:p>
    <w:p>
      <w:pPr>
        <w:pStyle w:val="BodyText"/>
      </w:pPr>
      <w:r>
        <w:t xml:space="preserve">The methodological core of this paradigm is the production of tools and guidance for designing for the widest possible population within defined capability ranges, and the explicit extension of inclusive design into real-world applications through interdisciplinary links with systems engineering, industrial product design, healthcare, and medical device design. In healthcare technology specifically, scoping review evidence emphasises that health ICTs should follow inclusive design principles to enable accessibility for all, including people with disabilities, indicating that inclusive design is being used as an evaluative yardstick for technology accessibility in health settings. The same scoping review uses accessibility fundamentals recommended by the Web Accessibility Initiative as an analytical starting point, showing how inclusive design is often operationalised via accessibility criteria rather than only via participatory practice.</w:t>
      </w:r>
    </w:p>
    <w:bookmarkEnd w:id="21"/>
    <w:bookmarkStart w:id="22" w:name="universal-design"/>
    <w:p>
      <w:pPr>
        <w:pStyle w:val="Heading3"/>
      </w:pPr>
      <w:r>
        <w:t xml:space="preserve">Universal design</w:t>
      </w:r>
    </w:p>
    <w:p>
      <w:pPr>
        <w:pStyle w:val="FirstParagraph"/>
      </w:pPr>
      <w:r>
        <w:t xml:space="preserve">Universal design (UD) is explicitly framed as a broadly applied approach within industrial design with inclusivity as a hallmark characteristic, and it is positioned as enabling industrial designers to act as extended members of caregiving teams for older adults through products, services, and solutions that affect health and well-being. In healthcare services research, UD is presented as a patient-centred approach and is examined through the Seven Principles of Universal Design (as defined by Ron Mace) to judge which principles are relevant to the complex demands of healthcare today. UD is also defined in outcome-oriented terms, where its effectiveness is ascertained by measuring performance and the extent to which environments enable participation, inclusion, integration, and equality across age, size, gender, abilities, or circumstance.</w:t>
      </w:r>
    </w:p>
    <w:p>
      <w:pPr>
        <w:pStyle w:val="BodyText"/>
      </w:pPr>
      <w:r>
        <w:t xml:space="preserve">A notable convergence between UD and human-centred approaches appears in review work on mobility assistive device users, where UD is described as accommodating and empowering a diverse population by improving health and wellbeing, functioning, and social participation, while the same review proposes human-centred approaches to address exclusion arising from inaccessible environments. Critical and reflective scholarship also links UD to a broader reframing of usability by asserting that universal design attempts to expand usability to all people, and it positions this discussion alongside inclusive design and critical disability studies as a lens for rethinking (dis)ability in design discourse.</w:t>
      </w:r>
    </w:p>
    <w:bookmarkEnd w:id="22"/>
    <w:bookmarkStart w:id="23" w:name="human-centred-and-user-centred-design"/>
    <w:p>
      <w:pPr>
        <w:pStyle w:val="Heading3"/>
      </w:pPr>
      <w:r>
        <w:t xml:space="preserve">Human-centred and user-centred design</w:t>
      </w:r>
    </w:p>
    <w:p>
      <w:pPr>
        <w:pStyle w:val="FirstParagraph"/>
      </w:pPr>
      <w:r>
        <w:t xml:space="preserve">User-centred design (UCD) is defined here as involving end-users throughout development to ensure that design aspects and support tasks are easy to operate and of value, which directly motivates methods that identify participation stages and barriers to participation in health-technology development. An applied UCD methods overview describes an interdisciplinary theoretical approach drawing on communication science, health psychology, marketing, and health informatics, and it explicitly includes personas and think-aloud methods as ways to incorporate user feedback into design decisions. The same overview also positions prototyping and focus groups as key mechanisms for eliciting early requirements and receiving consecutive feedback on prototypes, reflecting a pipeline from early requirements elicitation through iterative evaluation.</w:t>
      </w:r>
    </w:p>
    <w:p>
      <w:pPr>
        <w:pStyle w:val="BodyText"/>
      </w:pPr>
      <w:r>
        <w:t xml:space="preserve">Human-centred design (HCD) in medical devices and diagnostics is framed as enabling products to be usable, durable, and affordable in low-resource environments, and it is described as a process-and-mindset family drawing on ethnography, participatory design, co-design, contextual design, and empathic design. The same HCD overview identifies journey maps, stakeholder maps, and user or stakeholder personas as useful frameworks, and it connects device evaluation to standards-based human factors testing by noting that formative and summative human factors testing is described in ISO/IEC 62366.</w:t>
      </w:r>
    </w:p>
    <w:p>
      <w:pPr>
        <w:pStyle w:val="BodyText"/>
      </w:pPr>
      <w:r>
        <w:t xml:space="preserve">Healthcare-specific HCD criteria work argues that directives and standards require integration of human factors to reduce risks of misuse and guide design, and it proposes stage-specific criteria across the design process to account for health constraints. In product-level case evidence, ergonomic and usability considerations are tied to acceptance by claims that user acceptance and preference frequently depend on ergonomic design, and by broader guidance to incorporate ergonomic design principles into medical devices and equipment.</w:t>
      </w:r>
    </w:p>
    <w:bookmarkEnd w:id="23"/>
    <w:bookmarkStart w:id="24" w:name="participatory-design-and-co-design"/>
    <w:p>
      <w:pPr>
        <w:pStyle w:val="Heading3"/>
      </w:pPr>
      <w:r>
        <w:t xml:space="preserve">Participatory design and co-design</w:t>
      </w:r>
    </w:p>
    <w:p>
      <w:pPr>
        <w:pStyle w:val="FirstParagraph"/>
      </w:pPr>
      <w:r>
        <w:t xml:space="preserve">Participatory design (PD) is defined as involving users in the design and development process, with an explicit emphasis on empowerment through participation and on the quality of outcomes, which helps explain why PD is repeatedly invoked in disability and neurodevelopmental technology contexts. A narrative overview of participatory technology design for autism and cognitive disabilities is explicitly written to equip novice PD researchers and designers with technique options and anticipated challenges, indicating that PD is treated as a specialised methodological repertoire rather than a single method.</w:t>
      </w:r>
    </w:p>
    <w:p>
      <w:pPr>
        <w:pStyle w:val="BodyText"/>
      </w:pPr>
      <w:r>
        <w:t xml:space="preserve">Co-design is consistently defined as a collaborative approach in which end-users are actively involved in design processes, and systematic review evidence further defines co-design as design approaches in which users are active participants and are valued as equal contributors. Scoping review work on co-designing health communication initiatives with people with disability focuses on when and how people with disability are included and through what methods, and it recommends improved transparency and consistency in reporting co-design processes to strengthen rigor and effectiveness. Review and perspective work on assistive technologies also describes a paradigm change from user-centred design of assistive technology to co-creation, with users becoming central to the movement and gaining more direct access to designers and design processes.</w:t>
      </w:r>
    </w:p>
    <w:bookmarkEnd w:id="24"/>
    <w:bookmarkEnd w:id="25"/>
    <w:bookmarkStart w:id="26" w:name="evolution-of-the-field"/>
    <w:p>
      <w:pPr>
        <w:pStyle w:val="Heading2"/>
      </w:pPr>
      <w:r>
        <w:t xml:space="preserve">Evolution of the field</w:t>
      </w:r>
    </w:p>
    <w:p>
      <w:pPr>
        <w:pStyle w:val="FirstParagraph"/>
      </w:pPr>
      <w:r>
        <w:t xml:space="preserve">A central historical storyline in this set of sources is the conceptual move from medical-model framings toward social and relational framings of disability and technology, where disability is understood as produced by mismatches between people and environments rather than solely by impairments. In assistive technology provision, this is articulated as a need to change away from a traditional medical model of the “expert” clinician and toward more user involvement to deliver personalised care, which implicitly shifts authority from professionals alone to joint decision-making and lived experience.</w:t>
      </w:r>
    </w:p>
    <w:p>
      <w:pPr>
        <w:pStyle w:val="BodyText"/>
      </w:pPr>
      <w:r>
        <w:t xml:space="preserve">Design scholarship then extends this shift into the organisation of development work by arguing that medical device development processes can make users passive participants and by suggesting contextual inquiry and formal usability assessments as practices drawn from consumer product design that could be transferred into medical device development. By the mid-2010s, assistive technology discourse explicitly frames a change in paradigm from user-centred design to co-creation, describing users as central and directly connected to designers, which indicates an escalation from consultation to partnership and shared agency.</w:t>
      </w:r>
    </w:p>
    <w:p>
      <w:pPr>
        <w:pStyle w:val="BodyText"/>
      </w:pPr>
      <w:r>
        <w:t xml:space="preserve">More recent work adds implementation and translation as a core concern, arguing that even when healthcare designers have strong user-centred and co-design skills, early engagement of other stakeholder groups critical for implementation and adoption is insufficient, which reframes “good design” as inseparable from organisational readiness and diffusion pathways. In parallel, a case-based critique identifies a practical mismatch between user-centred design processes learned from textbooks and design practice in healthcare, suggesting that institutional constraints and technology-driven processes can distort or truncate user-centred intentions.</w:t>
      </w:r>
    </w:p>
    <w:bookmarkEnd w:id="26"/>
    <w:bookmarkStart w:id="30" w:name="key-methodologies-and-tools"/>
    <w:p>
      <w:pPr>
        <w:pStyle w:val="Heading2"/>
      </w:pPr>
      <w:r>
        <w:t xml:space="preserve">Key methodologies and tools</w:t>
      </w:r>
    </w:p>
    <w:p>
      <w:pPr>
        <w:pStyle w:val="FirstParagraph"/>
      </w:pPr>
      <w:r>
        <w:t xml:space="preserve">Across the literature, methods are often presented not as isolated techniques but as repertoires assembled to (1) understand user diversity and contexts of use, (2) structure participation, and (3) evidence inclusion outcomes through evaluation tools and standards-linked assessments.</w:t>
      </w:r>
    </w:p>
    <w:bookmarkStart w:id="27" w:name="user-involvement-methods"/>
    <w:p>
      <w:pPr>
        <w:pStyle w:val="Heading3"/>
      </w:pPr>
      <w:r>
        <w:t xml:space="preserve">User involvement methods</w:t>
      </w:r>
    </w:p>
    <w:p>
      <w:pPr>
        <w:pStyle w:val="FirstParagraph"/>
      </w:pPr>
      <w:r>
        <w:t xml:space="preserve">Representative-user and inclusive design methods include market segmentation, personas, and impairment simulation, which function as proxies for user diversity when direct participation is limited or when designers need structured representations of user groups. UCD method summaries also emphasise personas for design decisions and think-aloud methods for receiving user feedback, reinforcing the idea that articulation of user perspectives is both an input to concept generation and an evaluative lens during iteration. In health technology development guidance, prototypes are described as useful for gathering early user requirements and focus groups as fundamental for consecutive feedback on those prototypes, showing the iterative coupling of making and testing even in early-stage development.</w:t>
      </w:r>
    </w:p>
    <w:p>
      <w:pPr>
        <w:pStyle w:val="BodyText"/>
      </w:pPr>
      <w:r>
        <w:t xml:space="preserve">In healthcare pathway work, systems analysis is explicitly combined with user-centred design, using ecosystem mapping, participatory workshops, journey mapping, and data visualisation artifacts such as interactive journey maps, matrices, and rose charts to engage stakeholders in pre-surgical care. HCD work in medical devices likewise treats journey maps, stakeholder maps, and personas as useful frameworks, indicating cross-framework convergence around mapping experiences and stakeholder ecosystems as core sensemaking activities in healthcare design.</w:t>
      </w:r>
    </w:p>
    <w:p>
      <w:pPr>
        <w:pStyle w:val="BodyText"/>
      </w:pPr>
      <w:r>
        <w:t xml:space="preserve">At the product level, case studies show user-centred approaches implemented through multiple design iterations grounded in stakeholder observations and interviews, including prioritising key user groups such as nursing staff in neonatal intensive care, alongside contextual design models, generative sessions, and multiple user feedback sessions. Early assistive technology development case evidence similarly discusses focus groups, online surveys, qualitative interviews, and design workshops, including a workshop explicitly following an inclusive design approach and a toolkit organised around needs, solutions, and evaluation questions.</w:t>
      </w:r>
    </w:p>
    <w:bookmarkEnd w:id="27"/>
    <w:bookmarkStart w:id="28" w:name="X529a82658d1e60d8a36a4bd289478defe8d4b81"/>
    <w:p>
      <w:pPr>
        <w:pStyle w:val="Heading3"/>
      </w:pPr>
      <w:r>
        <w:t xml:space="preserve">Assessment instruments and classification frameworks</w:t>
      </w:r>
    </w:p>
    <w:p>
      <w:pPr>
        <w:pStyle w:val="FirstParagraph"/>
      </w:pPr>
      <w:r>
        <w:t xml:space="preserve">Universal-design evaluation in healthcare environments is operationalised through tools such as the Design for All A.U.D.I.T. tool and the isUD set of research-based solutions paired with certification, which demonstrate a shift from principles-only discourse to auditable criteria and performance-based assessment. A complementary hospital-focused UD assessment tool aims to support designers and healthcare management from the beginning of design projects through a performance-based approach, using multi-criteria analysis to build a hierarchical framework and checklist-based rating system spanning categories, criteria, and indicators (including social inclusion and well-being).</w:t>
      </w:r>
    </w:p>
    <w:p>
      <w:pPr>
        <w:pStyle w:val="BodyText"/>
      </w:pPr>
      <w:r>
        <w:t xml:space="preserve">Within assistive technology service and policy contexts, AT device and service frameworks (ATSM, ATDC, and Matching Person and Technology) are described as an evidence-based, standardised, internationally comparable framework that uses the ICF conceptual framework and common language throughout, and that explicitly supports UD principles. A closely related account emphasises an ICF-based classification that differentiates medical, assistive, and universally designed technologies and describes this differentiation as having applications to rehabilitation practice and public policy, again noting that ATDC and ATSM encompass and support UD principles.</w:t>
      </w:r>
    </w:p>
    <w:p>
      <w:pPr>
        <w:pStyle w:val="BodyText"/>
      </w:pPr>
      <w:r>
        <w:t xml:space="preserve">In AT provision and selection, systematic review evidence highlights multiple selection-oriented models, including the Human Activity Assistive Technology (HAAT) model, the Matching Person and Technology model, and an ATD/ADT selection framework, and it describes consumer-centred selection as joint decision-making between the consumer and provider while also recognising family expectations and preferences in selection processes.</w:t>
      </w:r>
    </w:p>
    <w:bookmarkEnd w:id="28"/>
    <w:bookmarkStart w:id="29" w:name="Xfe725258a72a9e08a15a882962637ad351077dc"/>
    <w:p>
      <w:pPr>
        <w:pStyle w:val="Heading3"/>
      </w:pPr>
      <w:r>
        <w:t xml:space="preserve">Evaluation frameworks and evidence protocols</w:t>
      </w:r>
    </w:p>
    <w:p>
      <w:pPr>
        <w:pStyle w:val="FirstParagraph"/>
      </w:pPr>
      <w:r>
        <w:t xml:space="preserve">A strong methodological throughline in the review literature is the use of formal review reporting and quality appraisal frameworks, including explicit use of PRISMA in systematic reviews across disability, inclusion, and health technology design topics. Reviews also report quality appraisal tools such as the Mixed Methods Appraisal Tool (MMAT) and the Joanna Briggs Institute MAStARI critical appraisal tools, signalling a recurring effort to strengthen evidence claims about design-relevant outcomes and user experiences.</w:t>
      </w:r>
    </w:p>
    <w:p>
      <w:pPr>
        <w:pStyle w:val="BodyText"/>
      </w:pPr>
      <w:r>
        <w:t xml:space="preserve">Implementation- and scale-focused AT reviews apply multi-level frameworks such as the Non-Adoption, Scale-up, Spread, and Sustainability (NASSS) framework, and rapid realist review procedures that build program theories about how context changes can interact with mechanisms to produce outcomes, which reframes “design success” as dependent on context–mechanism–outcome dynamics rather than only on usability or accessibility.</w:t>
      </w:r>
    </w:p>
    <w:bookmarkEnd w:id="29"/>
    <w:bookmarkEnd w:id="30"/>
    <w:bookmarkStart w:id="31" w:name="critical-themes-and-tensions"/>
    <w:p>
      <w:pPr>
        <w:pStyle w:val="Heading2"/>
      </w:pPr>
      <w:r>
        <w:t xml:space="preserve">Critical themes and tensions</w:t>
      </w:r>
    </w:p>
    <w:p>
      <w:pPr>
        <w:pStyle w:val="FirstParagraph"/>
      </w:pPr>
      <w:r>
        <w:t xml:space="preserve">A recurring tension concerns how to balance user empowerment with professional expertise in healthcare and AT systems, where some reviews argue that provision must move away from an expert-clinician model and toward more user involvement to deliver personalised care, while participatory design literatures emphasise empowerment through participation in the design process. Relatedly, co-design definitions that treat users as equal contributors can collide with regulated development cultures where users are described as passive participants, producing a gap between participation ideals and practical decision rights in development processes.</w:t>
      </w:r>
    </w:p>
    <w:p>
      <w:pPr>
        <w:pStyle w:val="BodyText"/>
      </w:pPr>
      <w:r>
        <w:t xml:space="preserve">A second tension is standardisation versus personalisation in service and product ecosystems, where standardised, internationally comparable frameworks and classifications (ATSM, ATDC, MPT) are promoted for comparability and policy/practice applications, while AT provision is simultaneously argued to require personalised care enabled by greater user involvement.</w:t>
      </w:r>
    </w:p>
    <w:p>
      <w:pPr>
        <w:pStyle w:val="BodyText"/>
      </w:pPr>
      <w:r>
        <w:t xml:space="preserve">A third tension concerns translation and scale, where healthcare design is argued to suffer from insufficient early engagement of stakeholder groups critical for implementation and adoption, and where AT implementation reviews explicitly propose participatory co-design as a strategy for strengthening implementation and sustainability while using NASSS to explain non-adoption and scale-up dynamics. This translation problem is compounded by evidence of a practical mismatch between textbook user-centred design processes and healthcare-sector design practice, implying that organisational and technological constraints can lead to technology-driven processes that undermine empathy-building and user-centred intent.</w:t>
      </w:r>
    </w:p>
    <w:p>
      <w:pPr>
        <w:pStyle w:val="BodyText"/>
      </w:pPr>
      <w:r>
        <w:t xml:space="preserve">Finally, the literature repeatedly ties adoption and acceptance to design’s attention to user perspectives and ergonomics, including claims that attention to user perspectives leads to devices better suited to users’ needs and that interdependent factors influencing user perspectives must be addressed to enhance acceptance, alongside the assertion that ergonomic design frequently determines user acceptance and preference in medical products.</w:t>
      </w:r>
    </w:p>
    <w:bookmarkEnd w:id="31"/>
    <w:bookmarkStart w:id="32" w:name="gaps-and-future-directions"/>
    <w:p>
      <w:pPr>
        <w:pStyle w:val="Heading2"/>
      </w:pPr>
      <w:r>
        <w:t xml:space="preserve">Gaps and future directions</w:t>
      </w:r>
    </w:p>
    <w:p>
      <w:pPr>
        <w:pStyle w:val="FirstParagraph"/>
      </w:pPr>
      <w:r>
        <w:t xml:space="preserve">Several sources explicitly call for methodological strengthening and better reporting standards around participation, particularly by recommending improved transparency and consistency in reporting co-design processes to enhance rigor and effectiveness of future initiatives involving people with disability. Other work foregrounds the need for more inclusive research design methodologies in mobility assistive products research, indicating that methodological inclusion is itself treated as a design-for-adoption problem rather than merely an ethics issue.</w:t>
      </w:r>
    </w:p>
    <w:p>
      <w:pPr>
        <w:pStyle w:val="BodyText"/>
      </w:pPr>
      <w:r>
        <w:t xml:space="preserve">The literature also points to gaps in aligning design education and “textbook” UCD with healthcare realities, as evidenced by reported mismatches between learned UCD processes and healthcare practice, which suggests a need to adapt design process models to regulated, multi-stakeholder, and implementation-sensitive environments. Translation-focused healthcare design work proposes methodologies for optimising inclusive design in healthcare using process models such as the Design Council Double Diamond and references to inclusive design toolkits, but it simultaneously argues that stakeholder engagement breadth and timing remain insufficient for adoption and implementation.</w:t>
      </w:r>
    </w:p>
    <w:p>
      <w:pPr>
        <w:pStyle w:val="BodyText"/>
      </w:pPr>
      <w:r>
        <w:t xml:space="preserve">Emerging inclusivity concerns are also broadening beyond disability to intersectional dimensions such as sex and gender dynamics in AT design and provision, which are described as essential for maximising benefits across genders and thus invite more explicit inclusion criteria and sampling strategies in user research and evaluation.</w:t>
      </w:r>
    </w:p>
    <w:bookmarkEnd w:id="32"/>
    <w:bookmarkStart w:id="33" w:name="conclusion"/>
    <w:p>
      <w:pPr>
        <w:pStyle w:val="Heading2"/>
      </w:pPr>
      <w:r>
        <w:t xml:space="preserve">Conclusion</w:t>
      </w:r>
    </w:p>
    <w:p>
      <w:pPr>
        <w:pStyle w:val="FirstParagraph"/>
      </w:pPr>
      <w:r>
        <w:t xml:space="preserve">Taken together, these sources depict industrial design in medical and assistive products as a mediating discipline that connects inclusion goals to concrete methods for understanding users, shaping contexts of use, and evidencing outcomes via tools, standards, and evaluation frameworks. Inclusive design contributes the strongest philosophical reframing of disability as environmentally produced mismatch and a tooling orientation that emphasises population diversity, management guidance, and interdisciplinary links into healthcare and medical device design. Universal design contributes principle- and outcome-oriented accounts of inclusion, including the Seven Principles (Mace) and measurement-oriented definitions tied to participation and equality, and it is positioned as a core paradigm within industrial design for health interventions and caregiving contexts. Human-centred and user-centred design contribute method repertoires for end-user involvement across development, including personas, think-aloud, prototyping, focus groups, and journey mapping, alongside standards-linked human factors testing and stage-specific criteria to reduce misuse risks in healthcare design. Participatory design and co-design contribute the strongest commitments to empowerment and equal contribution, while also motivating new work on reporting rigor, stakeholder breadth for translation, and implementation-sensitive frameworks for scale-up and sustainability.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2026-02-11T08:07:51Z</dcterms:created>
  <dcterms:modified xsi:type="dcterms:W3CDTF">2026-02-11T08:07:51Z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