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c5dacc78c6a464529ca5f2e301f44974dfed7fa"/>
    <w:p>
      <w:pPr>
        <w:pStyle w:val="Heading1"/>
      </w:pPr>
      <w:r>
        <w:t xml:space="preserve">Critical Synthesis of Academic Literature on AI in Design Processes (2018–2025)</w:t>
      </w:r>
    </w:p>
    <w:bookmarkStart w:id="20" w:name="executive-summary"/>
    <w:p>
      <w:pPr>
        <w:pStyle w:val="Heading2"/>
      </w:pPr>
      <w:r>
        <w:t xml:space="preserve">Executive Summary</w:t>
      </w:r>
    </w:p>
    <w:p>
      <w:pPr>
        <w:pStyle w:val="FirstParagraph"/>
      </w:pPr>
      <w:r>
        <w:t xml:space="preserve">Recent literature frames AI in design less as a single technique and more as a set of roles embedded across design workflows, spanning content generation, evaluation, optimization, and decision support in product and engineering design contexts. Across multiple reviews and frameworks, the dominant conceptual move is to</w:t>
      </w:r>
      <w:r>
        <w:t xml:space="preserve"> </w:t>
      </w:r>
      <w:r>
        <w:rPr>
          <w:i/>
          <w:iCs/>
        </w:rPr>
        <w:t xml:space="preserve">map</w:t>
      </w:r>
      <w:r>
        <w:t xml:space="preserve"> </w:t>
      </w:r>
      <w:r>
        <w:t xml:space="preserve">AI/ML capabilities to design stages (e.g., design thinking, engineering design processes, user-centred design, structural design pipelines), making “where AI fits” as important as “what AI is.”</w:t>
      </w:r>
    </w:p>
    <w:p>
      <w:pPr>
        <w:pStyle w:val="BodyText"/>
      </w:pPr>
      <w:r>
        <w:t xml:space="preserve">Alongside process mappings, a second major thread emphasizes</w:t>
      </w:r>
      <w:r>
        <w:t xml:space="preserve"> </w:t>
      </w:r>
      <w:r>
        <w:rPr>
          <w:i/>
          <w:iCs/>
        </w:rPr>
        <w:t xml:space="preserve">closed-loop</w:t>
      </w:r>
      <w:r>
        <w:t xml:space="preserve"> </w:t>
      </w:r>
      <w:r>
        <w:t xml:space="preserve">or iterative workflows in which AI generates alternatives or predictions and humans steer selection, interpretation, and refinement—often explicitly described as “human-in-the-loop” or “AI generates, human selects.” This is visible in AI-driven CAD frameworks integrating generative neural networks with surrogate-model optimization and feedback loops, as well as in co-creative ideation systems and workshops that assign the designer an arbitration role over AI outputs.</w:t>
      </w:r>
    </w:p>
    <w:p>
      <w:pPr>
        <w:pStyle w:val="BodyText"/>
      </w:pPr>
      <w:r>
        <w:t xml:space="preserve">Methodologically, the corpus spans (i) generative deep learning (GANs, VAEs, autoencoders) for form synthesis and concept generation, (ii) surrogate modeling and optimization for accelerating evaluation-heavy engineering design, and (iii) reinforcement learning and hybrid optimization (e.g., PSO+DRL) for adaptive refinement with feedback signals. Reviews also highlight growing interest in data-based design methods and explainable AI, reflecting a push toward trust, transparency, and method-selection guidance in design settings where parameters are ambiguous and trade-offs are consequential.</w:t>
      </w:r>
    </w:p>
    <w:bookmarkEnd w:id="20"/>
    <w:bookmarkStart w:id="25" w:name="thematic-analysis"/>
    <w:p>
      <w:pPr>
        <w:pStyle w:val="Heading2"/>
      </w:pPr>
      <w:r>
        <w:t xml:space="preserve">Thematic Analysis</w:t>
      </w:r>
    </w:p>
    <w:p>
      <w:pPr>
        <w:pStyle w:val="FirstParagraph"/>
      </w:pPr>
      <w:r>
        <w:t xml:space="preserve">The literature clusters into a small set of recurring themes that collectively describe AI’s value proposition in design: expanding the space of alternatives, accelerating evaluation and iteration, and restructuring collaboration (between humans and AI, and between designers and data/engineering stakeholders).</w:t>
      </w:r>
    </w:p>
    <w:bookmarkStart w:id="21" w:name="Xbe62b25459c6903cb19da49f2bd6774621abb79"/>
    <w:p>
      <w:pPr>
        <w:pStyle w:val="Heading3"/>
      </w:pPr>
      <w:r>
        <w:t xml:space="preserve">Generative design and topology optimization</w:t>
      </w:r>
    </w:p>
    <w:p>
      <w:pPr>
        <w:pStyle w:val="FirstParagraph"/>
      </w:pPr>
      <w:r>
        <w:t xml:space="preserve">A foundational theme is AI-enabled generation of many alternatives under constraints, often framed as computational generative design and topology optimization that enable exploration beyond typical human capacity. Practice-led case work in product design illustrates this explicitly: designers manipulate variables to generate multiple topology-optimized alternatives (e.g., in Autodesk Fusion 360), then select one for stylistic refinement to improve consumer acceptability.</w:t>
      </w:r>
    </w:p>
    <w:p>
      <w:pPr>
        <w:pStyle w:val="BodyText"/>
      </w:pPr>
      <w:r>
        <w:t xml:space="preserve">On the ML side, several methods papers treat deep generative models as compact representations or proposal mechanisms for engineering structures. Conditional GANs are used to learn latent representations of topology-optimized structures, allowing constraints (e.g., mass fraction, material type, load location) to condition topology generation and support concept exploration. Other work integrates GANs directly with topology optimization as a design automation process demonstrated on automotive wheel design, explicitly aiming for automatically generated designs with minimal human intervention.</w:t>
      </w:r>
    </w:p>
    <w:p>
      <w:pPr>
        <w:pStyle w:val="BodyText"/>
      </w:pPr>
      <w:r>
        <w:t xml:space="preserve">In product design, deep learning pipelines encode 3D geometry into latent spaces via autoencoders and then generate class- and dimension-conditioned objects using conditional GANs, positioning these networks as mechanisms to propose “appropriate objects” and reduce time-consuming routine tasks for designers. Related, aesthetics-oriented work combines a probabilistic VAE with adversarial GAN components and trains on large-scale automotive image datasets, generating new designs “in a controllable manner” for teams to consider, explicitly as a human–machine hybrid approach to augment judgment about product aesthetics.</w:t>
      </w:r>
    </w:p>
    <w:bookmarkEnd w:id="21"/>
    <w:bookmarkStart w:id="22" w:name="humanai-collaboration-paradigms"/>
    <w:p>
      <w:pPr>
        <w:pStyle w:val="Heading3"/>
      </w:pPr>
      <w:r>
        <w:t xml:space="preserve">Human–AI collaboration paradigms</w:t>
      </w:r>
    </w:p>
    <w:p>
      <w:pPr>
        <w:pStyle w:val="FirstParagraph"/>
      </w:pPr>
      <w:r>
        <w:t xml:space="preserve">Human–AI collaboration is commonly operationalized as mixed-initiative or human-in-the-loop interaction, where AI contributes generation, analysis, or critique while designers retain control over goals, evaluation, and final decisions. Reviews of human–AI co-design and co-creation explicitly ground this in mixed-initiative systems and human-centred AI principles, arguing that AI augments rather than replaces creativity and that shared control is central to co-creation.</w:t>
      </w:r>
    </w:p>
    <w:p>
      <w:pPr>
        <w:pStyle w:val="BodyText"/>
      </w:pPr>
      <w:r>
        <w:t xml:space="preserve">Empirical and practice-oriented studies provide richer role characterizations that go beyond generic “AI assists” statements. A design-idea-development workshop distinguishes continuous, simultaneous collaboration (AI experienced as a “bossy groupmate,” yielding an AI-driven process) versus delayed collaboration (AI as an “expert” outside the team, yielding a human-driven process), and introduces the “designer arbiter” as a coordinating role. Tool-landscape analysis in HCI similarly classifies AI-empowered creativity tools into functional types (Editors, Blenders, Transformers, Generators) and stresses that users should retain autonomy in deciding whether AI works “with” them or “for” them.</w:t>
      </w:r>
    </w:p>
    <w:p>
      <w:pPr>
        <w:pStyle w:val="BodyText"/>
      </w:pPr>
      <w:r>
        <w:t xml:space="preserve">At the workflow level, some frameworks foreground collaboration among humans</w:t>
      </w:r>
      <w:r>
        <w:t xml:space="preserve"> </w:t>
      </w:r>
      <w:r>
        <w:rPr>
          <w:i/>
          <w:iCs/>
        </w:rPr>
        <w:t xml:space="preserve">around</w:t>
      </w:r>
      <w:r>
        <w:t xml:space="preserve"> </w:t>
      </w:r>
      <w:r>
        <w:t xml:space="preserve">AI development and deployment, not just interaction with AI tools. “Design Intelligence” process modules are proposed specifically to foster collaboration between designers and data scientists, explicitly treating AI/ML/DL as a “new design material” and emphasizing the importance of cross-disciplinary alignment in process and terminology.</w:t>
      </w:r>
    </w:p>
    <w:bookmarkEnd w:id="22"/>
    <w:bookmarkStart w:id="23" w:name="ai-assisted-decision-making-frameworks"/>
    <w:p>
      <w:pPr>
        <w:pStyle w:val="Heading3"/>
      </w:pPr>
      <w:r>
        <w:t xml:space="preserve">AI-assisted decision-making frameworks</w:t>
      </w:r>
    </w:p>
    <w:p>
      <w:pPr>
        <w:pStyle w:val="FirstParagraph"/>
      </w:pPr>
      <w:r>
        <w:t xml:space="preserve">A notable portion of the literature addresses AI’s role in evaluation and decision-making under uncertainty, often through process mappings that explicitly include “decision support” stages or modules. For example, an architecture-oriented framework maps “Predictive Analytics &amp; Decision Support” (along with other AI patterns) to stages of the architectural design process, while still emphasizing that architects retain final selection and evaluation.</w:t>
      </w:r>
    </w:p>
    <w:p>
      <w:pPr>
        <w:pStyle w:val="BodyText"/>
      </w:pPr>
      <w:r>
        <w:t xml:space="preserve">In engineering design reviews, studies are categorized across stages such as inspiration, idea/concept generation, evaluation, optimization, and decision-making, suggesting that AI’s value must be understood relative to stage-specific tasks and constraints rather than treated as a monolithic capability. A focused mapping review explicitly surveys 108 AI-based engineering design papers, mapping their contributions to five design stages and arguing that this mapping can support method selection and effective implementation decisions by designers and researchers.</w:t>
      </w:r>
    </w:p>
    <w:p>
      <w:pPr>
        <w:pStyle w:val="BodyText"/>
      </w:pPr>
      <w:r>
        <w:t xml:space="preserve">Decision-making support also appears in quantitative/optimization-centric product design frameworks. A hybrid framework combining Particle Swarm Optimization and Deep Reinforcement Learning integrates predictive modeling, clustering, and recommendation systems, where AI generates optimized candidates and adaptive suggestions and humans select and refine designs using these insights.</w:t>
      </w:r>
    </w:p>
    <w:bookmarkEnd w:id="23"/>
    <w:bookmarkStart w:id="24" w:name="X0e54bd784405197d49a17587bcb655739e6fe4b"/>
    <w:p>
      <w:pPr>
        <w:pStyle w:val="Heading3"/>
      </w:pPr>
      <w:r>
        <w:t xml:space="preserve">Computational creativity and ideation support</w:t>
      </w:r>
    </w:p>
    <w:p>
      <w:pPr>
        <w:pStyle w:val="FirstParagraph"/>
      </w:pPr>
      <w:r>
        <w:t xml:space="preserve">A strong creativity-support thread positions generative ML as a source of prompts, inspiration, and variation that designers then interpret and develop through conventional design activities such as sketching, modeling, and prototyping. Early case work describes GANs as “automatisms” to stimulate or augment designer imagination by producing evocative visual prompts that become the basis for downstream sketches, 3D models, and physical prototypes.</w:t>
      </w:r>
    </w:p>
    <w:p>
      <w:pPr>
        <w:pStyle w:val="BodyText"/>
      </w:pPr>
      <w:r>
        <w:t xml:space="preserve">More broadly scoped reviews distinguish between “generative design” as constraint-driven variation generation and “generative AI” as models that generate creative outputs (e.g., text and images), explicitly pointing to tools such as ChatGPT and DALL-E for creativity, ideation, and decision-making support within design processes. In this framing, AI is often cast as an inspirational tool that generates variations within set parameters while leaving refinement and decision-making to designers.</w:t>
      </w:r>
    </w:p>
    <w:bookmarkEnd w:id="24"/>
    <w:bookmarkEnd w:id="25"/>
    <w:bookmarkStart w:id="26" w:name="conceptual-frameworks-comparison"/>
    <w:p>
      <w:pPr>
        <w:pStyle w:val="Heading2"/>
      </w:pPr>
      <w:r>
        <w:t xml:space="preserve">Conceptual Frameworks Comparison</w:t>
      </w:r>
    </w:p>
    <w:p>
      <w:pPr>
        <w:pStyle w:val="FirstParagraph"/>
      </w:pPr>
      <w:r>
        <w:t xml:space="preserve">Across the corpus, conceptual frameworks fall into three recurring archetypes: (1) stage mappings that embed AI methods into established design process models, (2) closed-loop pipelines that structure AI generation/optimization with feedback, and (3) role-based collaboration models that formalize division of labor and control between humans and AI agents.</w:t>
      </w:r>
    </w:p>
    <w:p>
      <w:pPr>
        <w:pStyle w:val="BodyText"/>
      </w:pPr>
      <w:r>
        <w:t xml:space="preserve">The table below highlights a small set of influential or representative frameworks and what each contributes to understanding AI in design.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Framework type</w:t>
            </w:r>
          </w:p>
        </w:tc>
        <w:tc>
          <w:tcPr/>
          <w:p>
            <w:pPr>
              <w:pStyle w:val="Compact"/>
            </w:pPr>
            <w:r>
              <w:t xml:space="preserve">Example framework</w:t>
            </w:r>
          </w:p>
        </w:tc>
        <w:tc>
          <w:tcPr/>
          <w:p>
            <w:pPr>
              <w:pStyle w:val="Compact"/>
            </w:pPr>
            <w:r>
              <w:t xml:space="preserve">What it formalizes</w:t>
            </w:r>
          </w:p>
        </w:tc>
        <w:tc>
          <w:tcPr/>
          <w:p>
            <w:pPr>
              <w:pStyle w:val="Compact"/>
            </w:pPr>
            <w:r>
              <w:t xml:space="preserve">Strengths and limitations</w:t>
            </w:r>
          </w:p>
        </w:tc>
      </w:tr>
      <w:tr>
        <w:tc>
          <w:tcPr/>
          <w:p>
            <w:pPr>
              <w:pStyle w:val="Compact"/>
            </w:pPr>
            <w:r>
              <w:t xml:space="preserve">Stage mapping</w:t>
            </w:r>
          </w:p>
        </w:tc>
        <w:tc>
          <w:tcPr/>
          <w:p>
            <w:pPr>
              <w:pStyle w:val="Compact"/>
            </w:pPr>
            <w:r>
              <w:t xml:space="preserve">Mapping AI methods to five engineering design stages (Problem Definition to Design Communication) and seven AI method types</w:t>
            </w:r>
          </w:p>
        </w:tc>
        <w:tc>
          <w:tcPr/>
          <w:p>
            <w:pPr>
              <w:pStyle w:val="Compact"/>
            </w:pPr>
            <w:r>
              <w:t xml:space="preserve">Where AI methods contribute across design stages and how they support synthesizing/analyzing design data and tasks</w:t>
            </w:r>
          </w:p>
        </w:tc>
        <w:tc>
          <w:tcPr/>
          <w:p>
            <w:pPr>
              <w:pStyle w:val="Compact"/>
            </w:pPr>
            <w:r>
              <w:t xml:space="preserve">Strong for method selection guidance and coverage across stages, but less prescriptive about interaction design and control beyond “support” and automation framing</w:t>
            </w:r>
          </w:p>
        </w:tc>
      </w:tr>
      <w:tr>
        <w:tc>
          <w:tcPr/>
          <w:p>
            <w:pPr>
              <w:pStyle w:val="Compact"/>
            </w:pPr>
            <w:r>
              <w:t xml:space="preserve">Stage mapping</w:t>
            </w:r>
          </w:p>
        </w:tc>
        <w:tc>
          <w:tcPr/>
          <w:p>
            <w:pPr>
              <w:pStyle w:val="Compact"/>
            </w:pPr>
            <w:r>
              <w:t xml:space="preserve">AI tools mapped to design thinking stages (empathize to test)</w:t>
            </w:r>
          </w:p>
        </w:tc>
        <w:tc>
          <w:tcPr/>
          <w:p>
            <w:pPr>
              <w:pStyle w:val="Compact"/>
            </w:pPr>
            <w:r>
              <w:t xml:space="preserve">How AI tools and principles integrate into each design thinking phase</w:t>
            </w:r>
          </w:p>
        </w:tc>
        <w:tc>
          <w:tcPr/>
          <w:p>
            <w:pPr>
              <w:pStyle w:val="Compact"/>
            </w:pPr>
            <w:r>
              <w:t xml:space="preserve">Useful for integrating analytics/NLP/idea generation into human-centered workflows, but does not, by itself, specify algorithmic implementation or evaluation protocols beyond mapping</w:t>
            </w:r>
          </w:p>
        </w:tc>
      </w:tr>
      <w:tr>
        <w:tc>
          <w:tcPr/>
          <w:p>
            <w:pPr>
              <w:pStyle w:val="Compact"/>
            </w:pPr>
            <w:r>
              <w:t xml:space="preserve">Closed-loop pipeline</w:t>
            </w:r>
          </w:p>
        </w:tc>
        <w:tc>
          <w:tcPr/>
          <w:p>
            <w:pPr>
              <w:pStyle w:val="Compact"/>
            </w:pPr>
            <w:r>
              <w:t xml:space="preserve">AI-driven CAD framework with input–processing–output stages and closed-loop refinement between predictions, CAD updates, and simulation/human feedback</w:t>
            </w:r>
          </w:p>
        </w:tc>
        <w:tc>
          <w:tcPr/>
          <w:p>
            <w:pPr>
              <w:pStyle w:val="Compact"/>
            </w:pPr>
            <w:r>
              <w:t xml:space="preserve">How generative neural networks, CAD kernels, and surrogate multi-objective optimization are integrated into CAD workflows</w:t>
            </w:r>
          </w:p>
        </w:tc>
        <w:tc>
          <w:tcPr/>
          <w:p>
            <w:pPr>
              <w:pStyle w:val="Compact"/>
            </w:pPr>
            <w:r>
              <w:t xml:space="preserve">Clear systems-level architecture and explicit feedback loops, but remains centered on engineering optimization tasks and depends on robust surrogate validity and human validation</w:t>
            </w:r>
          </w:p>
        </w:tc>
      </w:tr>
      <w:tr>
        <w:tc>
          <w:tcPr/>
          <w:p>
            <w:pPr>
              <w:pStyle w:val="Compact"/>
            </w:pPr>
            <w:r>
              <w:t xml:space="preserve">Collaboration and agent model</w:t>
            </w:r>
          </w:p>
        </w:tc>
        <w:tc>
          <w:tcPr/>
          <w:p>
            <w:pPr>
              <w:pStyle w:val="Compact"/>
            </w:pPr>
            <w:r>
              <w:t xml:space="preserve">Human–AI collaborative Design Space Exploration modeling human designer and cognitive assistant as intelligent agents, defining assistant roles (Historian, Analyst, Explorer, Expert, Critic)</w:t>
            </w:r>
          </w:p>
        </w:tc>
        <w:tc>
          <w:tcPr/>
          <w:p>
            <w:pPr>
              <w:pStyle w:val="Compact"/>
            </w:pPr>
            <w:r>
              <w:t xml:space="preserve">Division of cognitive labor, common ground, and role repertoires for assistants within DSE workflows</w:t>
            </w:r>
          </w:p>
        </w:tc>
        <w:tc>
          <w:tcPr/>
          <w:p>
            <w:pPr>
              <w:pStyle w:val="Compact"/>
            </w:pPr>
            <w:r>
              <w:t xml:space="preserve">Strong explanatory power for collaborative exploration and assistant-role design, but less specific about which AI methods should implement each role beyond broad candidates (KG, NLP, ML, reasoning chains)</w:t>
            </w:r>
          </w:p>
        </w:tc>
      </w:tr>
      <w:tr>
        <w:tc>
          <w:tcPr/>
          <w:p>
            <w:pPr>
              <w:pStyle w:val="Compact"/>
            </w:pPr>
            <w:r>
              <w:t xml:space="preserve">Socio-technical design view</w:t>
            </w:r>
          </w:p>
        </w:tc>
        <w:tc>
          <w:tcPr/>
          <w:p>
            <w:pPr>
              <w:pStyle w:val="Compact"/>
            </w:pPr>
            <w:r>
              <w:t xml:space="preserve">Comparing traditional human-intensive design practice with AI-era “problem-solving loops” designed by humans and executed by AI engines</w:t>
            </w:r>
          </w:p>
        </w:tc>
        <w:tc>
          <w:tcPr/>
          <w:p>
            <w:pPr>
              <w:pStyle w:val="Compact"/>
            </w:pPr>
            <w:r>
              <w:t xml:space="preserve">How AI changes “design practice” by shifting humans toward designing the loops and foundations of offerings</w:t>
            </w:r>
          </w:p>
        </w:tc>
        <w:tc>
          <w:tcPr/>
          <w:p>
            <w:pPr>
              <w:pStyle w:val="Compact"/>
            </w:pPr>
            <w:r>
              <w:t xml:space="preserve">Captures organizational implications of AI-driven personalization loops, but is less specific to physical product engineering workflows than CAD/optimization-oriented frameworks</w:t>
            </w:r>
          </w:p>
        </w:tc>
      </w:tr>
    </w:tbl>
    <w:p>
      <w:pPr>
        <w:pStyle w:val="BodyText"/>
      </w:pPr>
      <w:r>
        <w:t xml:space="preserve">Two additional framework clusters shape the field’s conceptual vocabulary. First, “AIAD” for structural design is described as a process comprising data preparation, surrogate modeling, and design optimization, complemented by a taxonomy spanning multiple engineering domains (e.g., aerospace, automotive, topological). Second, some work formalizes design knowledge representations through established design theory, such as combining Axiomatic Design principles with NLP-based automation for identifying and structuring functional requirements and supporting virtual design assistant capabilities based on both human and machine intelligence.</w:t>
      </w:r>
    </w:p>
    <w:bookmarkEnd w:id="26"/>
    <w:bookmarkStart w:id="27" w:name="methodological-approaches"/>
    <w:p>
      <w:pPr>
        <w:pStyle w:val="Heading2"/>
      </w:pPr>
      <w:r>
        <w:t xml:space="preserve">Methodological Approaches</w:t>
      </w:r>
    </w:p>
    <w:p>
      <w:pPr>
        <w:pStyle w:val="FirstParagraph"/>
      </w:pPr>
      <w:r>
        <w:t xml:space="preserve">Across reviews and methods papers, deep learning and related data-driven methods are repeatedly emphasized as central to AI-in-design work, including claims that deep learning is the most commonly used AI-based method across design stages in surveyed engineering design literature. However, the literature also shows that the “AI in design” methods stack is typically hybrid, combining learning-based models with optimization strategies, knowledge representations, and process automation components that connect to CAD/CAE tools.</w:t>
      </w:r>
    </w:p>
    <w:p>
      <w:pPr>
        <w:pStyle w:val="BodyText"/>
      </w:pPr>
      <w:r>
        <w:t xml:space="preserve">Generative deep learning is prominent in both engineering topology contexts and product form/aesthetics contexts. Conditional GANs are used for constraint-conditioned topology generation from latent representations learned from classical topology optimization outcomes. Autoencoders are used to compress and reconstruct 3D representations (e.g., point clouds), supporting latent-space generation pipelines for product design objects. For aesthetics and market-facing product evaluation, probabilistic VAEs plus adversarial GAN components are trained on large-scale image datasets to generate controllable new automotive designs for design team consideration.</w:t>
      </w:r>
    </w:p>
    <w:p>
      <w:pPr>
        <w:pStyle w:val="BodyText"/>
      </w:pPr>
      <w:r>
        <w:t xml:space="preserve">Surrogate modeling and simulation acceleration form a second methodological pillar, particularly in engineering and multiphysics design where evaluation cost is dominant. AI-driven CAD frameworks explicitly combine generative neural networks with surrogate model-based multi-objective optimization and FEA evaluation, embedding learning models into CAD and simulation loops. Structural-design reviews similarly identify surrogate modeling and fast performance prediction as core to AI-assisted design, supporting generation and evaluation at reduced computational cost. In multiphysics fluid dynamics for product design engineering, reviews emphasize surrogate modeling and hybrid paradigms that combine physics-informed neural networks with CFD solvers to accelerate simulations and enable rapid iteration.</w:t>
      </w:r>
    </w:p>
    <w:p>
      <w:pPr>
        <w:pStyle w:val="BodyText"/>
      </w:pPr>
      <w:r>
        <w:t xml:space="preserve">Optimization and control methods appear both as traditional metaheuristics integrated into ML pipelines and as learning-driven optimization. Product design UX-oriented work proposes a hybrid framework combining PSO with deep reinforcement learning, integrating predictive modeling and recommendation systems to generate candidates and suggestions that humans use for refinement decisions. More generally, engineering design commentary from an ASME special issue highlights that many ML-for-design papers focus on assisting optimization and explore latent-variable methods (e.g., autoencoders) that treat optimization in low-dimensional manifolds.</w:t>
      </w:r>
    </w:p>
    <w:bookmarkEnd w:id="27"/>
    <w:bookmarkStart w:id="28" w:name="human-ai-interaction-patterns"/>
    <w:p>
      <w:pPr>
        <w:pStyle w:val="Heading2"/>
      </w:pPr>
      <w:r>
        <w:t xml:space="preserve">Human-AI Interaction Patterns</w:t>
      </w:r>
    </w:p>
    <w:p>
      <w:pPr>
        <w:pStyle w:val="FirstParagraph"/>
      </w:pPr>
      <w:r>
        <w:t xml:space="preserve">Across domains, the most common interaction pattern is augmentation rather than replacement: AI generates alternatives, predictions, or suggestions, and humans interpret, select, and refine, often explicitly described as “AI generates, human selects” and “human-in-the-loop.” This pattern is expressed in product ideation contexts (AI-generated prompts inspiring human sketching and prototyping) and in engineering contexts (AI-generated candidates and surrogate predictions supporting human decision-making under constraints).</w:t>
      </w:r>
    </w:p>
    <w:p>
      <w:pPr>
        <w:pStyle w:val="BodyText"/>
      </w:pPr>
      <w:r>
        <w:t xml:space="preserve">Within this broad consensus, the literature also articulates meaningful differences in</w:t>
      </w:r>
      <w:r>
        <w:t xml:space="preserve"> </w:t>
      </w:r>
      <w:r>
        <w:rPr>
          <w:i/>
          <w:iCs/>
        </w:rPr>
        <w:t xml:space="preserve">control allocation</w:t>
      </w:r>
      <w:r>
        <w:t xml:space="preserve"> </w:t>
      </w:r>
      <w:r>
        <w:t xml:space="preserve">and</w:t>
      </w:r>
      <w:r>
        <w:t xml:space="preserve"> </w:t>
      </w:r>
      <w:r>
        <w:rPr>
          <w:i/>
          <w:iCs/>
        </w:rPr>
        <w:t xml:space="preserve">interaction timing</w:t>
      </w:r>
      <w:r>
        <w:t xml:space="preserve">. Mixed-initiative accounts emphasize shared control and adaptive assistance, positioning co-creation systems as supporting human creativity rather than substituting it. Workshop findings suggest that continuous simultaneous AI participation can cause the AI to be experienced as a dominant partner (“bossy groupmate”), whereas delayed AI contributions can preserve a human-driven process with AI as an external expert resource, implying that collaboration design (synchronous vs asynchronous) changes creative dynamics even when using similar tools.</w:t>
      </w:r>
    </w:p>
    <w:p>
      <w:pPr>
        <w:pStyle w:val="BodyText"/>
      </w:pPr>
      <w:r>
        <w:t xml:space="preserve">A smaller set of frameworks formalizes interaction at the level of cognitive roles. In collaborative design space exploration, the human designer and cognitive assistant are modeled as intelligent agents, and assistant roles (Historian, Analyst, Explorer, Expert, Critic) are proposed alongside a human responsibility for setting goals and selecting among AI-suggested designs and critiques. In design-theory integration, Axiomatic Design combined with AI-based NLP aims to automate challenging steps such as extracting and structuring functional requirements, while still presenting the outcome as a virtual design assistant grounded in both human and machine intelligence.</w:t>
      </w:r>
    </w:p>
    <w:bookmarkEnd w:id="28"/>
    <w:bookmarkStart w:id="29" w:name="research-gaps-and-limitations"/>
    <w:p>
      <w:pPr>
        <w:pStyle w:val="Heading2"/>
      </w:pPr>
      <w:r>
        <w:t xml:space="preserve">Research Gaps and Limitations</w:t>
      </w:r>
    </w:p>
    <w:p>
      <w:pPr>
        <w:pStyle w:val="FirstParagraph"/>
      </w:pPr>
      <w:r>
        <w:t xml:space="preserve">Several gaps recur across the literature, but they are often framed as research “opportunities” rather than systematically measured deficiencies. A central limitation is the weak coupling between ML models and physics/engineering knowledge: commentary notes that many studies treat the problem and its physics as a “blackbox” and calls for stronger coupling between design and physics and for mathematically unifying engineering knowledge (physics-based models, ontologies, formal constraints, and human preferences) with ML models.</w:t>
      </w:r>
    </w:p>
    <w:p>
      <w:pPr>
        <w:pStyle w:val="BodyText"/>
      </w:pPr>
      <w:r>
        <w:t xml:space="preserve">A second gap concerns representation of human intent, aesthetics, and preferences in ways that are both computable and aligned with design practice. Engineering design education work explicitly notes that designers must define parameters and constraints and make trade-offs among generated options, and further that aesthetic requirements are difficult to encode because they depend on subjective perspectives. Complementing this, the ASME special issue editorial argues for blending human information and strategies into ML models and integrating cognitive and behavioral models of designers and teams.</w:t>
      </w:r>
    </w:p>
    <w:p>
      <w:pPr>
        <w:pStyle w:val="BodyText"/>
      </w:pPr>
      <w:r>
        <w:t xml:space="preserve">A third gap concerns transparency, trust, and method selection in applied design settings. Engineering design reviews report increased interest in explainable AI and emphasize that selecting the right AI method for the design problem is important for successful outcomes, indicating a need for decision guidance and interpretability when AI is used for high-stakes design choices.</w:t>
      </w:r>
    </w:p>
    <w:p>
      <w:pPr>
        <w:pStyle w:val="BodyText"/>
      </w:pPr>
      <w:r>
        <w:t xml:space="preserve">Finally, human–AI collaboration studies expose risks of agency loss and misaligned control. Co-design reviews emphasize preserving designers’ agency and call for future work that enhances stakeholder interaction and balances human-centric co-design principles with AI autonomy in adaptable systems responsive to real-time feedback. Tool-landscape analysis similarly argues that users should retain autonomy in deciding whether AI works with them or for them, implying that role negotiation and control settings are underdeveloped in many tools and workflows.</w:t>
      </w:r>
    </w:p>
    <w:bookmarkEnd w:id="29"/>
    <w:bookmarkStart w:id="30" w:name="future-research-directions"/>
    <w:p>
      <w:pPr>
        <w:pStyle w:val="Heading2"/>
      </w:pPr>
      <w:r>
        <w:t xml:space="preserve">Future Research Directions</w:t>
      </w:r>
    </w:p>
    <w:p>
      <w:pPr>
        <w:pStyle w:val="FirstParagraph"/>
      </w:pPr>
      <w:r>
        <w:t xml:space="preserve">A clear direction is to develop</w:t>
      </w:r>
      <w:r>
        <w:t xml:space="preserve"> </w:t>
      </w:r>
      <w:r>
        <w:rPr>
          <w:i/>
          <w:iCs/>
        </w:rPr>
        <w:t xml:space="preserve">physics- and knowledge-coupled</w:t>
      </w:r>
      <w:r>
        <w:t xml:space="preserve"> </w:t>
      </w:r>
      <w:r>
        <w:t xml:space="preserve">ML for engineering design by unifying ML with physics-based models, ontological models, formal logic/constraints, and human-gathered preferences, directly addressing the “blackbox physics” critique in the ML-for-design literature. In multiphysics domains, hybrid paradigms that combine PINNs with CFD solvers provide one concrete pathway for embedding physical structure into learning-based optimization and simulation acceleration, suggesting a testbed for generalizable physics-coupled design workflows.</w:t>
      </w:r>
    </w:p>
    <w:p>
      <w:pPr>
        <w:pStyle w:val="BodyText"/>
      </w:pPr>
      <w:r>
        <w:t xml:space="preserve">A second direction is to formalize</w:t>
      </w:r>
      <w:r>
        <w:t xml:space="preserve"> </w:t>
      </w:r>
      <w:r>
        <w:rPr>
          <w:i/>
          <w:iCs/>
        </w:rPr>
        <w:t xml:space="preserve">human preference and aesthetic judgment integration</w:t>
      </w:r>
      <w:r>
        <w:t xml:space="preserve"> </w:t>
      </w:r>
      <w:r>
        <w:t xml:space="preserve">in generative workflows, building on explicit evidence that aesthetics are hard to encode and that designers must make trade-offs among generated options. Human–machine hybrid modeling approaches for product aesthetics, which generate controllable variants for teams to consider, offer an applied starting point for research on controllability, preference learning, and human judgment augmentation at scale.</w:t>
      </w:r>
    </w:p>
    <w:p>
      <w:pPr>
        <w:pStyle w:val="BodyText"/>
      </w:pPr>
      <w:r>
        <w:t xml:space="preserve">A third direction is to advance</w:t>
      </w:r>
      <w:r>
        <w:t xml:space="preserve"> </w:t>
      </w:r>
      <w:r>
        <w:rPr>
          <w:i/>
          <w:iCs/>
        </w:rPr>
        <w:t xml:space="preserve">interaction design for co-creation</w:t>
      </w:r>
      <w:r>
        <w:t xml:space="preserve"> </w:t>
      </w:r>
      <w:r>
        <w:t xml:space="preserve">by treating collaboration timing, communication directionality, and role negotiation as first-class design variables. Empirical work comparing two-way AI-to-human communication versus human-to-AI-only interaction indicates that communication design changes collaborative experience, while workshop observations show that synchronous vs delayed AI participation shifts the perceived agency balance between AI-driven and human-driven creativity.</w:t>
      </w:r>
    </w:p>
    <w:p>
      <w:pPr>
        <w:pStyle w:val="BodyText"/>
      </w:pPr>
      <w:r>
        <w:t xml:space="preserve">A fourth direction is to strengthen</w:t>
      </w:r>
      <w:r>
        <w:t xml:space="preserve"> </w:t>
      </w:r>
      <w:r>
        <w:rPr>
          <w:i/>
          <w:iCs/>
        </w:rPr>
        <w:t xml:space="preserve">XAI and method-selection support</w:t>
      </w:r>
      <w:r>
        <w:t xml:space="preserve"> </w:t>
      </w:r>
      <w:r>
        <w:t xml:space="preserve">for designers, aligning with reviews that highlight growing interest in explainable AI and the importance of choosing appropriate AI methods for specific stages and tasks. Stage-based mapping frameworks already aim to support assessment and selection of methods by stage, and this can be extended into prescriptive tools for decision support and accountability in design practice.</w:t>
      </w:r>
    </w:p>
    <w:bookmarkEnd w:id="30"/>
    <w:bookmarkStart w:id="31" w:name="implications-for-practice"/>
    <w:p>
      <w:pPr>
        <w:pStyle w:val="Heading2"/>
      </w:pPr>
      <w:r>
        <w:t xml:space="preserve">Implications for Practice</w:t>
      </w:r>
    </w:p>
    <w:p>
      <w:pPr>
        <w:pStyle w:val="FirstParagraph"/>
      </w:pPr>
      <w:r>
        <w:t xml:space="preserve">For engineering and product design practitioners, the literature suggests that immediate value is most reliably realized when AI is embedded as an accelerator and generator within existing workflows, with explicit human oversight for selection, validation, and refinement. This is consistent with human-in-the-loop CAD frameworks where AI suggests optimized designs and humans review and provide feedback, as well as with optimization reviews that describe AI-driven surrogate modeling as enabling rapid iteration while humans interpret results and make decisions.</w:t>
      </w:r>
    </w:p>
    <w:p>
      <w:pPr>
        <w:pStyle w:val="BodyText"/>
      </w:pPr>
      <w:r>
        <w:t xml:space="preserve">For organizations building AI-enabled design capabilities, process-level frameworks imply that success depends on clearly defining where AI contributes (by design stage), and on building cross-functional collaboration between designers and data scientists around shared modules, terminology, and dependencies. This aligns with process-module frameworks intended to foster designer–data scientist collaboration and with stage-mapping reviews intended to support appropriate method selection and implementation within specific design stages.</w:t>
      </w:r>
    </w:p>
    <w:p>
      <w:pPr>
        <w:pStyle w:val="BodyText"/>
      </w:pPr>
      <w:r>
        <w:t xml:space="preserve">For design education and training, multiple sources imply that curricula should explicitly teach (i) how to set parameters and constraints for generative workflows, (ii) how to evaluate and trade off among many AI-generated options, and (iii) where human judgment remains essential because some requirements (notably aesthetics) are difficult to formalize. These needs are explicitly stated in generative design thinking work describing the designer’s role in parameter definition, trade-off decisions, and aesthetic judgment that cannot be easily encoded into algorithms.</w:t>
      </w:r>
    </w:p>
    <w:p>
      <w:pPr>
        <w:pStyle w:val="BodyText"/>
      </w:pPr>
      <w:r>
        <w:t xml:space="preserve">For teams adopting co-creative ideation tools, the interaction-design literature implies that workflow choices (continuous vs delayed AI collaboration; user control over AI role) can materially change creative dynamics and perceived agency. Practitioners should therefore treat configuration of collaboration timing and control as part of the design process, consistent with evidence about “bossy groupmate” versus “external expert” roles and with recommendations that users retain autonomy over whether AI works with or for them.</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2026-02-11T18:35:46Z</dcterms:created>
  <dcterms:modified xsi:type="dcterms:W3CDTF">2026-02-11T18:35:46Z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