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fe671218dc0af6c2335676d79021e83fe3f51a2"/>
    <w:p>
      <w:pPr>
        <w:pStyle w:val="Heading1"/>
      </w:pPr>
      <w:r>
        <w:t xml:space="preserve">Critical Synthesis of Digital Platforms and Configurable Systems for User Participation and Personalization in Product Development</w:t>
      </w:r>
    </w:p>
    <w:bookmarkStart w:id="20" w:name="executive-summary"/>
    <w:p>
      <w:pPr>
        <w:pStyle w:val="Heading2"/>
      </w:pPr>
      <w:r>
        <w:t xml:space="preserve">Executive Summary</w:t>
      </w:r>
    </w:p>
    <w:p>
      <w:pPr>
        <w:pStyle w:val="FirstParagraph"/>
      </w:pPr>
      <w:r>
        <w:t xml:space="preserve">Across the reviewed literature, configurable systems for personalized outcomes cluster into three interacting layers: (1) conceptual frameworks that legitimise and structure participation and end-user development, (2) digital configurators and modular architectures that bound what can be customised, and (3) participatory workflows (often remote) that translate lived experience into requirements, prototypes, and iterated designs.</w:t>
      </w:r>
    </w:p>
    <w:p>
      <w:pPr>
        <w:pStyle w:val="BodyText"/>
      </w:pPr>
      <w:r>
        <w:t xml:space="preserve">Healthcare and assistive technology contexts particularly foreground the “universe of one” nature of needs, where personalization is not merely a market differentiator but a functional necessity for safety, usability, and sustained adoption. Studies in rehabilitation and assistive-device services repeatedly position participation as both a design requirement and a potential contributor to wellbeing, reporting satisfaction with co-designed devices and broader physical/mental health benefits alongside the practical feasibility of participatory models.</w:t>
      </w:r>
    </w:p>
    <w:p>
      <w:pPr>
        <w:pStyle w:val="BodyText"/>
      </w:pPr>
      <w:r>
        <w:t xml:space="preserve">A recurring implication is that technology alone is insufficient: effective personalization depends on socio-technical infrastructure such as governance for ongoing participation, clinician/designer mediation, and mechanisms to manage workload, accountability, and communication gaps between stakeholders.</w:t>
      </w:r>
    </w:p>
    <w:bookmarkEnd w:id="20"/>
    <w:bookmarkStart w:id="24" w:name="conceptual-foundations"/>
    <w:p>
      <w:pPr>
        <w:pStyle w:val="Heading2"/>
      </w:pPr>
      <w:r>
        <w:t xml:space="preserve">Conceptual foundations</w:t>
      </w:r>
    </w:p>
    <w:bookmarkStart w:id="21" w:name="toolkits-and-mass-customization"/>
    <w:p>
      <w:pPr>
        <w:pStyle w:val="Heading3"/>
      </w:pPr>
      <w:r>
        <w:t xml:space="preserve">Toolkits and mass customization</w:t>
      </w:r>
    </w:p>
    <w:p>
      <w:pPr>
        <w:pStyle w:val="FirstParagraph"/>
      </w:pPr>
      <w:r>
        <w:t xml:space="preserve">The “toolkits for user innovation” tradition frames configurable systems as coordinated, user-friendly design tools that move need-related design work to users while manufacturers focus on solution-related tasks, enabling iterative design-test-improve cycles in users’ own environments and representations. Within this view, product configurators are related but typically less capable than toolkits, making the distinction between “selecting options” and “designing within a constrained workspace” central to how participation is conceptualised. Empirical evidence from heterogeneous-needs contexts supports the premise that user-driven modification can yield higher satisfaction, with dissatisfaction under standard offerings motivating customization and “toolkit” support being hypothesised as a satisfier under such heterogeneity.</w:t>
      </w:r>
    </w:p>
    <w:p>
      <w:pPr>
        <w:pStyle w:val="BodyText"/>
      </w:pPr>
      <w:r>
        <w:t xml:space="preserve">Mass-customization work on online configurators complements the toolkit perspective by focusing on customer co-creation experience and failure modes (e.g., frequent failures in sales conversion) rather than on the deeper “users-as-designers” capabilities emphasised in toolkit theory. In this stream, customer experience is described through factors such as design freedom, information quality, product visualization, trust, and individual differences, sharpening the question of how much configurability is beneficial before cognitive burden or perceived risk undermines engagement.</w:t>
      </w:r>
    </w:p>
    <w:bookmarkEnd w:id="21"/>
    <w:bookmarkStart w:id="22" w:name="meta-design-and-end-user-development"/>
    <w:p>
      <w:pPr>
        <w:pStyle w:val="Heading3"/>
      </w:pPr>
      <w:r>
        <w:t xml:space="preserve">Meta-design and end-user development</w:t>
      </w:r>
    </w:p>
    <w:p>
      <w:pPr>
        <w:pStyle w:val="FirstParagraph"/>
      </w:pPr>
      <w:r>
        <w:t xml:space="preserve">Meta-design explicitly targets use-time participation by setting social and technical conditions that allow end users to become co-designers of digital artifacts rather than mere consumers, thereby extending participatory design into ongoing system evolution. The Seeding, Evolutionary Growth, and Reseeding (SER) model formalises this orientation by describing systems as “seeds” that evolve through end-user development punctuated by developer-initiated restructuring, making change over time a design assumption rather than an exception. Meta-design is also explicitly framed as putting “owners of problems” in charge via conditions for broad participation, while recognising “participation overload” as a major risk requiring improved supports such as rich seeds, reuse, redesign, and remixing.</w:t>
      </w:r>
    </w:p>
    <w:p>
      <w:pPr>
        <w:pStyle w:val="BodyText"/>
      </w:pPr>
      <w:r>
        <w:t xml:space="preserve">The Software Shaping Workshop (SSW) line operationalises meta-design as a “virtual workshop” of familiar tools tailored to an end-user community’s culture and skills, aiming to transfer responsibility for system evolution to domain experts while bridging communication gaps among stakeholders. In assistive and rehabilitation contexts, this logic is echoed in examples where caregivers and therapists are given editor-like control to modify prompting scripts or create/modify exercises, directly addressing personalization by enabling non-programmer adaptation of socio-technical supports.</w:t>
      </w:r>
    </w:p>
    <w:bookmarkEnd w:id="22"/>
    <w:bookmarkStart w:id="23" w:name="X0aec73b867c91c04ddafef52651b79d14f9a7bf"/>
    <w:p>
      <w:pPr>
        <w:pStyle w:val="Heading3"/>
      </w:pPr>
      <w:r>
        <w:t xml:space="preserve">Participatory design and participation configuration</w:t>
      </w:r>
    </w:p>
    <w:p>
      <w:pPr>
        <w:pStyle w:val="FirstParagraph"/>
      </w:pPr>
      <w:r>
        <w:t xml:space="preserve">Applied participatory design in healthcare and assistive technology often emphasises collaboration and iterative feedback loops, for example defining co-design as including end users through collaboration with designers and iterating based on user feedback. A complementary, higher-level framing is offered by participation-configuration research in living labs, which proposes a “Participation Blueprint” to configure “points of participation” and help practitioners reflect on the appropriateness and diversity of a planned participation process across stages and methods (including online forms).</w:t>
      </w:r>
    </w:p>
    <w:bookmarkEnd w:id="23"/>
    <w:bookmarkEnd w:id="24"/>
    <w:bookmarkStart w:id="25" w:name="personalization-methods"/>
    <w:p>
      <w:pPr>
        <w:pStyle w:val="Heading2"/>
      </w:pPr>
      <w:r>
        <w:t xml:space="preserve">Personalization methods</w:t>
      </w:r>
    </w:p>
    <w:p>
      <w:pPr>
        <w:pStyle w:val="FirstParagraph"/>
      </w:pPr>
      <w:r>
        <w:t xml:space="preserve">The studies collectively show that personalization is implemented through a small set of recurring mechanisms that differ in who configures, what is configurable, and when configuration happens (design time vs use time). The table below summarises the taxonomy used in this synthesis and anchors each mechanism to representative evidence from the reviewed sources.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Personalization mechanism</w:t>
            </w:r>
          </w:p>
        </w:tc>
        <w:tc>
          <w:tcPr/>
          <w:p>
            <w:pPr>
              <w:pStyle w:val="Compact"/>
            </w:pPr>
            <w:r>
              <w:t xml:space="preserve">What changes</w:t>
            </w:r>
          </w:p>
        </w:tc>
        <w:tc>
          <w:tcPr/>
          <w:p>
            <w:pPr>
              <w:pStyle w:val="Compact"/>
            </w:pPr>
            <w:r>
              <w:t xml:space="preserve">Typical user role</w:t>
            </w:r>
          </w:p>
        </w:tc>
        <w:tc>
          <w:tcPr/>
          <w:p>
            <w:pPr>
              <w:pStyle w:val="Compact"/>
            </w:pPr>
            <w:r>
              <w:t xml:space="preserve">Representative evidence</w:t>
            </w:r>
          </w:p>
        </w:tc>
      </w:tr>
      <w:tr>
        <w:tc>
          <w:tcPr/>
          <w:p>
            <w:pPr>
              <w:pStyle w:val="Compact"/>
            </w:pPr>
            <w:r>
              <w:t xml:space="preserve">Modular component selection</w:t>
            </w:r>
          </w:p>
        </w:tc>
        <w:tc>
          <w:tcPr/>
          <w:p>
            <w:pPr>
              <w:pStyle w:val="Compact"/>
            </w:pPr>
            <w:r>
              <w:t xml:space="preserve">Users (or intermediaries) choose and combine modules to form a pathway or product</w:t>
            </w:r>
          </w:p>
        </w:tc>
        <w:tc>
          <w:tcPr/>
          <w:p>
            <w:pPr>
              <w:pStyle w:val="Compact"/>
            </w:pPr>
            <w:r>
              <w:t xml:space="preserve">Choice among building blocks</w:t>
            </w:r>
          </w:p>
        </w:tc>
        <w:tc>
          <w:tcPr/>
          <w:p>
            <w:pPr>
              <w:pStyle w:val="Compact"/>
            </w:pPr>
            <w:r>
              <w:t xml:space="preserve">Modular oncology pathways composed from selected service modules to form a persona-specific pathway; prosthetic systems customised by selecting among many components (terminal devices, wrists, sockets, harness components)</w:t>
            </w:r>
          </w:p>
        </w:tc>
      </w:tr>
      <w:tr>
        <w:tc>
          <w:tcPr/>
          <w:p>
            <w:pPr>
              <w:pStyle w:val="Compact"/>
            </w:pPr>
            <w:r>
              <w:t xml:space="preserve">Parametric configuration</w:t>
            </w:r>
          </w:p>
        </w:tc>
        <w:tc>
          <w:tcPr/>
          <w:p>
            <w:pPr>
              <w:pStyle w:val="Compact"/>
            </w:pPr>
            <w:r>
              <w:t xml:space="preserve">Parameters drive automatic generation of design artifacts</w:t>
            </w:r>
          </w:p>
        </w:tc>
        <w:tc>
          <w:tcPr/>
          <w:p>
            <w:pPr>
              <w:pStyle w:val="Compact"/>
            </w:pPr>
            <w:r>
              <w:t xml:space="preserve">Provide inputs to parameter space</w:t>
            </w:r>
          </w:p>
        </w:tc>
        <w:tc>
          <w:tcPr/>
          <w:p>
            <w:pPr>
              <w:pStyle w:val="Compact"/>
            </w:pPr>
            <w:r>
              <w:t xml:space="preserve">Digital-twin wearable approach where user parameters are input/extracted and used to generate CAD files via cloud for personalization workflows; medical-device family method using virtual segmentation and individualised attributes such as braid angle and segment length per customer</w:t>
            </w:r>
          </w:p>
        </w:tc>
      </w:tr>
      <w:tr>
        <w:tc>
          <w:tcPr/>
          <w:p>
            <w:pPr>
              <w:pStyle w:val="Compact"/>
            </w:pPr>
            <w:r>
              <w:t xml:space="preserve">Collaborative co-design sessions</w:t>
            </w:r>
          </w:p>
        </w:tc>
        <w:tc>
          <w:tcPr/>
          <w:p>
            <w:pPr>
              <w:pStyle w:val="Compact"/>
            </w:pPr>
            <w:r>
              <w:t xml:space="preserve">Requirements and concepts co-produced through workshops/interviews</w:t>
            </w:r>
          </w:p>
        </w:tc>
        <w:tc>
          <w:tcPr/>
          <w:p>
            <w:pPr>
              <w:pStyle w:val="Compact"/>
            </w:pPr>
            <w:r>
              <w:t xml:space="preserve">Co-designer giving situated feedback</w:t>
            </w:r>
          </w:p>
        </w:tc>
        <w:tc>
          <w:tcPr/>
          <w:p>
            <w:pPr>
              <w:pStyle w:val="Compact"/>
            </w:pPr>
            <w:r>
              <w:t xml:space="preserve">Pediatric prosthesis design using focus groups/interviews and iterative prototyping within a child-stakeholder methodology (BRIDGE); co-design workshops in Uganda enabling users to input as designs evolved and clarifying which design elements are integral for acceptability</w:t>
            </w:r>
          </w:p>
        </w:tc>
      </w:tr>
      <w:tr>
        <w:tc>
          <w:tcPr/>
          <w:p>
            <w:pPr>
              <w:pStyle w:val="Compact"/>
            </w:pPr>
            <w:r>
              <w:t xml:space="preserve">Toolkit and editor-based tailoring</w:t>
            </w:r>
          </w:p>
        </w:tc>
        <w:tc>
          <w:tcPr/>
          <w:p>
            <w:pPr>
              <w:pStyle w:val="Compact"/>
            </w:pPr>
            <w:r>
              <w:t xml:space="preserve">Users edit content/scripts/exercises or interface details</w:t>
            </w:r>
          </w:p>
        </w:tc>
        <w:tc>
          <w:tcPr/>
          <w:p>
            <w:pPr>
              <w:pStyle w:val="Compact"/>
            </w:pPr>
            <w:r>
              <w:t xml:space="preserve">Use-time “author” of content and structure</w:t>
            </w:r>
          </w:p>
        </w:tc>
        <w:tc>
          <w:tcPr/>
          <w:p>
            <w:pPr>
              <w:pStyle w:val="Compact"/>
            </w:pPr>
            <w:r>
              <w:t xml:space="preserve">Meta-design examples that provide caregivers an editor to edit/store/reuse multimedia scripts and provide therapists tools to create/modify rehab exercises; patient-centered design enabling users to guide interface details and strip functionality to session needs</w:t>
            </w:r>
          </w:p>
        </w:tc>
      </w:tr>
      <w:tr>
        <w:tc>
          <w:tcPr/>
          <w:p>
            <w:pPr>
              <w:pStyle w:val="Compact"/>
            </w:pPr>
            <w:r>
              <w:t xml:space="preserve">Digital fabrication and remote co-making</w:t>
            </w:r>
          </w:p>
        </w:tc>
        <w:tc>
          <w:tcPr/>
          <w:p>
            <w:pPr>
              <w:pStyle w:val="Compact"/>
            </w:pPr>
            <w:r>
              <w:t xml:space="preserve">Personalised artifacts produced through digitally mediated prototyping and fabrication</w:t>
            </w:r>
          </w:p>
        </w:tc>
        <w:tc>
          <w:tcPr/>
          <w:p>
            <w:pPr>
              <w:pStyle w:val="Compact"/>
            </w:pPr>
            <w:r>
              <w:t xml:space="preserve">Co-maker (often with clinician/designer)</w:t>
            </w:r>
          </w:p>
        </w:tc>
        <w:tc>
          <w:tcPr/>
          <w:p>
            <w:pPr>
              <w:pStyle w:val="Compact"/>
            </w:pPr>
            <w:r>
              <w:t xml:space="preserve">Videoconference-centered workflow for co-manufacturing a custom spoon handle from design to final 3D printing; assistive-device service creating functional prototypes via CAD and additive manufacturing and posting them to participants for trial</w:t>
            </w:r>
          </w:p>
        </w:tc>
      </w:tr>
    </w:tbl>
    <w:p>
      <w:pPr>
        <w:pStyle w:val="BodyText"/>
      </w:pPr>
      <w:r>
        <w:t xml:space="preserve">In healthcare and assistive technology, modularity is repeatedly leveraged to reconcile personalization with reuse, whether in service design (reusing modules across patient pathways) or in device ecosystems (interchangeable prosthetic components and modular wearable accessories). Parametric approaches appear most strongly where personalization depends on measured bodies or behaviours (e.g., motion data, anatomical geometry), motivating pipelines that translate user parameters into CAD and other design representations.</w:t>
      </w:r>
    </w:p>
    <w:bookmarkEnd w:id="25"/>
    <w:bookmarkStart w:id="30" w:name="healthcare-and-assistive-applications"/>
    <w:p>
      <w:pPr>
        <w:pStyle w:val="Heading2"/>
      </w:pPr>
      <w:r>
        <w:t xml:space="preserve">Healthcare and assistive applications</w:t>
      </w:r>
    </w:p>
    <w:bookmarkStart w:id="26" w:name="X24ee61bf725cd2ea848379010e83d441f57bf8a"/>
    <w:p>
      <w:pPr>
        <w:pStyle w:val="Heading3"/>
      </w:pPr>
      <w:r>
        <w:t xml:space="preserve">Wearables and sensing for personalised healthcare</w:t>
      </w:r>
    </w:p>
    <w:p>
      <w:pPr>
        <w:pStyle w:val="FirstParagraph"/>
      </w:pPr>
      <w:r>
        <w:t xml:space="preserve">Digital-twin approaches are presented as personalised service systems spanning the product lifecycle and connecting participants through cloud services, with wearable medical devices used as demonstrators for personalised healthcare and long-term care contexts. In the cited digital-twin wearable case, user motion parameters and movement patterns are identified, and performance metrics show high correlation in rehabilitation training but lower correlation in more complex wheelchair scenarios, signalling a meaningful gap between controlled modelling and messy real-world movement. The same work explicitly positions digital twins as a feasible route toward personalised medicine, linking personalization to IoT, big data, and AI as enabling conditions rather than only as interface features.</w:t>
      </w:r>
    </w:p>
    <w:p>
      <w:pPr>
        <w:pStyle w:val="BodyText"/>
      </w:pPr>
      <w:r>
        <w:t xml:space="preserve">A contrasting but complementary approach is a modular wearable ecosystem for Type 1 diabetes monitoring, where interactive physical modules and accessories can be assembled into different worn forms (wrist, finger, ear, neck) with different feedback modalities (visual, audio, haptic). Findings from the DiaFit prototype evaluation emphasise that individual experiences shape device choices and adoption, and that flexible, situational use motivates customization and DIY implications for how such wearable devices should be designed and evaluated.</w:t>
      </w:r>
    </w:p>
    <w:bookmarkEnd w:id="26"/>
    <w:bookmarkStart w:id="27" w:name="Xbc7f907056bffa73db5f53c85d51551fb6a2700"/>
    <w:p>
      <w:pPr>
        <w:pStyle w:val="Heading3"/>
      </w:pPr>
      <w:r>
        <w:t xml:space="preserve">Rehabilitation platforms and therapy configuration</w:t>
      </w:r>
    </w:p>
    <w:p>
      <w:pPr>
        <w:pStyle w:val="FirstParagraph"/>
      </w:pPr>
      <w:r>
        <w:t xml:space="preserve">Rehabilitation personalisation is also operationalised through digital platforms that configure activities based on clinical status and clinician indications, such as a virtual-coaching platform that provides personalised rehabilitation treatments through packages of serious games with specific objectives in a VR environment. The reported evaluation notes positive user experience across UEQ domains and high usability scores for the overall system, tying participatory activities to the goal of ensuring the release aligns with user expectations.</w:t>
      </w:r>
    </w:p>
    <w:p>
      <w:pPr>
        <w:pStyle w:val="BodyText"/>
      </w:pPr>
      <w:r>
        <w:t xml:space="preserve">In parallel, rehabilitation-centre models describe structured programmes (e.g., an eight-week holistic programme delivered through commercial and prototype technology) as contexts where co-creation processes generate new technologies, accessibility modifications, and co-created protocols informed by feasibility and impact data. This co-creation framing explicitly integrates established design-process models (e.g., Double Diamond) and complex-intervention frameworks (e.g., MRC) as scaffolds for participatory development of rehabilitation technologies.</w:t>
      </w:r>
    </w:p>
    <w:bookmarkEnd w:id="27"/>
    <w:bookmarkStart w:id="28" w:name="prosthetics-and-assistive-devices"/>
    <w:p>
      <w:pPr>
        <w:pStyle w:val="Heading3"/>
      </w:pPr>
      <w:r>
        <w:t xml:space="preserve">Prosthetics and assistive devices</w:t>
      </w:r>
    </w:p>
    <w:p>
      <w:pPr>
        <w:pStyle w:val="FirstParagraph"/>
      </w:pPr>
      <w:r>
        <w:t xml:space="preserve">Several studies show participation coupled to modularity in prosthetics, with pediatric prosthesis prototypes explicitly fabricated to work within a modular system to enable task-specific choice (e.g., adjustable wrist units), and qualitative methods used to elicit improvement areas from children/adolescents and other stakeholders. Recommendations emerging from this participatory work prioritise ease of use, versatility, appearance, and safety, illustrating how customization goals are negotiated against practical adoption constraints in daily life.</w:t>
      </w:r>
    </w:p>
    <w:p>
      <w:pPr>
        <w:pStyle w:val="BodyText"/>
      </w:pPr>
      <w:r>
        <w:t xml:space="preserve">In LMIC prosthetics design, co-design is positioned as logistically essential (through Patient and Public Involvement and Engagement) and is supported by structured choice methods, with local participation described as providing rich feedback on what is integral for acceptable solutions in Uganda. Critically, the same work argues that while 3D printing has potential for prosthetics in low- and middle-income countries, the technology alone is not sufficient to benefit users, foregrounding infrastructure, process, and trust as necessary complements to fabrication capability.</w:t>
      </w:r>
    </w:p>
    <w:p>
      <w:pPr>
        <w:pStyle w:val="BodyText"/>
      </w:pPr>
      <w:r>
        <w:t xml:space="preserve">Service-delivery models further extend the “platform” notion beyond a single tool to organisational infrastructure, as in the Victoria Hand Project’s clinician-facing software workflow integrating 3D CAD for socket creation, supporting modular component selection, and enabling central design updates to be pushed as digital files to distributed partners based on partner-shared patient feedback. This positioning makes “configurability” not only a product feature but a distributed learning loop between clinics and central engineering that operationalises co-evolution across sites.</w:t>
      </w:r>
    </w:p>
    <w:bookmarkEnd w:id="28"/>
    <w:bookmarkStart w:id="29" w:name="pharmaceutical-modularity"/>
    <w:p>
      <w:pPr>
        <w:pStyle w:val="Heading3"/>
      </w:pPr>
      <w:r>
        <w:t xml:space="preserve">Pharmaceutical modularity</w:t>
      </w:r>
    </w:p>
    <w:p>
      <w:pPr>
        <w:pStyle w:val="FirstParagraph"/>
      </w:pPr>
      <w:r>
        <w:t xml:space="preserve">Personalization-by-modularity also appears in pharmaceuticals through modular architectures for solid oral dosage forms, where reconfigurable assembly of module variants is used to increase variety and support individualized pharmaceutical therapy framed as mass customization/mass personalization. The reported results show that a small set of module variants can generate multiple release profiles, and that dose and release kinetics can be predicted as net effects of constituent modules, supporting the claim that modular design can scale personalization without needing a bespoke redesign for every patient profile.</w:t>
      </w:r>
    </w:p>
    <w:bookmarkEnd w:id="29"/>
    <w:bookmarkEnd w:id="30"/>
    <w:bookmarkStart w:id="31" w:name="user-participation"/>
    <w:p>
      <w:pPr>
        <w:pStyle w:val="Heading2"/>
      </w:pPr>
      <w:r>
        <w:t xml:space="preserve">User participation</w:t>
      </w:r>
    </w:p>
    <w:p>
      <w:pPr>
        <w:pStyle w:val="FirstParagraph"/>
      </w:pPr>
      <w:r>
        <w:t xml:space="preserve">The reviewed studies operationalise participation on a spectrum from relatively bounded configuration to sustained co-creation and use-time redesign, and they offer concrete mechanisms for moving along that spectrum. At the more bounded end, mass-customization configurators treat user involvement as online co-creation through product configurators, where experience factors like design freedom and visualization shape satisfaction, and over-complexity can contribute to poor conversion outcomes.</w:t>
      </w:r>
    </w:p>
    <w:p>
      <w:pPr>
        <w:pStyle w:val="BodyText"/>
      </w:pPr>
      <w:r>
        <w:t xml:space="preserve">At the co-design end, participatory approaches in assistive technology explicitly define co-design as including end users through collaboration and iterative feedback, with evaluations reporting that participants liked being involved and that their feedback helped ensure devices were customised to their needs. Case-based evidence from rehabilitation engineering services similarly reports participant satisfaction with both devices and service, and suggests broader wellbeing benefits from bespoke devices, indicating that deeper participation can be experienced as valuable in its own right rather than merely as an efficiency tactic.</w:t>
      </w:r>
    </w:p>
    <w:p>
      <w:pPr>
        <w:pStyle w:val="BodyText"/>
      </w:pPr>
      <w:r>
        <w:t xml:space="preserve">At the most sustained end, meta-design explicitly positions end users as co-designers “at use time,” and SER provides a model for alternating end-user-driven evolution with developer-driven reseeding, implying that participation is not a one-off workshop but an ongoing governance and tooling challenge. However, the same meta-design literature flags participation overload and tension between standardisation and improvisation, indicating that deeper participation must be carefully designed to avoid shifting excessive burden onto end users or creating incoherent system evolution.</w:t>
      </w:r>
    </w:p>
    <w:bookmarkEnd w:id="31"/>
    <w:bookmarkStart w:id="32" w:name="enabling-technologies"/>
    <w:p>
      <w:pPr>
        <w:pStyle w:val="Heading2"/>
      </w:pPr>
      <w:r>
        <w:t xml:space="preserve">Enabling technologies</w:t>
      </w:r>
    </w:p>
    <w:p>
      <w:pPr>
        <w:pStyle w:val="FirstParagraph"/>
      </w:pPr>
      <w:r>
        <w:t xml:space="preserve">Digital infrastructures in these studies frequently serve as translation layers between user input and personalised outcomes, rather than being treated as ends in themselves. Cloud-based coupling of user parameters to CAD generation is used to connect participants across a product cycle in digital-twin-enabled personalisation, explicitly linking personalisation claims to IoT/big data/AI and to cloud-mediated connectivity between stakeholders.</w:t>
      </w:r>
    </w:p>
    <w:p>
      <w:pPr>
        <w:pStyle w:val="BodyText"/>
      </w:pPr>
      <w:r>
        <w:t xml:space="preserve">Remote participation is repeatedly supported through videoconferencing and online workshops, including telerehabilitation delivery combining software and videoconferencing for home treatment, virtual meetings empowering geographically dispersed communities to co-develop products based on lived experience, and videoconference-centred co-manufacturing workflows spanning design through 3D printing. These infrastructures are not presented as neutral, because open and distributed production models report practical barriers such as accountability and participant drop-off after ideation, implying that “platform” design must include governance features and expectation management to sustain participation over time.</w:t>
      </w:r>
    </w:p>
    <w:p>
      <w:pPr>
        <w:pStyle w:val="BodyText"/>
      </w:pPr>
      <w:r>
        <w:t xml:space="preserve">When fabrication technologies are present, they are typically framed as enablers of rapid iteration and bespoke fit rather than as the primary research contribution, as in participatory prosthesis prototyping using 3D printing, assistive-device services using CAD and additive manufacturing, and exoskeleton personalization pipelines combining scanning, printing, reverse engineering and AI with patient-tailored template approaches.</w:t>
      </w:r>
    </w:p>
    <w:bookmarkEnd w:id="32"/>
    <w:bookmarkStart w:id="33" w:name="research-gaps-and-limitations"/>
    <w:p>
      <w:pPr>
        <w:pStyle w:val="Heading2"/>
      </w:pPr>
      <w:r>
        <w:t xml:space="preserve">Research gaps and limitations</w:t>
      </w:r>
    </w:p>
    <w:p>
      <w:pPr>
        <w:pStyle w:val="FirstParagraph"/>
      </w:pPr>
      <w:r>
        <w:t xml:space="preserve">Methodologically, many applied healthcare and assistive studies rely on small samples or case-study demonstrations, such as co-creation workflows showcased with two participants or service evaluations reporting three case studies, which constrains generalisability even when feasibility and satisfaction signals are positive. Even where quantitative indicators are reported, they can reveal boundary conditions (e.g., model fitting challenges in complex motion scenarios despite strong correlations in simpler rehabilitation contexts), indicating that personalization pipelines may degrade under real-world variability that matters clinically.</w:t>
      </w:r>
    </w:p>
    <w:p>
      <w:pPr>
        <w:pStyle w:val="BodyText"/>
      </w:pPr>
      <w:r>
        <w:t xml:space="preserve">A second gap concerns sustainability of participation: meta-design identifies participation overload as a serious problem and an area needing improved methods, and open value network case studies describe accountability as a primary cause of delays because participants can stop contributing at any time. A related tension appears between the desire for standardisation (for safety, quality, and scalability) and the need for improvisation (to meet idiosyncratic needs), which meta-design literature explicitly names as a pitfall and which assistive-device contexts implicitly face when bespoke adaptations must still remain safe and maintainable.</w:t>
      </w:r>
    </w:p>
    <w:p>
      <w:pPr>
        <w:pStyle w:val="BodyText"/>
      </w:pPr>
      <w:r>
        <w:t xml:space="preserve">A third gap is adoption and value realisation: mass-customization research highlights that configurators frequently fail in sales conversion and that startups face substantial early failure rates, suggesting that configurability alone does not guarantee viable user experience or market fit. In health and assistive domains, a parallel adoption risk is expressed as “technology alone is not sufficient,” particularly in LMIC prosthetics where fabrication capability must be embedded in broader support systems to yield user benefit.</w:t>
      </w:r>
    </w:p>
    <w:bookmarkEnd w:id="33"/>
    <w:bookmarkStart w:id="34" w:name="implications-for-practice"/>
    <w:p>
      <w:pPr>
        <w:pStyle w:val="Heading2"/>
      </w:pPr>
      <w:r>
        <w:t xml:space="preserve">Implications for practice</w:t>
      </w:r>
    </w:p>
    <w:p>
      <w:pPr>
        <w:pStyle w:val="FirstParagraph"/>
      </w:pPr>
      <w:r>
        <w:t xml:space="preserve">For designers of configurable systems, the evidence suggests that choosing a personalization mechanism should be aligned to the locus of expertise: modular selection works when needs can be expressed as combinations of known modules, while parametric configuration is better suited to cases where measurable attributes (motion, anatomy) can be reliably mapped to design variables and generated artifacts (e.g., CAD). Where deeper participation is desired, meta-design and SSW imply that design should invest in “workshop” environments that reflect users’ language and skills and explicitly support iterative evolution, but also in workload-management strategies to prevent participation overload.</w:t>
      </w:r>
    </w:p>
    <w:p>
      <w:pPr>
        <w:pStyle w:val="BodyText"/>
      </w:pPr>
      <w:r>
        <w:t xml:space="preserve">For healthcare and assistive-technology practitioners, the studies suggest that participatory approaches can be integrated into service pathways through structured co-design and iterative prototyping, with reports that participants valued involvement and that devices and services were satisfactory and beneficial to wellbeing. Clinically, platforms that configure rehabilitation content based on clinical status and clinician indications can combine personalization with standardised packages (e.g., serious game packages with precise objectives), but participatory activities remain important to maintain alignment with expectations and usability over time.</w:t>
      </w:r>
    </w:p>
    <w:p>
      <w:pPr>
        <w:pStyle w:val="BodyText"/>
      </w:pPr>
      <w:r>
        <w:t xml:space="preserve">For organisations implementing participation at scale, distributed models highlight the importance of governance and accountability mechanisms, because open participation can lead to drop-offs and delays without clear criteria for objectives and expectations. Operationally, the VHP example indicates that coupling local clinical feedback to centrally tested design updates distributed as digital files can support learning loops, but it also surfaces challenges such as quality control and the learning curve of digital 3D workflows that organisations must plan for in capability-building.</w:t>
      </w:r>
    </w:p>
    <w:bookmarkEnd w:id="34"/>
    <w:bookmarkStart w:id="35" w:name="future-research-directions"/>
    <w:p>
      <w:pPr>
        <w:pStyle w:val="Heading2"/>
      </w:pPr>
      <w:r>
        <w:t xml:space="preserve">Future research directions</w:t>
      </w:r>
    </w:p>
    <w:p>
      <w:pPr>
        <w:pStyle w:val="FirstParagraph"/>
      </w:pPr>
      <w:r>
        <w:t xml:space="preserve">Future research should more explicitly test how different participation configurations (e.g., blueprinting participation points across phases and methods) affect outcomes such as adoption, usability, and sustained engagement, building on the Participation Blueprint’s aim to help practitioners reflect on process diversity and appropriateness. Longitudinal work is particularly needed to evaluate meta-design’s SER premise in healthcare and assistive contexts, examining how systems evolve across cycles of end-user development and reseeding and how tension between standardisation and improvisation plays out in safety-critical domains.</w:t>
      </w:r>
    </w:p>
    <w:p>
      <w:pPr>
        <w:pStyle w:val="BodyText"/>
      </w:pPr>
      <w:r>
        <w:t xml:space="preserve">Methodologically, comparative studies could examine when modular architectures outperform parametric approaches (or hybridise effectively) in producing “precisely right” solutions under heterogeneous needs, extending toolkit theory’s task-partitioning claims into regulated and clinician-mediated settings. Finally, the repeated finding that technology alone is insufficient suggests that intervention research should treat governance, training, and service-delivery models as core design variables, not externalities, especially for distributed fabrication and LMIC deployment where trust and infrastructure shape whether personalization yields real benefit.</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2026-02-11T18:40:43Z</dcterms:created>
  <dcterms:modified xsi:type="dcterms:W3CDTF">2026-02-11T18:40:43Z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