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Título do Projeto: INTEGRAÇÃO DO DESIGN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Designação do Curso de Mestrado: Mestrado em Design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Palavras-chave: design industrial; próteses de membro superior; design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3DP – 3D Printing; impressão 3D.</w:t>
      </w:r>
    </w:p>
    <w:p>
      <w:pPr>
        <w:pStyle w:val="TextoNormal-IPCA"/>
        <w:rPr/>
      </w:pPr>
      <w:r>
        <w:rPr/>
        <w:t>3MF – 3D Manufacturing Format; formato de ficheiro para fabrico aditivo.</w:t>
      </w:r>
    </w:p>
    <w:p>
      <w:pPr>
        <w:pStyle w:val="TextoNormal-IPCA"/>
        <w:rPr/>
      </w:pPr>
      <w:r>
        <w:rPr/>
        <w:t>AMS – Automatic Material System; sistema automático de alimentação de filamento usado em impressoras Bambu Lab.</w:t>
      </w:r>
    </w:p>
    <w:p>
      <w:pPr>
        <w:pStyle w:val="TextoNormal-IPCA"/>
        <w:rPr/>
      </w:pPr>
      <w:r>
        <w:rPr/>
        <w:t>ANSUR – Anthropometric Survey of U.S. Army Personnel; inquérito antropométrico do Exército dos Estados Unidos.</w:t>
      </w:r>
    </w:p>
    <w:p>
      <w:pPr>
        <w:pStyle w:val="TextoNormal-IPCA"/>
        <w:rPr/>
      </w:pPr>
      <w:r>
        <w:rPr/>
        <w:t>API – Application Programming Interface; interface de programação de aplicações.</w:t>
      </w:r>
    </w:p>
    <w:p>
      <w:pPr>
        <w:pStyle w:val="TextoNormal-IPCA"/>
        <w:rPr/>
      </w:pPr>
      <w:r>
        <w:rPr/>
        <w:t>ASTM – American Society for Testing and Materials; organismo internacional de normalização.</w:t>
      </w:r>
    </w:p>
    <w:p>
      <w:pPr>
        <w:pStyle w:val="TextoNormal-IPCA"/>
        <w:rPr/>
      </w:pPr>
      <w:r>
        <w:rPr/>
        <w:t>CAD – Computer-Aided Design; desenho ou projecto assistido por computador.</w:t>
      </w:r>
    </w:p>
    <w:p>
      <w:pPr>
        <w:pStyle w:val="TextoNormal-IPCA"/>
        <w:rPr/>
      </w:pPr>
      <w:r>
        <w:rPr/>
        <w:t>CAM – Computer-Aided Manufacturing; fabrico assistido por computador.</w:t>
      </w:r>
    </w:p>
    <w:p>
      <w:pPr>
        <w:pStyle w:val="TextoNormal-IPCA"/>
        <w:rPr/>
      </w:pPr>
      <w:r>
        <w:rPr/>
        <w:t>CE – Conformité Européenne; marcação europeia de conformidade.</w:t>
      </w:r>
    </w:p>
    <w:p>
      <w:pPr>
        <w:pStyle w:val="TextoNormal-IPCA"/>
        <w:rPr/>
      </w:pPr>
      <w:r>
        <w:rPr/>
        <w:t>CSG – Constructive Solid Geometry; geometria sólida construtiva.</w:t>
      </w:r>
    </w:p>
    <w:p>
      <w:pPr>
        <w:pStyle w:val="TextoNormal-IPCA"/>
        <w:rPr/>
      </w:pPr>
      <w:r>
        <w:rPr/>
        <w:t>CSV – Comma-Separated Values; formato de valores separados por vírgulas.</w:t>
      </w:r>
    </w:p>
    <w:p>
      <w:pPr>
        <w:pStyle w:val="TextoNormal-IPCA"/>
        <w:rPr/>
      </w:pPr>
      <w:r>
        <w:rPr/>
        <w:t>CT – Computed Tomography; tomografia computorizada.</w:t>
      </w:r>
    </w:p>
    <w:p>
      <w:pPr>
        <w:pStyle w:val="TextoNormal-IPCA"/>
        <w:rPr/>
      </w:pPr>
      <w:r>
        <w:rPr/>
        <w:t>DfAM – Design for Additive Manufacturing; design para fabrico aditivo.</w:t>
      </w:r>
    </w:p>
    <w:p>
      <w:pPr>
        <w:pStyle w:val="TextoNormal-IPCA"/>
        <w:rPr/>
      </w:pPr>
      <w:r>
        <w:rPr/>
        <w:t>DINED – Delft Institute of Ergonomics and Design; base de dados antropométrica da TU Delft.</w:t>
      </w:r>
    </w:p>
    <w:p>
      <w:pPr>
        <w:pStyle w:val="TextoNormal-IPCA"/>
        <w:rPr/>
      </w:pPr>
      <w:r>
        <w:rPr/>
        <w:t>DOI – Digital Object Identifier; identificador digital de objecto.</w:t>
      </w:r>
    </w:p>
    <w:p>
      <w:pPr>
        <w:pStyle w:val="TextoNormal-IPCA"/>
        <w:rPr/>
      </w:pPr>
      <w:r>
        <w:rPr/>
        <w:t>EMG – Eletromiografia; registo da actividade elétrica muscular.</w:t>
      </w:r>
    </w:p>
    <w:p>
      <w:pPr>
        <w:pStyle w:val="TextoNormal-IPCA"/>
        <w:rPr/>
      </w:pPr>
      <w:r>
        <w:rPr/>
        <w:t>EU – European Union; União Europeia.</w:t>
      </w:r>
    </w:p>
    <w:p>
      <w:pPr>
        <w:pStyle w:val="TextoNormal-IPCA"/>
        <w:rPr/>
      </w:pPr>
      <w:r>
        <w:rPr/>
        <w:t>EUA – Estados Unidos da América.</w:t>
      </w:r>
    </w:p>
    <w:p>
      <w:pPr>
        <w:pStyle w:val="TextoNormal-IPCA"/>
        <w:rPr/>
      </w:pPr>
      <w:r>
        <w:rPr/>
        <w:t>FA/FdA – Fabrico aditivo.</w:t>
      </w:r>
    </w:p>
    <w:p>
      <w:pPr>
        <w:pStyle w:val="TextoNormal-IPCA"/>
        <w:rPr/>
      </w:pPr>
      <w:r>
        <w:rPr/>
        <w:t>FDA – Food and Drug Administration; agência reguladora dos Estados Unidos para alimentos, medicamentos e dispositivos médicos.</w:t>
      </w:r>
    </w:p>
    <w:p>
      <w:pPr>
        <w:pStyle w:val="TextoNormal-IPCA"/>
        <w:rPr/>
      </w:pPr>
      <w:r>
        <w:rPr/>
        <w:t>FDM – Fused Deposition Modelling; modelação por deposição fundida.</w:t>
      </w:r>
    </w:p>
    <w:p>
      <w:pPr>
        <w:pStyle w:val="TextoNormal-IPCA"/>
        <w:rPr/>
      </w:pPr>
      <w:r>
        <w:rPr/>
        <w:t>FEA – Finite Element Analysis; análise por elementos finitos.</w:t>
      </w:r>
    </w:p>
    <w:p>
      <w:pPr>
        <w:pStyle w:val="TextoNormal-IPCA"/>
        <w:rPr/>
      </w:pPr>
      <w:r>
        <w:rPr/>
        <w:t>FEM – Finite Element Method; método dos elementos finitos.</w:t>
      </w:r>
    </w:p>
    <w:p>
      <w:pPr>
        <w:pStyle w:val="TextoNormal-IPCA"/>
        <w:rPr/>
      </w:pPr>
      <w:r>
        <w:rPr/>
        <w:t>FFF – Fused Filament Fabrication; fabrico por filamento fundido.</w:t>
      </w:r>
    </w:p>
    <w:p>
      <w:pPr>
        <w:pStyle w:val="TextoNormal-IPCA"/>
        <w:rPr/>
      </w:pPr>
      <w:r>
        <w:rPr/>
        <w:t>FFD – Free-Form Deformation; deformação de forma livre.</w:t>
      </w:r>
    </w:p>
    <w:p>
      <w:pPr>
        <w:pStyle w:val="TextoNormal-IPCA"/>
        <w:rPr/>
      </w:pPr>
      <w:r>
        <w:rPr/>
        <w:t>GB/T – Norma nacional recomendada chinesa.</w:t>
      </w:r>
    </w:p>
    <w:p>
      <w:pPr>
        <w:pStyle w:val="TextoNormal-IPCA"/>
        <w:rPr/>
      </w:pPr>
      <w:r>
        <w:rPr/>
        <w:t>HB – Hand Breadth; largura da mão.</w:t>
      </w:r>
    </w:p>
    <w:p>
      <w:pPr>
        <w:pStyle w:val="TextoNormal-IPCA"/>
        <w:rPr/>
      </w:pPr>
      <w:r>
        <w:rPr/>
        <w:t>HCD – Human-Centred Design; design centrado no humano.</w:t>
      </w:r>
    </w:p>
    <w:p>
      <w:pPr>
        <w:pStyle w:val="TextoNormal-IPCA"/>
        <w:rPr/>
      </w:pPr>
      <w:r>
        <w:rPr/>
        <w:t>HGD – Hand Grip Diameter; diâmetro de preensão da mão.</w:t>
      </w:r>
    </w:p>
    <w:p>
      <w:pPr>
        <w:pStyle w:val="TextoNormal-IPCA"/>
        <w:rPr/>
      </w:pPr>
      <w:r>
        <w:rPr/>
        <w:t>HL – Hand Length; comprimento da mão.</w:t>
      </w:r>
    </w:p>
    <w:p>
      <w:pPr>
        <w:pStyle w:val="TextoNormal-IPCA"/>
        <w:rPr/>
      </w:pPr>
      <w:r>
        <w:rPr/>
        <w:t>HTML – HyperText Markup Language; linguagem de marcação de hipertexto.</w:t>
      </w:r>
    </w:p>
    <w:p>
      <w:pPr>
        <w:pStyle w:val="TextoNormal-IPCA"/>
        <w:rPr/>
      </w:pPr>
      <w:r>
        <w:rPr/>
        <w:t>IA – Inteligência Artificial.</w:t>
      </w:r>
    </w:p>
    <w:p>
      <w:pPr>
        <w:pStyle w:val="TextoNormal-IPCA"/>
        <w:rPr/>
      </w:pPr>
      <w:r>
        <w:rPr/>
        <w:t>ICF – International Classification of Functioning, Disability and Health; Classificação Internacional de Funcionalidade, Incapacidade e Saúde.</w:t>
      </w:r>
    </w:p>
    <w:p>
      <w:pPr>
        <w:pStyle w:val="TextoNormal-IPCA"/>
        <w:rPr/>
      </w:pPr>
      <w:r>
        <w:rPr/>
        <w:t>IEEE – Institute of Electrical and Electronics Engineers; associação técnico-científica e entidade editorial/de normalização.</w:t>
      </w:r>
    </w:p>
    <w:p>
      <w:pPr>
        <w:pStyle w:val="TextoNormal-IPCA"/>
        <w:rPr/>
      </w:pPr>
      <w:r>
        <w:rPr/>
        <w:t>ISO – International Organization for Standardization; Organização Internacional de Normalização.</w:t>
      </w:r>
    </w:p>
    <w:p>
      <w:pPr>
        <w:pStyle w:val="TextoNormal-IPCA"/>
        <w:rPr/>
      </w:pPr>
      <w:r>
        <w:rPr/>
        <w:t>JSON – JavaScript Object Notation; formato leve de intercâmbio de dados.</w:t>
      </w:r>
    </w:p>
    <w:p>
      <w:pPr>
        <w:pStyle w:val="TextoNormal-IPCA"/>
        <w:rPr/>
      </w:pPr>
      <w:r>
        <w:rPr/>
        <w:t>JWT – JSON Web Token; token web em formato JSON para autenticação e autorização.</w:t>
      </w:r>
    </w:p>
    <w:p>
      <w:pPr>
        <w:pStyle w:val="TextoNormal-IPCA"/>
        <w:rPr/>
      </w:pPr>
      <w:r>
        <w:rPr/>
        <w:t>LL – Lower Limb; membro inferior.</w:t>
      </w:r>
    </w:p>
    <w:p>
      <w:pPr>
        <w:pStyle w:val="TextoNormal-IPCA"/>
        <w:rPr/>
      </w:pPr>
      <w:r>
        <w:rPr/>
        <w:t>MCP – Metacarpophalangeal; articulação metacarpofalângica.</w:t>
      </w:r>
    </w:p>
    <w:p>
      <w:pPr>
        <w:pStyle w:val="TextoNormal-IPCA"/>
        <w:rPr/>
      </w:pPr>
      <w:r>
        <w:rPr/>
        <w:t>MDR – Medical Device Regulation; Regulamento Europeu dos Dispositivos Médicos.</w:t>
      </w:r>
    </w:p>
    <w:p>
      <w:pPr>
        <w:pStyle w:val="TextoNormal-IPCA"/>
        <w:rPr/>
      </w:pPr>
      <w:r>
        <w:rPr/>
        <w:t>MPT – Matching Person and Technology; modelo de adequação entre pessoa e tecnologia.</w:t>
      </w:r>
    </w:p>
    <w:p>
      <w:pPr>
        <w:pStyle w:val="TextoNormal-IPCA"/>
        <w:rPr/>
      </w:pPr>
      <w:r>
        <w:rPr/>
        <w:t>MRI – Magnetic Resonance Imaging; ressonância magnética.</w:t>
      </w:r>
    </w:p>
    <w:p>
      <w:pPr>
        <w:pStyle w:val="TextoNormal-IPCA"/>
        <w:rPr/>
      </w:pPr>
      <w:r>
        <w:rPr/>
        <w:t>PCA – Principal Component Analysis; análise de componentes principais.</w:t>
      </w:r>
    </w:p>
    <w:p>
      <w:pPr>
        <w:pStyle w:val="TextoNormal-IPCA"/>
        <w:rPr/>
      </w:pPr>
      <w:r>
        <w:rPr/>
        <w:t>PDF – Portable Document Format; formato portátil de documento.</w:t>
      </w:r>
    </w:p>
    <w:p>
      <w:pPr>
        <w:pStyle w:val="TextoNormal-IPCA"/>
        <w:rPr/>
      </w:pPr>
      <w:r>
        <w:rPr/>
        <w:t>PIP – Proximal Interphalangeal; articulação interfalângica proximal.</w:t>
      </w:r>
    </w:p>
    <w:p>
      <w:pPr>
        <w:pStyle w:val="TextoNormal-IPCA"/>
        <w:rPr/>
      </w:pPr>
      <w:r>
        <w:rPr/>
        <w:t>PL – Palm Length; comprimento da palma.</w:t>
      </w:r>
    </w:p>
    <w:p>
      <w:pPr>
        <w:pStyle w:val="TextoNormal-IPCA"/>
        <w:rPr/>
      </w:pPr>
      <w:r>
        <w:rPr/>
        <w:t>PRISMA – Preferred Reporting Items for Systematic Reviews and Meta-Analyses; diretrizes para reporte de revisões sistemáticas e meta-análises.</w:t>
      </w:r>
    </w:p>
    <w:p>
      <w:pPr>
        <w:pStyle w:val="TextoNormal-IPCA"/>
        <w:rPr/>
      </w:pPr>
      <w:r>
        <w:rPr/>
        <w:t>RTD – Research Through Design; investigação através do design.</w:t>
      </w:r>
    </w:p>
    <w:p>
      <w:pPr>
        <w:pStyle w:val="TextoNormal-IPCA"/>
        <w:rPr/>
      </w:pPr>
      <w:r>
        <w:rPr/>
        <w:t>SD – Standard Deviation; desvio-padrão.</w:t>
      </w:r>
    </w:p>
    <w:p>
      <w:pPr>
        <w:pStyle w:val="TextoNormal-IPCA"/>
        <w:rPr/>
      </w:pPr>
      <w:r>
        <w:rPr/>
        <w:t>SLA – Stereolithography; estereolitografia.</w:t>
      </w:r>
    </w:p>
    <w:p>
      <w:pPr>
        <w:pStyle w:val="TextoNormal-IPCA"/>
        <w:rPr/>
      </w:pPr>
      <w:r>
        <w:rPr/>
        <w:t>SLS – Selective Laser Sintering; sinterização selectiva a laser.</w:t>
      </w:r>
    </w:p>
    <w:p>
      <w:pPr>
        <w:pStyle w:val="TextoNormal-IPCA"/>
        <w:rPr/>
      </w:pPr>
      <w:r>
        <w:rPr/>
        <w:t>SSM – Statistical Shape Modelling; modelação estatística da forma.</w:t>
      </w:r>
    </w:p>
    <w:p>
      <w:pPr>
        <w:pStyle w:val="TextoNormal-IPCA"/>
        <w:rPr/>
      </w:pPr>
      <w:r>
        <w:rPr/>
        <w:t>SQLite – Motor leve de base de dados relacional baseado em SQL, autónomo e incorporável na aplicação.</w:t>
      </w:r>
    </w:p>
    <w:p>
      <w:pPr>
        <w:pStyle w:val="TextoNormal-IPCA"/>
        <w:rPr/>
      </w:pPr>
      <w:r>
        <w:rPr/>
        <w:t>STL – Stereolithography; formato de ficheiro de malha tridimensional usado em impressão 3D.</w:t>
      </w:r>
    </w:p>
    <w:p>
      <w:pPr>
        <w:pStyle w:val="TextoNormal-IPCA"/>
        <w:rPr/>
      </w:pPr>
      <w:r>
        <w:rPr/>
        <w:t>TC – Technical Committee; comité técnico.</w:t>
      </w:r>
    </w:p>
    <w:p>
      <w:pPr>
        <w:pStyle w:val="TextoNormal-IPCA"/>
        <w:rPr/>
      </w:pPr>
      <w:r>
        <w:rPr/>
        <w:t>TRL – Technology Readiness Level; nível de prontidão tecnológica.</w:t>
      </w:r>
    </w:p>
    <w:p>
      <w:pPr>
        <w:pStyle w:val="TextoNormal-IPCA"/>
        <w:rPr/>
      </w:pPr>
      <w:r>
        <w:rPr/>
        <w:t>UCD – User-Centred Design; design centrado no utilizador.</w:t>
      </w:r>
    </w:p>
    <w:p>
      <w:pPr>
        <w:pStyle w:val="TextoNormal-IPCA"/>
        <w:rPr/>
      </w:pPr>
      <w:r>
        <w:rPr/>
        <w:t>UI – User Interface; interface do utilizador.</w:t>
      </w:r>
    </w:p>
    <w:p>
      <w:pPr>
        <w:pStyle w:val="TextoNormal-IPCA"/>
        <w:rPr/>
      </w:pPr>
      <w:r>
        <w:rPr/>
        <w:t>UL – Upper Limb; membro superior.</w:t>
      </w:r>
    </w:p>
    <w:p>
      <w:pPr>
        <w:pStyle w:val="TextoNormal-IPCA"/>
        <w:rPr/>
      </w:pPr>
      <w:r>
        <w:rPr/>
        <w:t>UX – User Experience; experiência do utilizador.</w:t>
      </w:r>
    </w:p>
    <w:p>
      <w:pPr>
        <w:pStyle w:val="TextoNormal-IPCA"/>
        <w:rPr/>
      </w:pPr>
      <w:r>
        <w:rPr/>
        <w:t>WASM – WebAssembly; tecnologia para execução de código compilado no navegador.</w:t>
      </w:r>
    </w:p>
    <w:p>
      <w:pPr>
        <w:pStyle w:val="TextoNormal-IPCA"/>
        <w:rPr/>
      </w:pPr>
      <w:r>
        <w:rPr/>
        <w:t>XAI – Explainable Artificial Intelligence;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actividades,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respectivas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versões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Projectos de preparação digital para impressão 3D com configuração analisada</w:t>
        <w:tab/>
        <w:t>91</w:t>
      </w:r>
    </w:p>
    <w:p>
      <w:pPr>
        <w:pStyle w:val="TOC1"/>
        <w:rPr/>
      </w:pPr>
      <w:r>
        <w:rPr/>
        <w:t>Tabela 8.3 — Inspecção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Factor de escala da maior dimensão da palma exportada relativamente à configuração de referência</w:t>
        <w:tab/>
        <w:t>99</w:t>
      </w:r>
    </w:p>
    <w:p>
      <w:pPr>
        <w:pStyle w:val="TOC1"/>
        <w:rPr/>
      </w:pPr>
      <w:r>
        <w:rPr/>
        <w:t>Tabela 8.8 — Discussão dos resultados face às lacunas seleccionadas do estado da arte</w:t>
        <w:tab/>
        <w:t>101</w:t>
      </w:r>
    </w:p>
    <w:p>
      <w:pPr>
        <w:pStyle w:val="TOC1"/>
        <w:rPr/>
      </w:pPr>
      <w:r>
        <w:rPr/>
        <w:t>Tabela 9.1 — Estado da resposta às perguntas de investigação aprovadas</w:t>
        <w:tab/>
        <w:t>103</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Arquitectura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selecção,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actividade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adopção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interacção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projecto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extracção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projecto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Arquitectura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Interacção</w:t>
        <w:tab/>
        <w:t>85</w:t>
      </w:r>
    </w:p>
    <w:p>
      <w:pPr>
        <w:pStyle w:val="TOC2"/>
        <w:rPr/>
      </w:pPr>
      <w:r>
        <w:rPr/>
        <w:t>7.1 Estratégia de interacção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objectivos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extracção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analisar o papel do design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desenvolver uma plataforma web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1. Como o design de produto, métodos paramétricos e inteligência artificial podem melhorar a personalização, o conforto e a adequação funcional de próteses, mantendo a acessibilidade e o controlo projectual?</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3. Como o design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rPr/>
      </w:pPr>
      <w:r>
        <w:rP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(body-powered)</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2.2 design industrial, design inclusivo e design centrado no utilizador</w:t>
      </w:r>
    </w:p>
    <w:p>
      <w:pPr>
        <w:pStyle w:val="TextoNormal-IPCA"/>
        <w:rPr/>
      </w:pPr>
      <w:r>
        <w:rPr/>
        <w:t>O design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t>Design industrial em dispositivos médicos</w:t>
      </w:r>
    </w:p>
    <w:p>
      <w:pPr>
        <w:pStyle w:val="TextoNormal-IPCA"/>
        <w:rPr/>
      </w:pPr>
      <w:r>
        <w:rP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t>design inclusivo e design universal</w:t>
      </w:r>
    </w:p>
    <w:p>
      <w:pPr>
        <w:pStyle w:val="TextoNormal-IPCA"/>
        <w:rPr/>
      </w:pPr>
      <w:r>
        <w:rP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rPr/>
      </w:pPr>
      <w:r>
        <w:rP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t>design centrado no utilizador e design centrado no humano</w:t>
      </w:r>
    </w:p>
    <w:p>
      <w:pPr>
        <w:pStyle w:val="TextoNormal-IPCA"/>
        <w:rPr/>
      </w:pPr>
      <w:r>
        <w:rP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rPr/>
      </w:pPr>
      <w:r>
        <w:rP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t>Design Participativo e Co-design</w:t>
      </w:r>
    </w:p>
    <w:p>
      <w:pPr>
        <w:pStyle w:val="TextoNormal-IPCA"/>
        <w:rPr/>
      </w:pPr>
      <w:r>
        <w:rP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rPr/>
      </w:pPr>
      <w:r>
        <w:rP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2.3 Fabrico Aditivo e parametrização no design de produto</w:t>
      </w:r>
    </w:p>
    <w:p>
      <w:pPr>
        <w:pStyle w:val="TextoNormal-IPCA"/>
        <w:rPr/>
      </w:pPr>
      <w:r>
        <w:rP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Integração com Fabrico Aditivo e Design for Additive Manufacturing</w:t>
      </w:r>
    </w:p>
    <w:p>
      <w:pPr>
        <w:pStyle w:val="TextoNormal-IPCA"/>
        <w:rPr/>
      </w:pPr>
      <w:r>
        <w:rP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Esta evidência reforça a necessidade de uma ligação sistemática entre as fases de design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Implicações para o design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No plano educativo e profissional, recomenda-se a integração de DfAM nos currículos de design industrial, promovendo competências que articulem a concepção, a simulação e a fabrico digital em fluxo contínuo (Kandikjan et al., 2022).</w:t>
      </w:r>
    </w:p>
    <w:p>
      <w:pPr>
        <w:pStyle w:val="Heading2"/>
        <w:numPr>
          <w:ilvl w:val="0"/>
          <w:numId w:val="0"/>
        </w:numPr>
        <w:ind w:hanging="0" w:start="0"/>
        <w:rPr/>
      </w:pPr>
      <w:r>
        <w:rPr/>
        <w:t>2.4 Próteses open source de membro superior passíveis de impressão 3D</w:t>
      </w:r>
    </w:p>
    <w:p>
      <w:pPr>
        <w:pStyle w:val="TextoNormal-IPCA"/>
        <w:rPr/>
      </w:pPr>
      <w:r>
        <w:rP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2.5 Antropometria aplicada ao design protésico</w:t>
      </w:r>
    </w:p>
    <w:p>
      <w:pPr>
        <w:pStyle w:val="TextoNormal-IPCA"/>
        <w:rPr/>
      </w:pPr>
      <w:r>
        <w:rP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A literatura organiza os métodos de recolha em famílias, cada uma com potencialidades e limitações específicas para o design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rPr/>
      </w:pPr>
      <w:r>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2.6 Inteligência Artificial no processo de design</w:t>
      </w:r>
    </w:p>
    <w:p>
      <w:pPr>
        <w:pStyle w:val="TextoNormal-IPCA"/>
        <w:rPr/>
      </w:pPr>
      <w:r>
        <w:rP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t>Nos modelos de linguagem, o texto é processado em unidades designadas por tokens. Um token pode corresponder a uma palavra completa, a parte de uma palavra, a um número ou a um sinal de pontuação. O limite de tokens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Formas de IA mais relevantes para o 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numPr>
          <w:ilvl w:val="0"/>
          <w:numId w:val="0"/>
        </w:numPr>
        <w:ind w:hanging="0" w:start="0"/>
        <w:rPr/>
      </w:pPr>
      <w:r>
        <w:rPr/>
        <w:t>IA ao longo do processo de design</w:t>
      </w:r>
    </w:p>
    <w:p>
      <w:pPr>
        <w:pStyle w:val="TextoNormal-IPCA"/>
        <w:rPr/>
      </w:pPr>
      <w:r>
        <w:rP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Heading3"/>
        <w:numPr>
          <w:ilvl w:val="0"/>
          <w:numId w:val="0"/>
        </w:numPr>
        <w:ind w:hanging="0" w:start="0"/>
        <w:rPr/>
      </w:pPr>
      <w:r>
        <w:rPr/>
        <w:t>Fundamentos conceptuais: toolkits, meta-design e end-user development.</w:t>
      </w:r>
    </w:p>
    <w:p>
      <w:pPr>
        <w:pStyle w:val="TextoNormal-IPCA"/>
        <w:rPr/>
      </w:pPr>
      <w: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considerem a acessibilidade, a manutenção e o contexto de serviço como dimensões constitutivas do problema de design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projectuais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Explorar uma arquitectura configurável baseada em tecnologias web,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versão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Co-design,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3.1 Enquadramento metodológico e abordagem Research Through Design</w:t>
      </w:r>
    </w:p>
    <w:p>
      <w:pPr>
        <w:pStyle w:val="TextoNormal-IPCA"/>
        <w:rPr/>
      </w:pPr>
      <w:r>
        <w:rP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rPr/>
      </w:pPr>
      <w:r>
        <w:rP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rPr/>
      </w:pPr>
      <w:r>
        <w:rP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Tabela 3.1 — Ciclos de Research Through Design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em placa nas versões 14.15.0 e seguintes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 versão 14.16.0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 versão 14.17.0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 versão 14.18.0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 versões 14.19.0–14.20.0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versão 14.22.0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3.2 O design industrial como prática investigativa</w:t>
      </w:r>
    </w:p>
    <w:p>
      <w:pPr>
        <w:pStyle w:val="TextoNormal-IPCA"/>
        <w:rPr/>
      </w:pPr>
      <w:r>
        <w:rP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projectual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dez testes unitários aprovados na versão 14.67.0,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Versão,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em 13 e 14 de Julho de 2026, séries automatizadas de ensaios orientadas para três qualidades relevantes do processo de design: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4.1 Definição do problema de design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Em segundo lugar, o OpenSCAD adapta-se bem à arquitectura web proposta nesta dissertação. A separação entre definição geométrica e interface permite que o ficheiro .scad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rPr/>
      </w:pPr>
      <w:r>
        <w:rP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ficam no piso;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piso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 e versão</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 14.10–14.11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 14.16–14.17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piso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limite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14.19</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 14.32–14.37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 14.40–14.44</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 14.48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14.72</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Capítulo 5 — Plataforma Web e Integração Digital</w:t>
      </w:r>
    </w:p>
    <w:p>
      <w:pPr>
        <w:pStyle w:val="Heading2"/>
        <w:numPr>
          <w:ilvl w:val="0"/>
          <w:numId w:val="0"/>
        </w:numPr>
        <w:ind w:hanging="0" w:start="0"/>
        <w:rPr/>
      </w:pPr>
      <w:r>
        <w:rPr/>
        <w:t>5.1 Enquadramento conceptual e perfis de utilizador</w:t>
      </w:r>
    </w:p>
    <w:p>
      <w:pPr>
        <w:pStyle w:val="TextoNormal-IPCA"/>
        <w:rPr/>
      </w:pPr>
      <w:r>
        <w:rP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Figura 5.1 — Fluxo geral de produção personalizada de próteses a partir de plataforma web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versionado dos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OpenSCAD em 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Script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Caption"/>
        <w:keepNext w:val="true"/>
        <w:rPr/>
      </w:pPr>
      <w:r>
        <w:rPr/>
        <w:t>Tabela 5.2 — Componentes, versões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Função no processo de 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Versão actual 14.72.0; ensaios principais em 14.67.0 e complementares em 14.69.0</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entre versões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Aplicação web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OpenSCAD executado em WebAssembly num 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Heading2"/>
        <w:numPr>
          <w:ilvl w:val="0"/>
          <w:numId w:val="0"/>
        </w:numPr>
        <w:ind w:hanging="0" w:start="0"/>
        <w:rPr/>
      </w:pPr>
      <w:r>
        <w:rPr/>
        <w:t>5.3 Integração OpenSCAD via WebAssembly (WASM)</w:t>
      </w:r>
    </w:p>
    <w:p>
      <w:pPr>
        <w:pStyle w:val="TextoNormal-IPCA"/>
        <w:rPr/>
      </w:pPr>
      <w:r>
        <w:rP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Operacionalmente, a integração articula três elementos principais: os ficheiros .scad,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rPr/>
      </w:pPr>
      <w:r>
        <w:rP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versão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versionado dos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Resposta limitada a 1024 tokens;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Versões examinadas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A avaliação inicial incidiu sobre a versão 14.67.0. A série complementar de controlo da interface e dos dados submetidos foi executada na versão 14.69.0.</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t>A avaliação utilizou o fornecedor Anthropic e o modelo claude-sonnet-4-6. A resposta estava limitada a 1024 tokens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versão avaliada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Regras OpenSCAD executadas em 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versão de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7.3 Mediação do processo de design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rPr/>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A versão 14.67.0 foi inspeccionada no fecho do estudo. A Tabela 8.1 distingue resultados executados nesta verificação, dados observados na base local e registos de ensaios de versões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versionado dos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Relatórios e testes end-to-end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Geração em WebAssembly, conversão para GLB e exportação STL/3MF documentadas nas versões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da versão 14.67.0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t>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Em termos de Design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t>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rPr/>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Acesso e manutenção: explorar uma arquitectura web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arquitectura reduz algumas dependências de software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conserva versões, protocolos, falhas, correcções, inventários e anexos ligados aos ciclos de 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houve co-design,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rPr/>
      </w:pPr>
      <w:r>
        <w:t>Quanto à segunda pergunta aprovada, a combinação de ciclos de Research Through Design,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t>O contributo metodológico é a documentação dos ciclos de Research Through Design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"hand anthropometry normative data population study percentiles" "hand dimensions measurement ergonomics working population" "anthropometric survey finger length breadth caliper"</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(long format)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Os dados foram extraídos a partir do HTML da interface web (padrões id="mean{col}{row}" / id="sd{col}{row}"), mapeando índices de coluna para combinações (sub-dataset, sexo, grupo etário) e índices de linha para nomes de medição.</w:t>
      </w:r>
    </w:p>
    <w:p>
      <w:pPr>
        <w:pStyle w:val="Bibliography"/>
        <w:jc w:val="start"/>
        <w:rPr/>
      </w:pPr>
      <w:r>
        <w:rP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(hand, forearm, upperarm, lowerlimb, torso, head)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"Young adults (age 18-30)")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Tipo de estatística: 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(long format)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A.7.1 Marcação inline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rPr/>
      </w:pPr>
      <w:r>
        <w:rPr/>
        <w:t>O script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Nove países estão representados, distribuídos por sete regiões do mundo. A cobertura é particularmente densa nos EUA (três fontes independentes) e nos Países Baixos (três sub-datasets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rPr/>
      </w:pPr>
      <w:r>
        <w:rPr>
          <w:b/>
        </w:rPr>
        <w:t>Data das séries de ensaios: 13 e 14 de Julho de 2026</w:t>
      </w:r>
    </w:p>
    <w:p>
      <w:pPr>
        <w:pStyle w:val="TextoNormal-IPCA"/>
        <w:rPr/>
      </w:pPr>
      <w:r>
        <w:rPr>
          <w:b/>
        </w:rPr>
        <w:t>Versão avaliada:</w:t>
      </w:r>
      <w:r>
        <w:rPr/>
        <w:t xml:space="preserve"> HandFab 14.69.0</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Leitura para o processo de 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Consequência de 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B.7 Aprendizagens para o Design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projectual.</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à versão 14.69.0 da plataforma.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na versão 14.72.0</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piso dimensional</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da versão 14.67.0</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na versão 14.72.0</w:t>
      </w:r>
    </w:p>
    <w:p>
      <w:pPr>
        <w:pStyle w:val="TextoNormal-IPCA"/>
        <w:rPr/>
      </w:pPr>
      <w:r>
        <w:rP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14.72.0;</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C.5.3 Hardware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piso dimensional</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os componentes de hardware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da versão 14.67.0</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p>
    <w:p>
      <w:pPr>
        <w:pStyle w:val="TextoNormal-IPCA"/>
        <w:rPr/>
      </w:pPr>
      <w:r>
        <w:rPr/>
        <w:t xml:space="preserve">Depois dessa versão,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14.72.0.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versão.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versionado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versionado dos modelos;</w:t>
      </w:r>
    </w:p>
    <w:p>
      <w:pPr>
        <w:pStyle w:val="TextoNormal-IPCA"/>
        <w:rPr/>
      </w:pPr>
      <w:r>
        <w:rPr/>
        <w:t>- leitura das fórmulas e constantes nos ficheiros OpenSCAD activos;</w:t>
      </w:r>
    </w:p>
    <w:p>
      <w:pPr>
        <w:pStyle w:val="TextoNormal-IPCA"/>
        <w:rPr/>
      </w:pPr>
      <w:r>
        <w:rPr/>
        <w:t>- confronto entre a versão 14.67.0 do suplemento e a versão 14.72.0;</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rPr>
        <w:t>Design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«Estanque/manifold»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de perfil de processo ou de firmware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