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eer-benchmark-tool---operational-gains"/>
    <w:p>
      <w:pPr>
        <w:pStyle w:val="Heading1"/>
      </w:pPr>
      <w:r>
        <w:t xml:space="preserve">Peer Benchmark Tool - Operational Gains</w:t>
      </w:r>
    </w:p>
    <w:p>
      <w:pPr>
        <w:pStyle w:val="FirstParagraph"/>
      </w:pPr>
      <w:r>
        <w:t xml:space="preserve">Privacy-compliant peer benchmarking that cuts balancing time by ~75% while making results transparent, standardized, and audit-ready.</w:t>
      </w:r>
    </w:p>
    <w:bookmarkStart w:id="9" w:name="executive-summary"/>
    <w:p>
      <w:pPr>
        <w:pStyle w:val="Heading2"/>
      </w:pPr>
      <w:r>
        <w:t xml:space="preserve">Executive summary</w:t>
      </w:r>
    </w:p>
    <w:p>
      <w:pPr>
        <w:pStyle w:val="FirstParagraph"/>
      </w:pPr>
      <w:r>
        <w:t xml:space="preserve">The tool turns privacy-compliant peer benchmarking into a faster, more reliable, and easier-to-explain process. It automates balancing while enforcing Mastercard Control 3.2 privacy caps. The biggest operational win is the balancing phase, which dropped from days of manual work to a short, repeatable run.</w:t>
      </w:r>
    </w:p>
    <w:p>
      <w:pPr>
        <w:pStyle w:val="BodyText"/>
      </w:pPr>
      <w:r>
        <w:t xml:space="preserve">Key takeaways:</w:t>
      </w:r>
      <w:r>
        <w:t xml:space="preserve"> </w:t>
      </w:r>
      <w:r>
        <w:t xml:space="preserve">- 75% average reduction in balancing time per peer</w:t>
      </w:r>
      <w:r>
        <w:t xml:space="preserve"> </w:t>
      </w:r>
      <w:r>
        <w:t xml:space="preserve">- Market-wide projects (5 to 6 peers) reduced from ~30-36 days to ~6-12 days</w:t>
      </w:r>
      <w:r>
        <w:t xml:space="preserve"> </w:t>
      </w:r>
      <w:r>
        <w:t xml:space="preserve">- Execution can be done by a single L7/L8 analyst in the short term</w:t>
      </w:r>
      <w:r>
        <w:t xml:space="preserve"> </w:t>
      </w:r>
      <w:r>
        <w:t xml:space="preserve">- Transparent, standardized, and audit-ready outputs that scale across teams</w:t>
      </w:r>
    </w:p>
    <w:bookmarkEnd w:id="9"/>
    <w:bookmarkStart w:id="10" w:name="operational-gains-at-a-glance"/>
    <w:p>
      <w:pPr>
        <w:pStyle w:val="Heading2"/>
      </w:pPr>
      <w:r>
        <w:t xml:space="preserve">Operational gains at a glance</w:t>
      </w:r>
    </w:p>
    <w:tbl>
      <w:tblPr>
        <w:tblStyle w:val="Table"/>
        <w:tblW w:type="pct" w:w="5000"/>
        <w:tblLayout w:type="fixed"/>
        <w:tblLook w:firstRow="1" w:lastRow="0" w:firstColumn="0" w:lastColumn="0" w:noHBand="0" w:noVBand="0" w:val="0020"/>
      </w:tblPr>
      <w:tblGrid>
        <w:gridCol w:w="1044"/>
        <w:gridCol w:w="3481"/>
        <w:gridCol w:w="3394"/>
      </w:tblGrid>
      <w:tr>
        <w:trPr>
          <w:tblHeader w:val="on"/>
        </w:trPr>
        <w:tc>
          <w:tcPr/>
          <w:p>
            <w:pPr>
              <w:pStyle w:val="Compact"/>
            </w:pPr>
            <w:r>
              <w:t xml:space="preserve">Outcome</w:t>
            </w:r>
          </w:p>
        </w:tc>
        <w:tc>
          <w:tcPr/>
          <w:p>
            <w:pPr>
              <w:pStyle w:val="Compact"/>
            </w:pPr>
            <w:r>
              <w:t xml:space="preserve">What changes</w:t>
            </w:r>
          </w:p>
        </w:tc>
        <w:tc>
          <w:tcPr/>
          <w:p>
            <w:pPr>
              <w:pStyle w:val="Compact"/>
            </w:pPr>
            <w:r>
              <w:t xml:space="preserve">Impact</w:t>
            </w:r>
          </w:p>
        </w:tc>
      </w:tr>
      <w:tr>
        <w:tc>
          <w:tcPr/>
          <w:p>
            <w:pPr>
              <w:pStyle w:val="Compact"/>
            </w:pPr>
            <w:r>
              <w:t xml:space="preserve">Speed</w:t>
            </w:r>
          </w:p>
        </w:tc>
        <w:tc>
          <w:tcPr/>
          <w:p>
            <w:pPr>
              <w:pStyle w:val="Compact"/>
            </w:pPr>
            <w:r>
              <w:t xml:space="preserve">Balancing phase automated</w:t>
            </w:r>
          </w:p>
        </w:tc>
        <w:tc>
          <w:tcPr/>
          <w:p>
            <w:pPr>
              <w:pStyle w:val="Compact"/>
            </w:pPr>
            <w:r>
              <w:t xml:space="preserve">~75% time reduction per peer</w:t>
            </w:r>
          </w:p>
        </w:tc>
      </w:tr>
      <w:tr>
        <w:tc>
          <w:tcPr/>
          <w:p>
            <w:pPr>
              <w:pStyle w:val="Compact"/>
            </w:pPr>
            <w:r>
              <w:t xml:space="preserve">Scale</w:t>
            </w:r>
          </w:p>
        </w:tc>
        <w:tc>
          <w:tcPr/>
          <w:p>
            <w:pPr>
              <w:pStyle w:val="Compact"/>
            </w:pPr>
            <w:r>
              <w:t xml:space="preserve">Multi-peer projects</w:t>
            </w:r>
          </w:p>
        </w:tc>
        <w:tc>
          <w:tcPr/>
          <w:p>
            <w:pPr>
              <w:pStyle w:val="Compact"/>
            </w:pPr>
            <w:r>
              <w:t xml:space="preserve">~22.5 to 27 days saved for 5 to 6 peers</w:t>
            </w:r>
          </w:p>
        </w:tc>
      </w:tr>
      <w:tr>
        <w:tc>
          <w:tcPr/>
          <w:p>
            <w:pPr>
              <w:pStyle w:val="Compact"/>
            </w:pPr>
            <w:r>
              <w:t xml:space="preserve">Staffing</w:t>
            </w:r>
          </w:p>
        </w:tc>
        <w:tc>
          <w:tcPr/>
          <w:p>
            <w:pPr>
              <w:pStyle w:val="Compact"/>
            </w:pPr>
            <w:r>
              <w:t xml:space="preserve">Less senior dependency</w:t>
            </w:r>
          </w:p>
        </w:tc>
        <w:tc>
          <w:tcPr/>
          <w:p>
            <w:pPr>
              <w:pStyle w:val="Compact"/>
            </w:pPr>
            <w:r>
              <w:t xml:space="preserve">Single L7/L8 can execute end-to-end</w:t>
            </w:r>
          </w:p>
        </w:tc>
      </w:tr>
      <w:tr>
        <w:tc>
          <w:tcPr/>
          <w:p>
            <w:pPr>
              <w:pStyle w:val="Compact"/>
            </w:pPr>
            <w:r>
              <w:t xml:space="preserve">Compliance</w:t>
            </w:r>
          </w:p>
        </w:tc>
        <w:tc>
          <w:tcPr/>
          <w:p>
            <w:pPr>
              <w:pStyle w:val="Compact"/>
            </w:pPr>
            <w:r>
              <w:t xml:space="preserve">Privacy caps enforced by design</w:t>
            </w:r>
          </w:p>
        </w:tc>
        <w:tc>
          <w:tcPr/>
          <w:p>
            <w:pPr>
              <w:pStyle w:val="Compact"/>
            </w:pPr>
            <w:r>
              <w:t xml:space="preserve">Lower regulatory risk</w:t>
            </w:r>
          </w:p>
        </w:tc>
      </w:tr>
      <w:tr>
        <w:tc>
          <w:tcPr/>
          <w:p>
            <w:pPr>
              <w:pStyle w:val="Compact"/>
            </w:pPr>
            <w:r>
              <w:t xml:space="preserve">Auditability</w:t>
            </w:r>
          </w:p>
        </w:tc>
        <w:tc>
          <w:tcPr/>
          <w:p>
            <w:pPr>
              <w:pStyle w:val="Compact"/>
            </w:pPr>
            <w:r>
              <w:t xml:space="preserve">Outputs capture parameters and decisions</w:t>
            </w:r>
          </w:p>
        </w:tc>
        <w:tc>
          <w:tcPr/>
          <w:p>
            <w:pPr>
              <w:pStyle w:val="Compact"/>
            </w:pPr>
            <w:r>
              <w:t xml:space="preserve">Reproducible and defensible results</w:t>
            </w:r>
          </w:p>
        </w:tc>
      </w:tr>
    </w:tbl>
    <w:bookmarkEnd w:id="10"/>
    <w:bookmarkStart w:id="14" w:name="quantitative-gains"/>
    <w:p>
      <w:pPr>
        <w:pStyle w:val="Heading2"/>
      </w:pPr>
      <w:r>
        <w:t xml:space="preserve">Quantitative gains</w:t>
      </w:r>
    </w:p>
    <w:p>
      <w:pPr>
        <w:pStyle w:val="FirstParagraph"/>
      </w:pPr>
      <w:r>
        <w:t xml:space="preserve">The extraction step stays constant at 3-4 days. The gains come from automation of balancing and analytical breaks, which were previously manual and senior-dependent.</w:t>
      </w:r>
    </w:p>
    <w:bookmarkStart w:id="11" w:name="balancing-time-per-peer"/>
    <w:p>
      <w:pPr>
        <w:pStyle w:val="Heading3"/>
      </w:pPr>
      <w:r>
        <w:t xml:space="preserve">Balancing time per peer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t xml:space="preserve">Minimum time per peer</w:t>
            </w:r>
          </w:p>
        </w:tc>
        <w:tc>
          <w:tcPr/>
          <w:p>
            <w:pPr>
              <w:pStyle w:val="Compact"/>
            </w:pPr>
            <w:r>
              <w:t xml:space="preserve">5 days</w:t>
            </w:r>
          </w:p>
        </w:tc>
        <w:tc>
          <w:tcPr/>
          <w:p>
            <w:pPr>
              <w:pStyle w:val="Compact"/>
            </w:pPr>
            <w:r>
              <w:t xml:space="preserve">1 day</w:t>
            </w:r>
          </w:p>
        </w:tc>
        <w:tc>
          <w:tcPr/>
          <w:p>
            <w:pPr>
              <w:pStyle w:val="Compact"/>
            </w:pPr>
            <w:r>
              <w:t xml:space="preserve">-4 days</w:t>
            </w:r>
          </w:p>
        </w:tc>
      </w:tr>
      <w:tr>
        <w:tc>
          <w:tcPr/>
          <w:p>
            <w:pPr>
              <w:pStyle w:val="Compact"/>
            </w:pPr>
            <w:r>
              <w:t xml:space="preserve">Average time per peer</w:t>
            </w:r>
          </w:p>
        </w:tc>
        <w:tc>
          <w:tcPr/>
          <w:p>
            <w:pPr>
              <w:pStyle w:val="Compact"/>
            </w:pPr>
            <w:r>
              <w:t xml:space="preserve">6 days</w:t>
            </w:r>
          </w:p>
        </w:tc>
        <w:tc>
          <w:tcPr/>
          <w:p>
            <w:pPr>
              <w:pStyle w:val="Compact"/>
            </w:pPr>
            <w:r>
              <w:t xml:space="preserve">1.5 days</w:t>
            </w:r>
          </w:p>
        </w:tc>
        <w:tc>
          <w:tcPr/>
          <w:p>
            <w:pPr>
              <w:pStyle w:val="Compact"/>
            </w:pPr>
            <w:r>
              <w:t xml:space="preserve">-4.5 days</w:t>
            </w:r>
          </w:p>
        </w:tc>
      </w:tr>
      <w:tr>
        <w:tc>
          <w:tcPr/>
          <w:p>
            <w:pPr>
              <w:pStyle w:val="Compact"/>
            </w:pPr>
            <w:r>
              <w:t xml:space="preserve">Maximum time per peer</w:t>
            </w:r>
          </w:p>
        </w:tc>
        <w:tc>
          <w:tcPr/>
          <w:p>
            <w:pPr>
              <w:pStyle w:val="Compact"/>
            </w:pPr>
            <w:r>
              <w:t xml:space="preserve">7 days</w:t>
            </w:r>
          </w:p>
        </w:tc>
        <w:tc>
          <w:tcPr/>
          <w:p>
            <w:pPr>
              <w:pStyle w:val="Compact"/>
            </w:pPr>
            <w:r>
              <w:t xml:space="preserve">2 days</w:t>
            </w:r>
          </w:p>
        </w:tc>
        <w:tc>
          <w:tcPr/>
          <w:p>
            <w:pPr>
              <w:pStyle w:val="Compact"/>
            </w:pPr>
            <w:r>
              <w:t xml:space="preserve">-5 days</w:t>
            </w:r>
          </w:p>
        </w:tc>
      </w:tr>
    </w:tbl>
    <w:p>
      <w:pPr>
        <w:pStyle w:val="BodyText"/>
      </w:pPr>
      <w:r>
        <w:t xml:space="preserve">Average reduction in balancing time: ~75%.</w:t>
      </w:r>
    </w:p>
    <w:bookmarkEnd w:id="11"/>
    <w:bookmarkStart w:id="12" w:name="market-wide-scalability-5-to-6-peers"/>
    <w:p>
      <w:pPr>
        <w:pStyle w:val="Heading3"/>
      </w:pPr>
      <w:r>
        <w:t xml:space="preserve">Market-wide scalability (5 to 6 peers)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 size</w:t>
            </w:r>
          </w:p>
        </w:tc>
        <w:tc>
          <w:tcPr/>
          <w:p>
            <w:pPr>
              <w:pStyle w:val="Compact"/>
            </w:pPr>
            <w:r>
              <w:t xml:space="preserve">Before (avg)</w:t>
            </w:r>
          </w:p>
        </w:tc>
        <w:tc>
          <w:tcPr/>
          <w:p>
            <w:pPr>
              <w:pStyle w:val="Compact"/>
            </w:pPr>
            <w:r>
              <w:t xml:space="preserve">After (avg)</w:t>
            </w:r>
          </w:p>
        </w:tc>
        <w:tc>
          <w:tcPr/>
          <w:p>
            <w:pPr>
              <w:pStyle w:val="Compact"/>
            </w:pPr>
            <w:r>
              <w:t xml:space="preserve">Days saved</w:t>
            </w:r>
          </w:p>
        </w:tc>
      </w:tr>
      <w:tr>
        <w:tc>
          <w:tcPr/>
          <w:p>
            <w:pPr>
              <w:pStyle w:val="Compact"/>
            </w:pPr>
            <w:r>
              <w:t xml:space="preserve">5 peers</w:t>
            </w:r>
          </w:p>
        </w:tc>
        <w:tc>
          <w:tcPr/>
          <w:p>
            <w:pPr>
              <w:pStyle w:val="Compact"/>
            </w:pPr>
            <w:r>
              <w:t xml:space="preserve">~30 days</w:t>
            </w:r>
          </w:p>
        </w:tc>
        <w:tc>
          <w:tcPr/>
          <w:p>
            <w:pPr>
              <w:pStyle w:val="Compact"/>
            </w:pPr>
            <w:r>
              <w:t xml:space="preserve">~7.5 days</w:t>
            </w:r>
          </w:p>
        </w:tc>
        <w:tc>
          <w:tcPr/>
          <w:p>
            <w:pPr>
              <w:pStyle w:val="Compact"/>
            </w:pPr>
            <w:r>
              <w:t xml:space="preserve">~22.5 days (~75%)</w:t>
            </w:r>
          </w:p>
        </w:tc>
      </w:tr>
      <w:tr>
        <w:tc>
          <w:tcPr/>
          <w:p>
            <w:pPr>
              <w:pStyle w:val="Compact"/>
            </w:pPr>
            <w:r>
              <w:t xml:space="preserve">6 peers</w:t>
            </w:r>
          </w:p>
        </w:tc>
        <w:tc>
          <w:tcPr/>
          <w:p>
            <w:pPr>
              <w:pStyle w:val="Compact"/>
            </w:pPr>
            <w:r>
              <w:t xml:space="preserve">~36 days</w:t>
            </w:r>
          </w:p>
        </w:tc>
        <w:tc>
          <w:tcPr/>
          <w:p>
            <w:pPr>
              <w:pStyle w:val="Compact"/>
            </w:pPr>
            <w:r>
              <w:t xml:space="preserve">~9 days</w:t>
            </w:r>
          </w:p>
        </w:tc>
        <w:tc>
          <w:tcPr/>
          <w:p>
            <w:pPr>
              <w:pStyle w:val="Compact"/>
            </w:pPr>
            <w:r>
              <w:t xml:space="preserve">~27 days (~75%)</w:t>
            </w:r>
          </w:p>
        </w:tc>
      </w:tr>
    </w:tbl>
    <w:bookmarkEnd w:id="12"/>
    <w:bookmarkStart w:id="13" w:name="resource-allocation-efficiency"/>
    <w:p>
      <w:pPr>
        <w:pStyle w:val="Heading3"/>
      </w:pPr>
      <w:r>
        <w:t xml:space="preserve">Resource allocation efficiency</w:t>
      </w:r>
    </w:p>
    <w:tbl>
      <w:tblPr>
        <w:tblStyle w:val="Table"/>
        <w:tblW w:type="pct" w:w="5000"/>
        <w:tblLayout w:type="fixed"/>
        <w:tblLook w:firstRow="1" w:lastRow="0" w:firstColumn="0" w:lastColumn="0" w:noHBand="0" w:noVBand="0" w:val="0020"/>
      </w:tblPr>
      <w:tblGrid>
        <w:gridCol w:w="1804"/>
        <w:gridCol w:w="3408"/>
        <w:gridCol w:w="2706"/>
      </w:tblGrid>
      <w:tr>
        <w:trPr>
          <w:tblHeader w:val="on"/>
        </w:trPr>
        <w:tc>
          <w:tcPr/>
          <w:p>
            <w:pPr>
              <w:pStyle w:val="Compact"/>
            </w:pPr>
            <w:r>
              <w:t xml:space="preserve">Aspect</w:t>
            </w:r>
          </w:p>
        </w:tc>
        <w:tc>
          <w:tcPr/>
          <w:p>
            <w:pPr>
              <w:pStyle w:val="Compact"/>
            </w:pPr>
            <w:r>
              <w:t xml:space="preserve">Before</w:t>
            </w:r>
          </w:p>
        </w:tc>
        <w:tc>
          <w:tcPr/>
          <w:p>
            <w:pPr>
              <w:pStyle w:val="Compact"/>
            </w:pPr>
            <w:r>
              <w:t xml:space="preserve">After</w:t>
            </w:r>
          </w:p>
        </w:tc>
      </w:tr>
      <w:tr>
        <w:tc>
          <w:tcPr/>
          <w:p>
            <w:pPr>
              <w:pStyle w:val="Compact"/>
            </w:pPr>
            <w:r>
              <w:t xml:space="preserve">Senior dependency</w:t>
            </w:r>
          </w:p>
        </w:tc>
        <w:tc>
          <w:tcPr/>
          <w:p>
            <w:pPr>
              <w:pStyle w:val="Compact"/>
            </w:pPr>
            <w:r>
              <w:t xml:space="preserve">L8/L9 execution + L6/L7 validation</w:t>
            </w:r>
          </w:p>
        </w:tc>
        <w:tc>
          <w:tcPr/>
          <w:p>
            <w:pPr>
              <w:pStyle w:val="Compact"/>
            </w:pPr>
            <w:r>
              <w:t xml:space="preserve">Single L7/L8 can execute</w:t>
            </w:r>
          </w:p>
        </w:tc>
      </w:tr>
      <w:tr>
        <w:tc>
          <w:tcPr/>
          <w:p>
            <w:pPr>
              <w:pStyle w:val="Compact"/>
            </w:pPr>
            <w:r>
              <w:t xml:space="preserve">Staffing model</w:t>
            </w:r>
          </w:p>
        </w:tc>
        <w:tc>
          <w:tcPr/>
          <w:p>
            <w:pPr>
              <w:pStyle w:val="Compact"/>
            </w:pPr>
            <w:r>
              <w:t xml:space="preserve">2 analysts</w:t>
            </w:r>
          </w:p>
        </w:tc>
        <w:tc>
          <w:tcPr/>
          <w:p>
            <w:pPr>
              <w:pStyle w:val="Compact"/>
            </w:pPr>
            <w:r>
              <w:t xml:space="preserve">1 analyst (short term)</w:t>
            </w:r>
          </w:p>
        </w:tc>
      </w:tr>
      <w:tr>
        <w:tc>
          <w:tcPr/>
          <w:p>
            <w:pPr>
              <w:pStyle w:val="Compact"/>
            </w:pPr>
            <w:r>
              <w:t xml:space="preserve">Knowledge transfer</w:t>
            </w:r>
          </w:p>
        </w:tc>
        <w:tc>
          <w:tcPr/>
          <w:p>
            <w:pPr>
              <w:pStyle w:val="Compact"/>
            </w:pPr>
            <w:r>
              <w:t xml:space="preserve">Ad hoc</w:t>
            </w:r>
          </w:p>
        </w:tc>
        <w:tc>
          <w:tcPr/>
          <w:p>
            <w:pPr>
              <w:pStyle w:val="Compact"/>
            </w:pPr>
            <w:r>
              <w:t xml:space="preserve">Standardized and documented</w:t>
            </w:r>
          </w:p>
        </w:tc>
      </w:tr>
    </w:tbl>
    <w:bookmarkEnd w:id="13"/>
    <w:bookmarkEnd w:id="14"/>
    <w:bookmarkStart w:id="19" w:name="qualitative-gains"/>
    <w:p>
      <w:pPr>
        <w:pStyle w:val="Heading2"/>
      </w:pPr>
      <w:r>
        <w:t xml:space="preserve">Qualitative gains</w:t>
      </w:r>
    </w:p>
    <w:bookmarkStart w:id="15" w:name="transparency-visibility"/>
    <w:p>
      <w:pPr>
        <w:pStyle w:val="Heading3"/>
      </w:pPr>
      <w:r>
        <w:t xml:space="preserve">1) Transparency (Visibility)</w:t>
      </w:r>
    </w:p>
    <w:p>
      <w:pPr>
        <w:pStyle w:val="FirstParagraph"/>
      </w:pPr>
      <w:r>
        <w:t xml:space="preserve">Analysts can understand and debug every decision behind peer weights:</w:t>
      </w:r>
      <w:r>
        <w:t xml:space="preserve"> </w:t>
      </w:r>
      <w:r>
        <w:t xml:space="preserve">- Peer weight multipliers per dimension</w:t>
      </w:r>
      <w:r>
        <w:t xml:space="preserve"> </w:t>
      </w:r>
      <w:r>
        <w:t xml:space="preserve">- How privacy caps shaped the weights</w:t>
      </w:r>
      <w:r>
        <w:t xml:space="preserve"> </w:t>
      </w:r>
      <w:r>
        <w:t xml:space="preserve">- Distortion analysis (raw vs balanced results)</w:t>
      </w:r>
      <w:r>
        <w:t xml:space="preserve"> </w:t>
      </w:r>
      <w:r>
        <w:t xml:space="preserve">- Which solver was used per dimension (global LP, per-dimension LP, Bayesian fallback)</w:t>
      </w:r>
      <w:r>
        <w:t xml:space="preserve"> </w:t>
      </w:r>
      <w:r>
        <w:t xml:space="preserve">- Rank changes before and after balancing</w:t>
      </w:r>
      <w:r>
        <w:t xml:space="preserve"> </w:t>
      </w:r>
      <w:r>
        <w:t xml:space="preserve">- Privacy validation results with pass/fail details</w:t>
      </w:r>
    </w:p>
    <w:p>
      <w:pPr>
        <w:pStyle w:val="BodyText"/>
      </w:pPr>
      <w:r>
        <w:rPr>
          <w:b/>
          <w:bCs/>
        </w:rPr>
        <w:t xml:space="preserve">Why it matters:</w:t>
      </w:r>
      <w:r>
        <w:t xml:space="preserve"> </w:t>
      </w:r>
      <w:r>
        <w:t xml:space="preserve">When stakeholders or clients question results, analysts can walk through every weighting decision step by step. This builds trust and reduces the back-and-forth that previously consumed hours of senior analyst time defending methodology. Transparency also accelerates internal reviews—reviewers no longer need to reverse-engineer spreadsheet logic to validate outputs.</w:t>
      </w:r>
    </w:p>
    <w:bookmarkEnd w:id="15"/>
    <w:bookmarkStart w:id="16" w:name="standardization"/>
    <w:p>
      <w:pPr>
        <w:pStyle w:val="Heading3"/>
      </w:pPr>
      <w:r>
        <w:t xml:space="preserve">2) Standardization</w:t>
      </w:r>
    </w:p>
    <w:p>
      <w:pPr>
        <w:pStyle w:val="FirstParagraph"/>
      </w:pPr>
      <w:r>
        <w:t xml:space="preserve">The tool embeds the most up-to-date privacy validation concepts and applies them consistently across the company:</w:t>
      </w:r>
      <w:r>
        <w:t xml:space="preserve"> </w:t>
      </w:r>
      <w:r>
        <w:t xml:space="preserve">- Auto-selects the correct privacy cap rule based on peer count</w:t>
      </w:r>
      <w:r>
        <w:t xml:space="preserve"> </w:t>
      </w:r>
      <w:r>
        <w:t xml:space="preserve">- Consistent validation checks and outputs</w:t>
      </w:r>
      <w:r>
        <w:t xml:space="preserve"> </w:t>
      </w:r>
      <w:r>
        <w:t xml:space="preserve">- Preset-based configurations that encode agreed best practices</w:t>
      </w:r>
      <w:r>
        <w:t xml:space="preserve"> </w:t>
      </w:r>
      <w:r>
        <w:t xml:space="preserve">- Comparable outputs across teams, projects, and time</w:t>
      </w:r>
    </w:p>
    <w:p>
      <w:pPr>
        <w:pStyle w:val="BodyText"/>
      </w:pPr>
      <w:r>
        <w:rPr>
          <w:b/>
          <w:bCs/>
        </w:rPr>
        <w:t xml:space="preserve">Why it matters:</w:t>
      </w:r>
      <w:r>
        <w:t xml:space="preserve"> </w:t>
      </w:r>
      <w:r>
        <w:t xml:space="preserve">Standardization eliminates inconsistencies that arise when different analysts apply rules differently or use outdated methods. It protects the company from compliance gaps (e.g., applying wrong privacy caps) and ensures that benchmarking results are comparable across regions and projects—critical for market-wide studies and executive reporting.</w:t>
      </w:r>
    </w:p>
    <w:bookmarkEnd w:id="16"/>
    <w:bookmarkStart w:id="17" w:name="auditability-and-reproducibility"/>
    <w:p>
      <w:pPr>
        <w:pStyle w:val="Heading3"/>
      </w:pPr>
      <w:r>
        <w:t xml:space="preserve">3) Auditability and reproducibility</w:t>
      </w:r>
    </w:p>
    <w:p>
      <w:pPr>
        <w:pStyle w:val="FirstParagraph"/>
      </w:pPr>
      <w:r>
        <w:t xml:space="preserve">Every run is repeatable and defensible, which matters for regulated or stakeholder-facing work:</w:t>
      </w:r>
      <w:r>
        <w:t xml:space="preserve"> </w:t>
      </w:r>
      <w:r>
        <w:t xml:space="preserve">- Presets and config capture the full analysis intent</w:t>
      </w:r>
      <w:r>
        <w:t xml:space="preserve"> </w:t>
      </w:r>
      <w:r>
        <w:t xml:space="preserve">- Summary sheets document inputs and parameters</w:t>
      </w:r>
      <w:r>
        <w:t xml:space="preserve"> </w:t>
      </w:r>
      <w:r>
        <w:t xml:space="preserve">- Debug and validation sheets provide audit trails</w:t>
      </w:r>
      <w:r>
        <w:t xml:space="preserve"> </w:t>
      </w:r>
      <w:r>
        <w:t xml:space="preserve">- Timestamped outputs enable version tracking</w:t>
      </w:r>
    </w:p>
    <w:p>
      <w:pPr>
        <w:pStyle w:val="BodyText"/>
      </w:pPr>
      <w:r>
        <w:rPr>
          <w:b/>
          <w:bCs/>
        </w:rPr>
        <w:t xml:space="preserve">Why it matters:</w:t>
      </w:r>
      <w:r>
        <w:t xml:space="preserve"> </w:t>
      </w:r>
      <w:r>
        <w:t xml:space="preserve">Auditors and regulators can request evidence that privacy rules were followed and that results weren’t manually manipulated. Without reproducibility, defending past analyses requires recreating them from scratch—often impossible if the original analyst has left or inputs have changed. Auditability reduces legal and reputational risk when benchmarking results inform high-stakes decisions.</w:t>
      </w:r>
    </w:p>
    <w:bookmarkEnd w:id="17"/>
    <w:bookmarkStart w:id="18" w:name="Xa56dd13310dff27fcab4d6d4bf2da4b804aa25e"/>
    <w:p>
      <w:pPr>
        <w:pStyle w:val="Heading3"/>
      </w:pPr>
      <w:r>
        <w:t xml:space="preserve">4) Operational resilience and knowledge transfer</w:t>
      </w:r>
    </w:p>
    <w:p>
      <w:pPr>
        <w:pStyle w:val="FirstParagraph"/>
      </w:pPr>
      <w:r>
        <w:t xml:space="preserve">The process no longer depends on a small set of senior analysts or ad hoc scripts:</w:t>
      </w:r>
      <w:r>
        <w:t xml:space="preserve"> </w:t>
      </w:r>
      <w:r>
        <w:t xml:space="preserve">- Consistent workflow lowers key-person risk</w:t>
      </w:r>
      <w:r>
        <w:t xml:space="preserve"> </w:t>
      </w:r>
      <w:r>
        <w:t xml:space="preserve">- Faster onboarding with TUI + CLI and documented presets</w:t>
      </w:r>
      <w:r>
        <w:t xml:space="preserve"> </w:t>
      </w:r>
      <w:r>
        <w:t xml:space="preserve">- Reduced rework by avoiding manual rule selection and spreadsheet logic</w:t>
      </w:r>
    </w:p>
    <w:p>
      <w:pPr>
        <w:pStyle w:val="BodyText"/>
      </w:pPr>
      <w:r>
        <w:rPr>
          <w:b/>
          <w:bCs/>
        </w:rPr>
        <w:t xml:space="preserve">Why it matters:</w:t>
      </w:r>
      <w:r>
        <w:t xml:space="preserve"> </w:t>
      </w:r>
      <w:r>
        <w:t xml:space="preserve">Key-person dependency is a major operational risk—if the one or two analysts who</w:t>
      </w:r>
      <w:r>
        <w:t xml:space="preserve"> </w:t>
      </w:r>
      <w:r>
        <w:t xml:space="preserve">“know how the spreadsheet works”</w:t>
      </w:r>
      <w:r>
        <w:t xml:space="preserve"> </w:t>
      </w:r>
      <w:r>
        <w:t xml:space="preserve">are unavailable, projects stall. The tool encodes that knowledge into reusable presets and a guided interface, so new team members can produce reliable outputs faster. This frees senior analysts for higher-value work while protecting project timelines from turnover or absences.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2026-02-09T13:52:03Z</dcterms:created>
  <dcterms:modified xsi:type="dcterms:W3CDTF">2026-02-09T13:52:03Z</dcterms:modified>
</cp:coreProperties>
</file>

<file path=docProps/custom.xml><?xml version="1.0" encoding="utf-8"?>
<Properties xmlns="http://schemas.openxmlformats.org/officeDocument/2006/custom-properties" xmlns:vt="http://schemas.openxmlformats.org/officeDocument/2006/docPropsVTypes"/>
</file>