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CENTRO UNIVERSITÁRIO DE BIOMEDICINA E ENGENHARIA BIOMÉDICA</w:t>
      </w:r>
    </w:p>
    <w:p>
      <w:pPr>
        <w:jc w:val="center"/>
      </w:pPr>
      <w:r>
        <w:rPr>
          <w:rFonts w:ascii="Times New Roman" w:hAnsi="Times New Roman"/>
          <w:b/>
          <w:sz w:val="24"/>
        </w:rPr>
        <w:t>DEPARTAMENTO DE INTELIGÊNCIA ARTIFICIAL NA SAÚDE</w:t>
      </w:r>
    </w:p>
    <w:p/>
    <w:p/>
    <w:p/>
    <w:p/>
    <w:p/>
    <w:p>
      <w:pPr>
        <w:jc w:val="center"/>
      </w:pPr>
      <w:r>
        <w:rPr>
          <w:rFonts w:ascii="Times New Roman" w:hAnsi="Times New Roman"/>
          <w:b/>
          <w:sz w:val="24"/>
        </w:rPr>
        <w:t>ACADÊMICO(A) EM BIOMEDICINA</w:t>
      </w:r>
    </w:p>
    <w:p/>
    <w:p/>
    <w:p/>
    <w:p/>
    <w:p/>
    <w:p/>
    <w:p>
      <w:pPr>
        <w:jc w:val="center"/>
      </w:pPr>
      <w:r>
        <w:rPr>
          <w:rFonts w:ascii="Times New Roman" w:hAnsi="Times New Roman"/>
          <w:b/>
          <w:sz w:val="28"/>
        </w:rPr>
        <w:t>MACHINE LEARNING NA BIOMEDICINA: PROPOSTA DIAGNÓSTICA, MODELOS PERTINENTES E ABORDAGENS INVIÁVEIS</w:t>
      </w:r>
    </w:p>
    <w:p/>
    <w:p/>
    <w:p/>
    <w:p/>
    <w:p/>
    <w:p/>
    <w:p/>
    <w:p/>
    <w:p/>
    <w:p/>
    <w:p>
      <w:pPr>
        <w:jc w:val="center"/>
      </w:pPr>
      <w:r>
        <w:rPr>
          <w:rFonts w:ascii="Times New Roman" w:hAnsi="Times New Roman"/>
          <w:b/>
          <w:sz w:val="24"/>
        </w:rPr>
        <w:t>SÃO PAULO - SP</w:t>
      </w:r>
    </w:p>
    <w:p>
      <w:pPr>
        <w:jc w:val="center"/>
      </w:pPr>
      <w:r>
        <w:rPr>
          <w:rFonts w:ascii="Times New Roman" w:hAnsi="Times New Roman"/>
          <w:b/>
          <w:sz w:val="24"/>
        </w:rPr>
        <w:t>2026</w:t>
      </w:r>
    </w:p>
    <w:p>
      <w:r>
        <w:br w:type="page"/>
      </w:r>
    </w:p>
    <w:p>
      <w:pPr>
        <w:jc w:val="center"/>
      </w:pPr>
      <w:r>
        <w:rPr>
          <w:rFonts w:ascii="Times New Roman" w:hAnsi="Times New Roman"/>
          <w:b/>
          <w:sz w:val="24"/>
        </w:rPr>
        <w:t>ACADÊMICO(A) EM BIOMEDICINA</w:t>
      </w:r>
    </w:p>
    <w:p/>
    <w:p/>
    <w:p/>
    <w:p/>
    <w:p/>
    <w:p>
      <w:pPr>
        <w:jc w:val="center"/>
      </w:pPr>
      <w:r>
        <w:rPr>
          <w:rFonts w:ascii="Times New Roman" w:hAnsi="Times New Roman"/>
          <w:b/>
          <w:sz w:val="24"/>
        </w:rPr>
        <w:t>MACHINE LEARNING NA BIOMEDICINA: PROPOSTA DIAGNÓSTICA, MODELOS PERTINENTES E ABORDAGENS INVIÁVEIS</w:t>
      </w:r>
    </w:p>
    <w:p/>
    <w:p/>
    <w:p/>
    <w:p/>
    <w:p>
      <w:pPr>
        <w:spacing w:line="240" w:lineRule="auto"/>
        <w:ind w:left="4535"/>
        <w:jc w:val="both"/>
      </w:pPr>
      <w:r>
        <w:rPr>
          <w:rFonts w:ascii="Times New Roman" w:hAnsi="Times New Roman"/>
          <w:sz w:val="20"/>
        </w:rPr>
        <w:t>Trabalho acadêmico técnico-científico apresentado ao Curso de Biomedicina como requisito de avaliação na disciplina de Inteligência Artificial e Diagnóstico por Imagem. Área de concentração: Análise e Processamento de Sinais Eletrofisiológicos e Imagenologia Médica.</w:t>
      </w:r>
    </w:p>
    <w:p/>
    <w:p/>
    <w:p/>
    <w:p/>
    <w:p/>
    <w:p/>
    <w:p>
      <w:pPr>
        <w:jc w:val="center"/>
      </w:pPr>
      <w:r>
        <w:rPr>
          <w:rFonts w:ascii="Times New Roman" w:hAnsi="Times New Roman"/>
          <w:b/>
          <w:sz w:val="24"/>
        </w:rPr>
        <w:t>SÃO PAULO - SP</w:t>
      </w:r>
    </w:p>
    <w:p>
      <w:pPr>
        <w:jc w:val="center"/>
      </w:pPr>
      <w:r>
        <w:rPr>
          <w:rFonts w:ascii="Times New Roman" w:hAnsi="Times New Roman"/>
          <w:b/>
          <w:sz w:val="24"/>
        </w:rPr>
        <w:t>2026</w:t>
      </w:r>
    </w:p>
    <w:p>
      <w:r>
        <w:br w:type="page"/>
      </w:r>
    </w:p>
    <w:p>
      <w:pPr>
        <w:keepNext/>
        <w:spacing w:before="360" w:after="240" w:line="360" w:lineRule="auto"/>
        <w:jc w:val="left"/>
      </w:pPr>
      <w:r>
        <w:rPr>
          <w:rFonts w:ascii="Times New Roman" w:hAnsi="Times New Roman"/>
          <w:b/>
          <w:color w:val="000000"/>
          <w:sz w:val="24"/>
        </w:rPr>
        <w:t>SUMÁRIO</w:t>
      </w:r>
    </w:p>
    <w:p>
      <w:pPr>
        <w:spacing w:after="360" w:line="360" w:lineRule="auto"/>
      </w:pPr>
      <w:r>
        <w:fldChar w:fldCharType="begin"/>
        <w:instrText xml:space="preserve">TOC \o "1-3" \h \z</w:instrText>
        <w:fldChar w:fldCharType="end"/>
      </w:r>
    </w:p>
    <w:p>
      <w:pPr>
        <w:spacing w:before="0" w:after="360" w:line="360" w:lineRule="auto"/>
        <w:ind w:firstLine="0"/>
        <w:jc w:val="both"/>
      </w:pPr>
      <w:r>
        <w:rPr>
          <w:rFonts w:ascii="Times New Roman" w:hAnsi="Times New Roman"/>
          <w:i/>
          <w:color w:val="000000"/>
          <w:sz w:val="20"/>
        </w:rPr>
        <w:t>(O Sumário automatizado acima será atualizado ao abrir o arquivo no Microsoft Word ou Google Docs.)</w:t>
      </w:r>
    </w:p>
    <w:p>
      <w:r>
        <w:br w:type="page"/>
      </w:r>
    </w:p>
    <w:p>
      <w:pPr>
        <w:keepNext/>
        <w:spacing w:before="360" w:after="240" w:line="360" w:lineRule="auto"/>
        <w:jc w:val="left"/>
      </w:pPr>
      <w:r>
        <w:rPr>
          <w:rFonts w:ascii="Times New Roman" w:hAnsi="Times New Roman"/>
          <w:b/>
          <w:color w:val="000000"/>
          <w:sz w:val="24"/>
        </w:rPr>
        <w:t>1 INTRODUÇÃO</w:t>
      </w:r>
    </w:p>
    <w:p>
      <w:pPr>
        <w:spacing w:before="0" w:after="120" w:line="360" w:lineRule="auto"/>
        <w:ind w:firstLine="709"/>
        <w:jc w:val="both"/>
      </w:pPr>
      <w:r>
        <w:rPr>
          <w:rFonts w:ascii="Times New Roman" w:hAnsi="Times New Roman"/>
          <w:color w:val="000000"/>
          <w:sz w:val="24"/>
        </w:rPr>
        <w:t>A Biomedicina contemporânea passa por uma transformação profunda impulsionada pela convergência entre ciências biológicas, computação avançada e processamento de dados biomédicos. Tradicionalmente, o diagnóstico clínico e a análise de exames complementares — como eletrocardiogramas (ECG), ressonâncias magnéticas (RM), tomografias computadorizadas (TC) e exames laboratoriais — dependiam precipuamente do julgamento humano, da experiência acumulada e de análises manuais que apresentavam variabilidade interobservador e limitações de tempo operacionais (Bontempo et al., 2026; Capelo, 2024).</w:t>
      </w:r>
    </w:p>
    <w:p>
      <w:pPr>
        <w:spacing w:before="0" w:after="120" w:line="360" w:lineRule="auto"/>
        <w:ind w:firstLine="709"/>
        <w:jc w:val="both"/>
      </w:pPr>
      <w:r>
        <w:rPr>
          <w:rFonts w:ascii="Times New Roman" w:hAnsi="Times New Roman"/>
          <w:color w:val="000000"/>
          <w:sz w:val="24"/>
        </w:rPr>
        <w:t>Nesse contexto, a Inteligência Artificial (IA), e mais especificamente o Aprendizado de Máquina (Machine Learning - ML) e o Aprendizado Profundo (Deep Learning - DL), surge não como uma substituta do profissional biomédico ou médico, mas como uma ferramenta indispensável de suporte à decisão clínica e otimização diagnóstica (Belem et al., 2025; Topol, 2020). A proposta do Machine Learning na Biomedicina fundamenta-se na capacidade de extrair padrões matemáticos não-lineares, correlações ocultas e biomarcadores subclínicos a partir de volumes massivos e complexos de dados fisiológicos e epidemiológicos (Roy et al., 2022).</w:t>
      </w:r>
    </w:p>
    <w:p>
      <w:pPr>
        <w:spacing w:before="0" w:after="120" w:line="360" w:lineRule="auto"/>
        <w:ind w:firstLine="709"/>
        <w:jc w:val="both"/>
      </w:pPr>
      <w:r>
        <w:rPr>
          <w:rFonts w:ascii="Times New Roman" w:hAnsi="Times New Roman"/>
          <w:color w:val="000000"/>
          <w:sz w:val="24"/>
        </w:rPr>
        <w:t>A IA auxilia o ramo biomédico de diversas formas estruturantes:</w:t>
      </w:r>
    </w:p>
    <w:p>
      <w:pPr>
        <w:spacing w:before="0" w:after="120" w:line="360" w:lineRule="auto"/>
        <w:ind w:firstLine="709"/>
        <w:jc w:val="both"/>
      </w:pPr>
      <w:r>
        <w:rPr>
          <w:rFonts w:ascii="Times New Roman" w:hAnsi="Times New Roman"/>
          <w:b/>
          <w:color w:val="000000"/>
          <w:sz w:val="24"/>
        </w:rPr>
        <w:t xml:space="preserve">a) Elevação da Precisão Diagnóstica: </w:t>
      </w:r>
      <w:r>
        <w:rPr>
          <w:rFonts w:ascii="Times New Roman" w:hAnsi="Times New Roman"/>
          <w:color w:val="000000"/>
          <w:sz w:val="24"/>
        </w:rPr>
        <w:t>Aumentando a sensibilidade e especificidade na identificação precoce de patologias críticas, reduzindo expressivamente as taxas de falsos-negativos em oncologia, neurologia e cardiologia (Bontempo et al., 2026; Capelo, 2024).</w:t>
      </w:r>
    </w:p>
    <w:p>
      <w:pPr>
        <w:spacing w:before="0" w:after="120" w:line="360" w:lineRule="auto"/>
        <w:ind w:firstLine="709"/>
        <w:jc w:val="both"/>
      </w:pPr>
      <w:r>
        <w:rPr>
          <w:rFonts w:ascii="Times New Roman" w:hAnsi="Times New Roman"/>
          <w:b/>
          <w:color w:val="000000"/>
          <w:sz w:val="24"/>
        </w:rPr>
        <w:t xml:space="preserve">b) Otimização do Fluxo Operacional: </w:t>
      </w:r>
      <w:r>
        <w:rPr>
          <w:rFonts w:ascii="Times New Roman" w:hAnsi="Times New Roman"/>
          <w:color w:val="000000"/>
          <w:sz w:val="24"/>
        </w:rPr>
        <w:t>Automatizando a triagem de exames e a quantificação de parâmetros anatômicos e funcionais (como fração de ejeção ventricular e delimitação de nódulos), diminuindo a carga de trabalho repetitiva e agilizando o tempo de resposta hospitalar (Philips, 2022; Belem et al., 2025).</w:t>
      </w:r>
    </w:p>
    <w:p>
      <w:pPr>
        <w:spacing w:before="0" w:after="120" w:line="360" w:lineRule="auto"/>
        <w:ind w:firstLine="709"/>
        <w:jc w:val="both"/>
      </w:pPr>
      <w:r>
        <w:rPr>
          <w:rFonts w:ascii="Times New Roman" w:hAnsi="Times New Roman"/>
          <w:b/>
          <w:color w:val="000000"/>
          <w:sz w:val="24"/>
        </w:rPr>
        <w:t xml:space="preserve">c) Consolidação da Medicina de Precisão: </w:t>
      </w:r>
      <w:r>
        <w:rPr>
          <w:rFonts w:ascii="Times New Roman" w:hAnsi="Times New Roman"/>
          <w:color w:val="000000"/>
          <w:sz w:val="24"/>
        </w:rPr>
        <w:t>Sintetizando dados de imagens, registros eletrônicos de saúde, genômica e sinais de monitoramento contínuo para construir perfis de risco preditivos e tratamentos individualizados (Roy et al., 2022; Dourado &amp; Aith, 2022).</w:t>
      </w:r>
    </w:p>
    <w:p>
      <w:pPr>
        <w:spacing w:before="0" w:after="120" w:line="360" w:lineRule="auto"/>
        <w:ind w:firstLine="709"/>
        <w:jc w:val="both"/>
      </w:pPr>
      <w:r>
        <w:rPr>
          <w:rFonts w:ascii="Times New Roman" w:hAnsi="Times New Roman"/>
          <w:b/>
          <w:color w:val="000000"/>
          <w:sz w:val="24"/>
        </w:rPr>
        <w:t xml:space="preserve">d) Monitoramento Remoto e Preventivo: </w:t>
      </w:r>
      <w:r>
        <w:rPr>
          <w:rFonts w:ascii="Times New Roman" w:hAnsi="Times New Roman"/>
          <w:color w:val="000000"/>
          <w:sz w:val="24"/>
        </w:rPr>
        <w:t>Expandindo a análise diagnóstica para além dos leitos hospitalares por meio de sensores vestíveis e inteligência em nuvem, viabilizando o acompanhamento contínuo de pacientes cardíacos e a detecção remota de arritmias subclínicas (Philips, 2022).</w:t>
      </w:r>
    </w:p>
    <w:p>
      <w:pPr>
        <w:spacing w:before="0" w:after="120" w:line="360" w:lineRule="auto"/>
        <w:ind w:firstLine="709"/>
        <w:jc w:val="both"/>
      </w:pPr>
      <w:r>
        <w:rPr>
          <w:rFonts w:ascii="Times New Roman" w:hAnsi="Times New Roman"/>
          <w:color w:val="000000"/>
          <w:sz w:val="24"/>
        </w:rPr>
        <w:t>Entretanto, a implementação eficaz e segura do Machine Learning exige um discernimento rigoroso sobre quais métodos matemáticos e arquiteturas computacionais são viáveis e quais são tecnicamente ou eticamente inadequados para os desafios específicos da área biomédica. Este documento analisa detalhadamente essas abordagens.</w:t>
      </w:r>
    </w:p>
    <w:p>
      <w:pPr>
        <w:keepNext/>
        <w:spacing w:before="360" w:after="240" w:line="360" w:lineRule="auto"/>
        <w:jc w:val="left"/>
      </w:pPr>
      <w:r>
        <w:rPr>
          <w:rFonts w:ascii="Times New Roman" w:hAnsi="Times New Roman"/>
          <w:b/>
          <w:color w:val="000000"/>
          <w:sz w:val="24"/>
        </w:rPr>
        <w:t>2 MODELOS DE MACHINE LEARNING PERTINENTES NA BIOMEDICINA</w:t>
      </w:r>
    </w:p>
    <w:p>
      <w:pPr>
        <w:spacing w:before="0" w:after="120" w:line="360" w:lineRule="auto"/>
        <w:ind w:firstLine="709"/>
        <w:jc w:val="both"/>
      </w:pPr>
      <w:r>
        <w:rPr>
          <w:rFonts w:ascii="Times New Roman" w:hAnsi="Times New Roman"/>
          <w:color w:val="000000"/>
          <w:sz w:val="24"/>
        </w:rPr>
        <w:t>Para que um algoritmo de Machine Learning seja considerado viável no contexto biomédico, ele deve ser capaz de lidar com a alta dimensionalidade, a presença de ruídos fisiológicos e a dinâmica temporal ou espacial dos dados biológicos, garantindo ao mesmo tempo acurácia e compatibilidade clínica (Roy et al., 2022; Ahsan et al., 2021). Os principais modelos pertinentes para esta área são detalhados a seguir.</w:t>
      </w:r>
    </w:p>
    <w:p>
      <w:pPr>
        <w:keepNext/>
        <w:spacing w:before="280" w:after="160" w:line="360" w:lineRule="auto"/>
        <w:jc w:val="left"/>
      </w:pPr>
      <w:r>
        <w:rPr>
          <w:rFonts w:ascii="Times New Roman" w:hAnsi="Times New Roman"/>
          <w:b/>
          <w:color w:val="000000"/>
          <w:sz w:val="24"/>
        </w:rPr>
        <w:t>2.1 Redes Neurais Convolucionais (CNNs)</w:t>
      </w:r>
    </w:p>
    <w:p>
      <w:pPr>
        <w:spacing w:before="0" w:after="120" w:line="360" w:lineRule="auto"/>
        <w:ind w:firstLine="709"/>
        <w:jc w:val="both"/>
      </w:pPr>
      <w:r>
        <w:rPr>
          <w:rFonts w:ascii="Times New Roman" w:hAnsi="Times New Roman"/>
          <w:color w:val="000000"/>
          <w:sz w:val="24"/>
        </w:rPr>
        <w:t>As Redes Neurais Convolucionais (CNNs) consolidaram-se como o padrão-ouro para o processamento de dados biomédicos com estrutura espacial ou espectral (Litjens et al., 2021; Roy et al., 2022). Em imagenologia médica (TC, RM, Raio-X), as CNNs realizam a extração automática de hierarquias de características sem a necessidade de engenharia de recursos manual, alcançando acurácias diagnósticas comparáveis ou superiores às de especialistas na detecção de lesões e segmentação de órgãos (Belem et al., 2025; Bontempo et al., 2026).</w:t>
      </w:r>
    </w:p>
    <w:p>
      <w:pPr>
        <w:spacing w:before="0" w:after="120" w:line="360" w:lineRule="auto"/>
        <w:ind w:firstLine="709"/>
        <w:jc w:val="both"/>
      </w:pPr>
      <w:r>
        <w:rPr>
          <w:rFonts w:ascii="Times New Roman" w:hAnsi="Times New Roman"/>
          <w:color w:val="000000"/>
          <w:sz w:val="24"/>
        </w:rPr>
        <w:t>No âmbito do eletrocardiograma (ECG), as CNNs unidimensionais (1D-CNN) e bidimensionais (2D-CNN aplicadas a espectrogramas ou traçados) demonstram excelente desempenho na extração de morfologias complexas do sinal elétrico cardíaco. Modelos otimizados, como arquiteturas leves voltadas para ECG de 3 derivações (ex: LightX3ECG), e redes profundas de 11 ou mais camadas obtêm acurácias elevadas (superiores a 95%) na classificação de anomalias como doença arterial coronariana, enfarte do miocárdio e alterações de repolarização (Acharya et al., 2017; Roy et al., 2022).</w:t>
      </w:r>
    </w:p>
    <w:p>
      <w:pPr>
        <w:keepNext/>
        <w:spacing w:before="280" w:after="160" w:line="360" w:lineRule="auto"/>
        <w:jc w:val="left"/>
      </w:pPr>
      <w:r>
        <w:rPr>
          <w:rFonts w:ascii="Times New Roman" w:hAnsi="Times New Roman"/>
          <w:b/>
          <w:color w:val="000000"/>
          <w:sz w:val="24"/>
        </w:rPr>
        <w:t>2.2 Redes Recorrentes (RNN), LSTM e Modelos Híbridos (CNN-LSTM)</w:t>
      </w:r>
    </w:p>
    <w:p>
      <w:pPr>
        <w:spacing w:before="0" w:after="120" w:line="360" w:lineRule="auto"/>
        <w:ind w:firstLine="709"/>
        <w:jc w:val="both"/>
      </w:pPr>
      <w:r>
        <w:rPr>
          <w:rFonts w:ascii="Times New Roman" w:hAnsi="Times New Roman"/>
          <w:color w:val="000000"/>
          <w:sz w:val="24"/>
        </w:rPr>
        <w:t>O sinal de eletrocardiograma é intrinsecamente uma série temporal dinâmica e não-estacionária. Por essa razão, arquiteturas projetadas para dependências sequenciais temporais, como as redes Long Short-Term Memory (LSTM), desempenham um papel crucial na análise de episódios cardíacos que se desdobram ao longo do tempo (Roy et al., 2022; Ahsan et al., 2021).</w:t>
      </w:r>
    </w:p>
    <w:p>
      <w:pPr>
        <w:spacing w:before="0" w:after="120" w:line="360" w:lineRule="auto"/>
        <w:ind w:firstLine="709"/>
        <w:jc w:val="both"/>
      </w:pPr>
      <w:r>
        <w:rPr>
          <w:rFonts w:ascii="Times New Roman" w:hAnsi="Times New Roman"/>
          <w:color w:val="000000"/>
          <w:sz w:val="24"/>
        </w:rPr>
        <w:t>A grande inovação e viabilidade na cardiologia biomédica reside na utilização de modelos híbridos CNN-LSTM. Nessa abordagem integrada, a camada convolucional (CNN) atua na filtragem e extração de características espaciais das ondas do ECG (complexo QRS, onda P, onda T), enquanto a camada LSTM processa a sequência temporal desses vetores ao longo de registros estendidos (como exames de Holter de 24 horas). Esse arranjo híbrido reduz o ruído de fundo, estabiliza a aprendizagem e permite prever eventos de alto risco — como crises de fibrilação atrial e taquicardia ventricular — horas antes do aparecimento de sintomas clínicos evidentes (Philips, 2022; Tanveer et al., 2019; Roy et al., 2022).</w:t>
      </w:r>
    </w:p>
    <w:p>
      <w:pPr>
        <w:keepNext/>
        <w:spacing w:before="280" w:after="160" w:line="360" w:lineRule="auto"/>
        <w:jc w:val="left"/>
      </w:pPr>
      <w:r>
        <w:rPr>
          <w:rFonts w:ascii="Times New Roman" w:hAnsi="Times New Roman"/>
          <w:b/>
          <w:color w:val="000000"/>
          <w:sz w:val="24"/>
        </w:rPr>
        <w:t>2.3 Algoritmos Clássicos de Aprendizado Supervisionado e Ensembles</w:t>
      </w:r>
    </w:p>
    <w:p>
      <w:pPr>
        <w:spacing w:before="0" w:after="120" w:line="360" w:lineRule="auto"/>
        <w:ind w:firstLine="709"/>
        <w:jc w:val="both"/>
      </w:pPr>
      <w:r>
        <w:rPr>
          <w:rFonts w:ascii="Times New Roman" w:hAnsi="Times New Roman"/>
          <w:color w:val="000000"/>
          <w:sz w:val="24"/>
        </w:rPr>
        <w:t>Apesar do avanço do Deep Learning, métodos clássicos de aprendizagem supervisionada continuam amplamente viáveis e eficientes, especialmente para dados tabulares, exames laboratoriais e conjuntos de dados com restrição de amostragem (Fatima &amp; Pasha, 2017; Roy et al., 2022). Algoritmos como Support Vector Machine (SVM), Random Forest (RF), Decision Trees (DT), Naive Bayes (NB) e Regressão Logística (LR) oferecem alta capacidade preditiva na classificação de arritmias, estratificação de risco de insuficiência cardíaca e diagnóstico de hipertensão (Singh et al., 2019; Mortazavi et al., 2016).</w:t>
      </w:r>
    </w:p>
    <w:p>
      <w:pPr>
        <w:spacing w:before="0" w:after="120" w:line="360" w:lineRule="auto"/>
        <w:ind w:firstLine="709"/>
        <w:jc w:val="both"/>
      </w:pPr>
      <w:r>
        <w:rPr>
          <w:rFonts w:ascii="Times New Roman" w:hAnsi="Times New Roman"/>
          <w:color w:val="000000"/>
          <w:sz w:val="24"/>
        </w:rPr>
        <w:t>Ademais, a integração da lógica Fuzzy com Redes Neurais (sistemas Neuro-Fuzzy) permite modelar a incerteza intrínseca aos parâmetros biológicos e à interpretação sintomática, oferecendo sistemas de pontuação inteligente para predição de parada cardíaca e risco coronariano com elevada robustez (Ansari &amp; Gupta, 2011; Liu et al., 2012).</w:t>
      </w:r>
    </w:p>
    <w:p>
      <w:pPr>
        <w:keepNext/>
        <w:spacing w:before="280" w:after="160" w:line="360" w:lineRule="auto"/>
        <w:jc w:val="left"/>
      </w:pPr>
      <w:r>
        <w:rPr>
          <w:rFonts w:ascii="Times New Roman" w:hAnsi="Times New Roman"/>
          <w:b/>
          <w:color w:val="000000"/>
          <w:sz w:val="24"/>
        </w:rPr>
        <w:t>2.4 Redes Adversariais Generativas (GANs)</w:t>
      </w:r>
    </w:p>
    <w:p>
      <w:pPr>
        <w:spacing w:before="0" w:after="120" w:line="360" w:lineRule="auto"/>
        <w:ind w:firstLine="709"/>
        <w:jc w:val="both"/>
      </w:pPr>
      <w:r>
        <w:rPr>
          <w:rFonts w:ascii="Times New Roman" w:hAnsi="Times New Roman"/>
          <w:color w:val="000000"/>
          <w:sz w:val="24"/>
        </w:rPr>
        <w:t>Um dos maiores desafios no treinamento de IA para diagnóstico biomédico é o desbalanceamento de classes, no qual dados de pacientes saudáveis sobram em relação a registros de patologias cardíacas raras. As Redes Adversariais Generativas (GANs) destacam-se como uma metodologia viável para a ampliação sintética de dados (data augmentation) (Puspitasari et al., 2021; Ahsan et al., 2021).</w:t>
      </w:r>
    </w:p>
    <w:p>
      <w:pPr>
        <w:spacing w:before="0" w:after="120" w:line="360" w:lineRule="auto"/>
        <w:ind w:firstLine="709"/>
        <w:jc w:val="both"/>
      </w:pPr>
      <w:r>
        <w:rPr>
          <w:rFonts w:ascii="Times New Roman" w:hAnsi="Times New Roman"/>
          <w:color w:val="000000"/>
          <w:sz w:val="24"/>
        </w:rPr>
        <w:t>Através da geração de sinal elétrico sintético biologicamente plausível, abordagens baseadas em GANs (como os modelos CAB e GAN-LSTM) equilibram as bases de treinamento de arritmias e sinal fetal, permitindo que classificadores subsequentes alcancem acurácias superiores a 99% sem incorrer em viés de classe majoritária (Wang et al., 2021; Puspitasari et al., 2021).</w:t>
      </w:r>
    </w:p>
    <w:p>
      <w:pPr>
        <w:keepNext/>
        <w:spacing w:before="280" w:after="160" w:line="360" w:lineRule="auto"/>
        <w:jc w:val="left"/>
      </w:pPr>
      <w:r>
        <w:rPr>
          <w:rFonts w:ascii="Times New Roman" w:hAnsi="Times New Roman"/>
          <w:b/>
          <w:color w:val="000000"/>
          <w:sz w:val="24"/>
        </w:rPr>
        <w:t>2.5 Inteligência Artificial Explicável (XAI - Explainable AI)</w:t>
      </w:r>
    </w:p>
    <w:p>
      <w:pPr>
        <w:spacing w:before="0" w:after="120" w:line="360" w:lineRule="auto"/>
        <w:ind w:firstLine="709"/>
        <w:jc w:val="both"/>
      </w:pPr>
      <w:r>
        <w:rPr>
          <w:rFonts w:ascii="Times New Roman" w:hAnsi="Times New Roman"/>
          <w:color w:val="000000"/>
          <w:sz w:val="24"/>
        </w:rPr>
        <w:t>Em conformidade com marcos regulatórios como a Lei Geral de Proteção de Dados (LGPD - Lei nº 13.709/2018) no Brasil e o GDPR na União Europeia, o direito à explicação sobre decisões automatizadas tornou-se um requisito indispensável para a viabilidade do Machine Learning na saúde (Dourado &amp; Aith, 2022; Paixão et al., 2022). Técnicas de XAI, como Grad-CAM (visualização de mapas de ativação) e SHAP (Shapley Additive exPlanations), são acopladas aos modelos de ECG e imagenologia para destacar exatamente quais segmentos de onda ou regiões anatômicas determinaram o laudo da IA, permitindo a validação e auditoria por biomédicos e médicos (Ganeshkumar et al., 2021; Dentamaro et al., 2024).</w:t>
      </w:r>
    </w:p>
    <w:p>
      <w:pPr>
        <w:keepNext/>
        <w:spacing w:before="360" w:after="240" w:line="360" w:lineRule="auto"/>
        <w:jc w:val="left"/>
      </w:pPr>
      <w:r>
        <w:rPr>
          <w:rFonts w:ascii="Times New Roman" w:hAnsi="Times New Roman"/>
          <w:b/>
          <w:color w:val="000000"/>
          <w:sz w:val="24"/>
        </w:rPr>
        <w:t>3 MÉTODOS E ABORDAGENS DE MACHINE LEARNING INVIÁVEIS E SEUS FUNDAMENTOS</w:t>
      </w:r>
    </w:p>
    <w:p>
      <w:pPr>
        <w:spacing w:before="0" w:after="120" w:line="360" w:lineRule="auto"/>
        <w:ind w:firstLine="709"/>
        <w:jc w:val="both"/>
      </w:pPr>
      <w:r>
        <w:rPr>
          <w:rFonts w:ascii="Times New Roman" w:hAnsi="Times New Roman"/>
          <w:color w:val="000000"/>
          <w:sz w:val="24"/>
        </w:rPr>
        <w:t>Embora a literatura apresente inúmeros avanços, certas metodologias e práticas de Machine Learning revelam-se inviáveis, inadequadas ou perigosas para aplicação clínica real no diagnóstico biomédico e análise de ECG. As principais abordagens inviáveis e seus respectivos fundamentos técnicos, biológicos e éticos são apresentados a seguir.</w:t>
      </w:r>
    </w:p>
    <w:p>
      <w:pPr>
        <w:keepNext/>
        <w:spacing w:before="280" w:after="160" w:line="360" w:lineRule="auto"/>
        <w:jc w:val="left"/>
      </w:pPr>
      <w:r>
        <w:rPr>
          <w:rFonts w:ascii="Times New Roman" w:hAnsi="Times New Roman"/>
          <w:b/>
          <w:color w:val="000000"/>
          <w:sz w:val="24"/>
        </w:rPr>
        <w:t>3.1 Modelos Caixa-Preta Estritos sem Explicabilidade (Deep Learning Opaco)</w:t>
      </w:r>
    </w:p>
    <w:p>
      <w:pPr>
        <w:spacing w:before="0" w:after="120" w:line="360" w:lineRule="auto"/>
        <w:ind w:firstLine="709"/>
        <w:jc w:val="both"/>
      </w:pPr>
      <w:r>
        <w:rPr>
          <w:rFonts w:ascii="Times New Roman" w:hAnsi="Times New Roman"/>
          <w:color w:val="000000"/>
          <w:sz w:val="24"/>
        </w:rPr>
        <w:t>Fundamentação de Inviabilidade: Redes neurais profundas altamente complexas operam frequentemente como sistemas caixa-preta (black box), nos quais a representação matemática do resultado é ininteligível aos humanos (Dourado &amp; Aith, 2022; Capelo, 2024). No diagnóstico médico, o uso isolado de modelos opacos é eticamente e legalmente inviável.</w:t>
      </w:r>
    </w:p>
    <w:p>
      <w:pPr>
        <w:spacing w:before="0" w:after="120" w:line="360" w:lineRule="auto"/>
        <w:ind w:firstLine="709"/>
        <w:jc w:val="both"/>
      </w:pPr>
      <w:r>
        <w:rPr>
          <w:rFonts w:ascii="Times New Roman" w:hAnsi="Times New Roman"/>
          <w:color w:val="000000"/>
          <w:sz w:val="24"/>
        </w:rPr>
        <w:t>Consequências Clínicas: A ausência de transparência impede que o profissional biomédico audite se a decisão do modelo foi motivada por alteração eletrofisiológica real (ex: elevação do segmento ST) ou por artefatos e vieses do dataset. Além disso, viola o direito à explicação assegurado pela LGPD e impossibilita a alocação de responsabilidade civil e jurídica em casos de erro diagnóstico (Dourado &amp; Aith, 2022; Paixão et al., 2022).</w:t>
      </w:r>
    </w:p>
    <w:p>
      <w:pPr>
        <w:keepNext/>
        <w:spacing w:before="280" w:after="160" w:line="360" w:lineRule="auto"/>
        <w:jc w:val="left"/>
      </w:pPr>
      <w:r>
        <w:rPr>
          <w:rFonts w:ascii="Times New Roman" w:hAnsi="Times New Roman"/>
          <w:b/>
          <w:color w:val="000000"/>
          <w:sz w:val="24"/>
        </w:rPr>
        <w:t>3.2 Redes Recorrentes Puras (LSTM/RNN) Aplicadas a Sinais Brutos sem Hibridização</w:t>
      </w:r>
    </w:p>
    <w:p>
      <w:pPr>
        <w:spacing w:before="0" w:after="120" w:line="360" w:lineRule="auto"/>
        <w:ind w:firstLine="709"/>
        <w:jc w:val="both"/>
      </w:pPr>
      <w:r>
        <w:rPr>
          <w:rFonts w:ascii="Times New Roman" w:hAnsi="Times New Roman"/>
          <w:color w:val="000000"/>
          <w:sz w:val="24"/>
        </w:rPr>
        <w:t>Fundamentação de Inviabilidade: Embora as redes LSTM sejam desenhadas para séries temporais, tentar treinar modelos LSTMs ou RNNs puras alimentados diretamente com sinais brutos de ECG de alta frequência sem etapas prévias de filtragem ou extração de características espacial/convolucional demonstra-se tecnicamente inviável (Roy et al., 2022).</w:t>
      </w:r>
    </w:p>
    <w:p>
      <w:pPr>
        <w:spacing w:before="0" w:after="120" w:line="360" w:lineRule="auto"/>
        <w:ind w:firstLine="709"/>
        <w:jc w:val="both"/>
      </w:pPr>
      <w:r>
        <w:rPr>
          <w:rFonts w:ascii="Times New Roman" w:hAnsi="Times New Roman"/>
          <w:color w:val="000000"/>
          <w:sz w:val="24"/>
        </w:rPr>
        <w:t>Consequências Computacionais: O processamento de sequências temporais puras e extensas gera um elevado custo computacional, alta latência e instabilidade na convergência dos algoritmos, manifestada por curvas de perda e acurácia oscilantes (rippled loss curves) durante o treinamento (Roy et al., 2022). Essa lentidão inviabiliza o uso da IA em dispositivos de monitoramento cardíaco em tempo real ou no ponto de atendimento (Point-of-Care).</w:t>
      </w:r>
    </w:p>
    <w:p>
      <w:pPr>
        <w:keepNext/>
        <w:spacing w:before="280" w:after="160" w:line="360" w:lineRule="auto"/>
        <w:jc w:val="left"/>
      </w:pPr>
      <w:r>
        <w:rPr>
          <w:rFonts w:ascii="Times New Roman" w:hAnsi="Times New Roman"/>
          <w:b/>
          <w:color w:val="000000"/>
          <w:sz w:val="24"/>
        </w:rPr>
        <w:t>3.3 Algoritmos Lineares Simples e Modelos Estáticos (Regressão Linear, Perceptrons Simples)</w:t>
      </w:r>
    </w:p>
    <w:p>
      <w:pPr>
        <w:spacing w:before="0" w:after="120" w:line="360" w:lineRule="auto"/>
        <w:ind w:firstLine="709"/>
        <w:jc w:val="both"/>
      </w:pPr>
      <w:r>
        <w:rPr>
          <w:rFonts w:ascii="Times New Roman" w:hAnsi="Times New Roman"/>
          <w:color w:val="000000"/>
          <w:sz w:val="24"/>
        </w:rPr>
        <w:t>Fundamentação de Inviabilidade: Sinais eletrofisiológicos como o ECG e imagens biológicas são dados não-lineares, de alta dimensão, não-estacionários e sujeitos a variações fisiológicas dinâmicas (Roy et al., 2022; Ahsan et al., 2021). Algoritmos baseados em pressupostos estritamente lineares falham categoricamente em capturar a complexidade das interações entre as ondas e estruturas biológicas.</w:t>
      </w:r>
    </w:p>
    <w:p>
      <w:pPr>
        <w:spacing w:before="0" w:after="120" w:line="360" w:lineRule="auto"/>
        <w:ind w:firstLine="709"/>
        <w:jc w:val="both"/>
      </w:pPr>
      <w:r>
        <w:rPr>
          <w:rFonts w:ascii="Times New Roman" w:hAnsi="Times New Roman"/>
          <w:color w:val="000000"/>
          <w:sz w:val="24"/>
        </w:rPr>
        <w:t>Consequências Clínicas: Exigem engenharia de características (feature engineering) extremamente exaustiva e suscetível a erros humanos, resultando em baixos índices de sensibilidade e especificidade. Tais modelos falham na detecção de patologias multifatoriais e apresentam desempenho inaceitável para a prática biomédica moderna (Ahsan et al., 2021).</w:t>
      </w:r>
    </w:p>
    <w:p>
      <w:pPr>
        <w:keepNext/>
        <w:spacing w:before="280" w:after="160" w:line="360" w:lineRule="auto"/>
        <w:jc w:val="left"/>
      </w:pPr>
      <w:r>
        <w:rPr>
          <w:rFonts w:ascii="Times New Roman" w:hAnsi="Times New Roman"/>
          <w:b/>
          <w:color w:val="000000"/>
          <w:sz w:val="24"/>
        </w:rPr>
        <w:t>3.4 Treinamento em Dados Brutos sem Filtragem de Ruído e Artefatos Fisiológicos</w:t>
      </w:r>
    </w:p>
    <w:p>
      <w:pPr>
        <w:spacing w:before="0" w:after="120" w:line="360" w:lineRule="auto"/>
        <w:ind w:firstLine="709"/>
        <w:jc w:val="both"/>
      </w:pPr>
      <w:r>
        <w:rPr>
          <w:rFonts w:ascii="Times New Roman" w:hAnsi="Times New Roman"/>
          <w:color w:val="000000"/>
          <w:sz w:val="24"/>
        </w:rPr>
        <w:t>Fundamentação de Inviabilidade: Sinais de ECG capturados no ambiente clínico ou domiciliar são contaminados por ruídos de alta e baixa frequência, tais como interferência da rede elétrica (50/60 Hz), tremor muscular (eletromiograma - EMG), derivação da linha de base por respiração e artefatos de movimentação do eletrodo (Roy et al., 2022; Philips, 2022).</w:t>
      </w:r>
    </w:p>
    <w:p>
      <w:pPr>
        <w:spacing w:before="0" w:after="120" w:line="360" w:lineRule="auto"/>
        <w:ind w:firstLine="709"/>
        <w:jc w:val="both"/>
      </w:pPr>
      <w:r>
        <w:rPr>
          <w:rFonts w:ascii="Times New Roman" w:hAnsi="Times New Roman"/>
          <w:color w:val="000000"/>
          <w:sz w:val="24"/>
        </w:rPr>
        <w:t>Consequências Clínicas: Alimentar modelos de Machine Learning com dados não filtrados faz com que o algoritmo aprenda o ruído como se fosse uma característica patológica. Isso leva a um elevado índice de falsos alarmes positivos (gerando ansiedade ao paciente e sobrecarga ao sistema de saúde) ou a falsos negativos fatais (máscara de eventos arritmogênicos) (Capelo, 2024).</w:t>
      </w:r>
    </w:p>
    <w:p>
      <w:pPr>
        <w:keepNext/>
        <w:spacing w:before="280" w:after="160" w:line="360" w:lineRule="auto"/>
        <w:jc w:val="left"/>
      </w:pPr>
      <w:r>
        <w:rPr>
          <w:rFonts w:ascii="Times New Roman" w:hAnsi="Times New Roman"/>
          <w:b/>
          <w:color w:val="000000"/>
          <w:sz w:val="24"/>
        </w:rPr>
        <w:t>3.5 Modelos Treinados em Amostras Reduzidas, Desbalanceadas e sem Validação Multicêntrica</w:t>
      </w:r>
    </w:p>
    <w:p>
      <w:pPr>
        <w:spacing w:before="0" w:after="120" w:line="360" w:lineRule="auto"/>
        <w:ind w:firstLine="709"/>
        <w:jc w:val="both"/>
      </w:pPr>
      <w:r>
        <w:rPr>
          <w:rFonts w:ascii="Times New Roman" w:hAnsi="Times New Roman"/>
          <w:color w:val="000000"/>
          <w:sz w:val="24"/>
        </w:rPr>
        <w:t>Fundamentação de Inviabilidade: O desenvolvimento de modelos de IA com amostras pequenas, provenientes de uma única instituição ou com forte desequilíbrio entre pacientes hígidos e doentes causa severo sobreajuste (overfitting) e vício de classe (Koçak et al., 2024; Ahsan et al., 2021).</w:t>
      </w:r>
    </w:p>
    <w:p>
      <w:pPr>
        <w:spacing w:before="0" w:after="120" w:line="360" w:lineRule="auto"/>
        <w:ind w:firstLine="709"/>
        <w:jc w:val="both"/>
      </w:pPr>
      <w:r>
        <w:rPr>
          <w:rFonts w:ascii="Times New Roman" w:hAnsi="Times New Roman"/>
          <w:color w:val="000000"/>
          <w:sz w:val="24"/>
        </w:rPr>
        <w:t>Consequências Clínicas: O algoritmo perde a capacidade de generalização e sofre de deslocamento de distribuição (distributional shift) quando exposto a pacientes de populações, etnias ou equipamentos diferentes daqueles utilizados no treinamento. Sem validação externa e multicêntrica rigorosa (conforme diretrizes como STARD-AI), o modelo torna-se inviável e perigoso para implementação médica (Sounderajah et al., 2025; Bontempo et al., 2026).</w:t>
      </w:r>
    </w:p>
    <w:p>
      <w:pPr>
        <w:keepNext/>
        <w:spacing w:before="360" w:after="240" w:line="360" w:lineRule="auto"/>
        <w:jc w:val="left"/>
      </w:pPr>
      <w:r>
        <w:rPr>
          <w:rFonts w:ascii="Times New Roman" w:hAnsi="Times New Roman"/>
          <w:b/>
          <w:color w:val="000000"/>
          <w:sz w:val="24"/>
        </w:rPr>
        <w:t>4 QUADRO COMPARATIVO SÍNTESE</w:t>
      </w:r>
    </w:p>
    <w:p>
      <w:pPr>
        <w:spacing w:before="0" w:after="120" w:line="360" w:lineRule="auto"/>
        <w:ind w:firstLine="709"/>
        <w:jc w:val="both"/>
      </w:pPr>
      <w:r>
        <w:rPr>
          <w:rFonts w:ascii="Times New Roman" w:hAnsi="Times New Roman"/>
          <w:color w:val="000000"/>
          <w:sz w:val="24"/>
        </w:rPr>
        <w:t>Para resumir a análise técnica e orientar a tomada de decisão no desenvolvimento de IA biomédica, a Tabela 1 sintetiza a viabilidade dos principais métodos de Machine Learning, suas aplicações recomendadas e as razões de inviabilidade das abordagens inadequadoras.</w:t>
      </w:r>
    </w:p>
    <w:p>
      <w:pPr>
        <w:spacing w:before="0" w:after="120" w:line="360" w:lineRule="auto"/>
        <w:ind w:firstLine="0"/>
        <w:jc w:val="both"/>
      </w:pPr>
      <w:r>
        <w:rPr>
          <w:rFonts w:ascii="Times New Roman" w:hAnsi="Times New Roman"/>
          <w:b/>
          <w:color w:val="000000"/>
          <w:sz w:val="20"/>
        </w:rPr>
        <w:t>Tabela 1 – Comparativo de Viabilidade de Métodos de Machine Learning na Biomedicina</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2160"/>
            <w:tcMar>
              <w:top w:w="120" w:type="dxa"/>
              <w:bottom w:w="120" w:type="dxa"/>
              <w:left w:w="120" w:type="dxa"/>
              <w:right w:w="120" w:type="dxa"/>
            </w:tcMar>
            <w:shd w:val="clear" w:color="auto" w:fill="1F497D"/>
          </w:tcPr>
          <w:p>
            <w:pPr>
              <w:spacing w:before="40" w:after="40"/>
              <w:jc w:val="center"/>
            </w:pPr>
            <w:r>
              <w:rPr>
                <w:rFonts w:ascii="Times New Roman" w:hAnsi="Times New Roman"/>
                <w:b/>
                <w:color w:val="FFFFFF"/>
                <w:sz w:val="20"/>
              </w:rPr>
              <w:t>Abordagem / Algoritmo</w:t>
            </w:r>
          </w:p>
        </w:tc>
        <w:tc>
          <w:tcPr>
            <w:tcW w:type="dxa" w:w="1584"/>
            <w:tcMar>
              <w:top w:w="120" w:type="dxa"/>
              <w:bottom w:w="120" w:type="dxa"/>
              <w:left w:w="120" w:type="dxa"/>
              <w:right w:w="120" w:type="dxa"/>
            </w:tcMar>
            <w:shd w:val="clear" w:color="auto" w:fill="1F497D"/>
          </w:tcPr>
          <w:p>
            <w:pPr>
              <w:spacing w:before="40" w:after="40"/>
              <w:jc w:val="center"/>
            </w:pPr>
            <w:r>
              <w:rPr>
                <w:rFonts w:ascii="Times New Roman" w:hAnsi="Times New Roman"/>
                <w:b/>
                <w:color w:val="FFFFFF"/>
                <w:sz w:val="20"/>
              </w:rPr>
              <w:t>Status de Viabilidade</w:t>
            </w:r>
          </w:p>
        </w:tc>
        <w:tc>
          <w:tcPr>
            <w:tcW w:type="dxa" w:w="3024"/>
            <w:tcMar>
              <w:top w:w="120" w:type="dxa"/>
              <w:bottom w:w="120" w:type="dxa"/>
              <w:left w:w="120" w:type="dxa"/>
              <w:right w:w="120" w:type="dxa"/>
            </w:tcMar>
            <w:shd w:val="clear" w:color="auto" w:fill="1F497D"/>
          </w:tcPr>
          <w:p>
            <w:pPr>
              <w:spacing w:before="40" w:after="40"/>
              <w:jc w:val="center"/>
            </w:pPr>
            <w:r>
              <w:rPr>
                <w:rFonts w:ascii="Times New Roman" w:hAnsi="Times New Roman"/>
                <w:b/>
                <w:color w:val="FFFFFF"/>
                <w:sz w:val="20"/>
              </w:rPr>
              <w:t>Aplicações Biomédicas Recomendadas</w:t>
            </w:r>
          </w:p>
        </w:tc>
        <w:tc>
          <w:tcPr>
            <w:tcW w:type="dxa" w:w="3024"/>
            <w:tcMar>
              <w:top w:w="120" w:type="dxa"/>
              <w:bottom w:w="120" w:type="dxa"/>
              <w:left w:w="120" w:type="dxa"/>
              <w:right w:w="120" w:type="dxa"/>
            </w:tcMar>
            <w:shd w:val="clear" w:color="auto" w:fill="1F497D"/>
          </w:tcPr>
          <w:p>
            <w:pPr>
              <w:spacing w:before="40" w:after="40"/>
              <w:jc w:val="center"/>
            </w:pPr>
            <w:r>
              <w:rPr>
                <w:rFonts w:ascii="Times New Roman" w:hAnsi="Times New Roman"/>
                <w:b/>
                <w:color w:val="FFFFFF"/>
                <w:sz w:val="20"/>
              </w:rPr>
              <w:t>Fundamentação da Inviabilidade / Limitação</w:t>
            </w:r>
          </w:p>
        </w:tc>
      </w:tr>
      <w:tr>
        <w:tc>
          <w:tcPr>
            <w:tcW w:type="dxa" w:w="2160"/>
            <w:tcMar>
              <w:top w:w="100" w:type="dxa"/>
              <w:bottom w:w="100" w:type="dxa"/>
              <w:left w:w="100" w:type="dxa"/>
              <w:right w:w="100" w:type="dxa"/>
            </w:tcMar>
            <w:shd w:val="clear" w:color="auto" w:fill="F2F2F2"/>
          </w:tcPr>
          <w:p>
            <w:pPr>
              <w:spacing w:before="40" w:after="40" w:line="276" w:lineRule="auto"/>
              <w:jc w:val="left"/>
            </w:pPr>
            <w:r>
              <w:rPr>
                <w:rFonts w:ascii="Times New Roman" w:hAnsi="Times New Roman"/>
                <w:color w:val="000000"/>
                <w:sz w:val="19"/>
              </w:rPr>
              <w:t>CNNs e Modelos Híbridos CNN-LSTM</w:t>
            </w:r>
          </w:p>
        </w:tc>
        <w:tc>
          <w:tcPr>
            <w:tcW w:type="dxa" w:w="1584"/>
            <w:tcMar>
              <w:top w:w="100" w:type="dxa"/>
              <w:bottom w:w="100" w:type="dxa"/>
              <w:left w:w="100" w:type="dxa"/>
              <w:right w:w="100" w:type="dxa"/>
            </w:tcMar>
            <w:shd w:val="clear" w:color="auto" w:fill="F2F2F2"/>
          </w:tcPr>
          <w:p>
            <w:pPr>
              <w:spacing w:before="40" w:after="40" w:line="276" w:lineRule="auto"/>
              <w:jc w:val="center"/>
            </w:pPr>
            <w:r>
              <w:rPr>
                <w:rFonts w:ascii="Times New Roman" w:hAnsi="Times New Roman"/>
                <w:b/>
                <w:color w:val="008000"/>
                <w:sz w:val="19"/>
              </w:rPr>
              <w:t>VIÁVEL</w:t>
            </w:r>
          </w:p>
        </w:tc>
        <w:tc>
          <w:tcPr>
            <w:tcW w:type="dxa" w:w="3024"/>
            <w:tcMar>
              <w:top w:w="100" w:type="dxa"/>
              <w:bottom w:w="100" w:type="dxa"/>
              <w:left w:w="100" w:type="dxa"/>
              <w:right w:w="100" w:type="dxa"/>
            </w:tcMar>
            <w:shd w:val="clear" w:color="auto" w:fill="F2F2F2"/>
          </w:tcPr>
          <w:p>
            <w:pPr>
              <w:spacing w:before="40" w:after="40" w:line="276" w:lineRule="auto"/>
              <w:jc w:val="left"/>
            </w:pPr>
            <w:r>
              <w:rPr>
                <w:rFonts w:ascii="Times New Roman" w:hAnsi="Times New Roman"/>
                <w:color w:val="000000"/>
                <w:sz w:val="19"/>
              </w:rPr>
              <w:t>Extração de feições em imagens (RM, TC) e análise espaço-temporal de ECG / Holter 24h.</w:t>
            </w:r>
          </w:p>
        </w:tc>
        <w:tc>
          <w:tcPr>
            <w:tcW w:type="dxa" w:w="3024"/>
            <w:tcMar>
              <w:top w:w="100" w:type="dxa"/>
              <w:bottom w:w="100" w:type="dxa"/>
              <w:left w:w="100" w:type="dxa"/>
              <w:right w:w="100" w:type="dxa"/>
            </w:tcMar>
            <w:shd w:val="clear" w:color="auto" w:fill="F2F2F2"/>
          </w:tcPr>
          <w:p>
            <w:pPr>
              <w:spacing w:before="40" w:after="40" w:line="276" w:lineRule="auto"/>
              <w:jc w:val="left"/>
            </w:pPr>
            <w:r>
              <w:rPr>
                <w:rFonts w:ascii="Times New Roman" w:hAnsi="Times New Roman"/>
                <w:color w:val="000000"/>
                <w:sz w:val="19"/>
              </w:rPr>
              <w:t>Requer alto volume de dados rotulados e hardware de GPU para treinamento.</w:t>
            </w:r>
          </w:p>
        </w:tc>
      </w:tr>
      <w:tr>
        <w:tc>
          <w:tcPr>
            <w:tcW w:type="dxa" w:w="2160"/>
            <w:tcMar>
              <w:top w:w="100" w:type="dxa"/>
              <w:bottom w:w="100" w:type="dxa"/>
              <w:left w:w="100" w:type="dxa"/>
              <w:right w:w="100" w:type="dxa"/>
            </w:tcMar>
            <w:shd w:val="clear" w:color="auto" w:fill="FFFFFF"/>
          </w:tcPr>
          <w:p>
            <w:pPr>
              <w:spacing w:before="40" w:after="40" w:line="276" w:lineRule="auto"/>
              <w:jc w:val="left"/>
            </w:pPr>
            <w:r>
              <w:rPr>
                <w:rFonts w:ascii="Times New Roman" w:hAnsi="Times New Roman"/>
                <w:color w:val="000000"/>
                <w:sz w:val="19"/>
              </w:rPr>
              <w:t>Algoritmos Clássicos (SVM, RF) &amp; Fuzzy</w:t>
            </w:r>
          </w:p>
        </w:tc>
        <w:tc>
          <w:tcPr>
            <w:tcW w:type="dxa" w:w="1584"/>
            <w:tcMar>
              <w:top w:w="100" w:type="dxa"/>
              <w:bottom w:w="100" w:type="dxa"/>
              <w:left w:w="100" w:type="dxa"/>
              <w:right w:w="100" w:type="dxa"/>
            </w:tcMar>
            <w:shd w:val="clear" w:color="auto" w:fill="FFFFFF"/>
          </w:tcPr>
          <w:p>
            <w:pPr>
              <w:spacing w:before="40" w:after="40" w:line="276" w:lineRule="auto"/>
              <w:jc w:val="center"/>
            </w:pPr>
            <w:r>
              <w:rPr>
                <w:rFonts w:ascii="Times New Roman" w:hAnsi="Times New Roman"/>
                <w:b/>
                <w:color w:val="008000"/>
                <w:sz w:val="19"/>
              </w:rPr>
              <w:t>VIÁVEL</w:t>
            </w:r>
          </w:p>
        </w:tc>
        <w:tc>
          <w:tcPr>
            <w:tcW w:type="dxa" w:w="3024"/>
            <w:tcMar>
              <w:top w:w="100" w:type="dxa"/>
              <w:bottom w:w="100" w:type="dxa"/>
              <w:left w:w="100" w:type="dxa"/>
              <w:right w:w="100" w:type="dxa"/>
            </w:tcMar>
            <w:shd w:val="clear" w:color="auto" w:fill="FFFFFF"/>
          </w:tcPr>
          <w:p>
            <w:pPr>
              <w:spacing w:before="40" w:after="40" w:line="276" w:lineRule="auto"/>
              <w:jc w:val="left"/>
            </w:pPr>
            <w:r>
              <w:rPr>
                <w:rFonts w:ascii="Times New Roman" w:hAnsi="Times New Roman"/>
                <w:color w:val="000000"/>
                <w:sz w:val="19"/>
              </w:rPr>
              <w:t>Classificação de dados tabulares, exames laboratoriais e escores de risco clínico.</w:t>
            </w:r>
          </w:p>
        </w:tc>
        <w:tc>
          <w:tcPr>
            <w:tcW w:type="dxa" w:w="3024"/>
            <w:tcMar>
              <w:top w:w="100" w:type="dxa"/>
              <w:bottom w:w="100" w:type="dxa"/>
              <w:left w:w="100" w:type="dxa"/>
              <w:right w:w="100" w:type="dxa"/>
            </w:tcMar>
            <w:shd w:val="clear" w:color="auto" w:fill="FFFFFF"/>
          </w:tcPr>
          <w:p>
            <w:pPr>
              <w:spacing w:before="40" w:after="40" w:line="276" w:lineRule="auto"/>
              <w:jc w:val="left"/>
            </w:pPr>
            <w:r>
              <w:rPr>
                <w:rFonts w:ascii="Times New Roman" w:hAnsi="Times New Roman"/>
                <w:color w:val="000000"/>
                <w:sz w:val="19"/>
              </w:rPr>
              <w:t>Menor eficiência em imagens brutas e dados de altíssima dimensão espacial.</w:t>
            </w:r>
          </w:p>
        </w:tc>
      </w:tr>
      <w:tr>
        <w:tc>
          <w:tcPr>
            <w:tcW w:type="dxa" w:w="2160"/>
            <w:tcMar>
              <w:top w:w="100" w:type="dxa"/>
              <w:bottom w:w="100" w:type="dxa"/>
              <w:left w:w="100" w:type="dxa"/>
              <w:right w:w="100" w:type="dxa"/>
            </w:tcMar>
            <w:shd w:val="clear" w:color="auto" w:fill="F2F2F2"/>
          </w:tcPr>
          <w:p>
            <w:pPr>
              <w:spacing w:before="40" w:after="40" w:line="276" w:lineRule="auto"/>
              <w:jc w:val="left"/>
            </w:pPr>
            <w:r>
              <w:rPr>
                <w:rFonts w:ascii="Times New Roman" w:hAnsi="Times New Roman"/>
                <w:color w:val="000000"/>
                <w:sz w:val="19"/>
              </w:rPr>
              <w:t>GANs + XAI (Grad-CAM, SHAP)</w:t>
            </w:r>
          </w:p>
        </w:tc>
        <w:tc>
          <w:tcPr>
            <w:tcW w:type="dxa" w:w="1584"/>
            <w:tcMar>
              <w:top w:w="100" w:type="dxa"/>
              <w:bottom w:w="100" w:type="dxa"/>
              <w:left w:w="100" w:type="dxa"/>
              <w:right w:w="100" w:type="dxa"/>
            </w:tcMar>
            <w:shd w:val="clear" w:color="auto" w:fill="F2F2F2"/>
          </w:tcPr>
          <w:p>
            <w:pPr>
              <w:spacing w:before="40" w:after="40" w:line="276" w:lineRule="auto"/>
              <w:jc w:val="center"/>
            </w:pPr>
            <w:r>
              <w:rPr>
                <w:rFonts w:ascii="Times New Roman" w:hAnsi="Times New Roman"/>
                <w:b/>
                <w:color w:val="008000"/>
                <w:sz w:val="19"/>
              </w:rPr>
              <w:t>VIÁVEL</w:t>
            </w:r>
          </w:p>
        </w:tc>
        <w:tc>
          <w:tcPr>
            <w:tcW w:type="dxa" w:w="3024"/>
            <w:tcMar>
              <w:top w:w="100" w:type="dxa"/>
              <w:bottom w:w="100" w:type="dxa"/>
              <w:left w:w="100" w:type="dxa"/>
              <w:right w:w="100" w:type="dxa"/>
            </w:tcMar>
            <w:shd w:val="clear" w:color="auto" w:fill="F2F2F2"/>
          </w:tcPr>
          <w:p>
            <w:pPr>
              <w:spacing w:before="40" w:after="40" w:line="276" w:lineRule="auto"/>
              <w:jc w:val="left"/>
            </w:pPr>
            <w:r>
              <w:rPr>
                <w:rFonts w:ascii="Times New Roman" w:hAnsi="Times New Roman"/>
                <w:color w:val="000000"/>
                <w:sz w:val="19"/>
              </w:rPr>
              <w:t>Aumento sintético de dados raros e explicação auditável de decisões para LGPD.</w:t>
            </w:r>
          </w:p>
        </w:tc>
        <w:tc>
          <w:tcPr>
            <w:tcW w:type="dxa" w:w="3024"/>
            <w:tcMar>
              <w:top w:w="100" w:type="dxa"/>
              <w:bottom w:w="100" w:type="dxa"/>
              <w:left w:w="100" w:type="dxa"/>
              <w:right w:w="100" w:type="dxa"/>
            </w:tcMar>
            <w:shd w:val="clear" w:color="auto" w:fill="F2F2F2"/>
          </w:tcPr>
          <w:p>
            <w:pPr>
              <w:spacing w:before="40" w:after="40" w:line="276" w:lineRule="auto"/>
              <w:jc w:val="left"/>
            </w:pPr>
            <w:r>
              <w:rPr>
                <w:rFonts w:ascii="Times New Roman" w:hAnsi="Times New Roman"/>
                <w:color w:val="000000"/>
                <w:sz w:val="19"/>
              </w:rPr>
              <w:t>Custo de implementação elevado e necessidade de validação técnica constante.</w:t>
            </w:r>
          </w:p>
        </w:tc>
      </w:tr>
      <w:tr>
        <w:tc>
          <w:tcPr>
            <w:tcW w:type="dxa" w:w="2160"/>
            <w:tcMar>
              <w:top w:w="100" w:type="dxa"/>
              <w:bottom w:w="100" w:type="dxa"/>
              <w:left w:w="100" w:type="dxa"/>
              <w:right w:w="100" w:type="dxa"/>
            </w:tcMar>
            <w:shd w:val="clear" w:color="auto" w:fill="FFFFFF"/>
          </w:tcPr>
          <w:p>
            <w:pPr>
              <w:spacing w:before="40" w:after="40" w:line="276" w:lineRule="auto"/>
              <w:jc w:val="left"/>
            </w:pPr>
            <w:r>
              <w:rPr>
                <w:rFonts w:ascii="Times New Roman" w:hAnsi="Times New Roman"/>
                <w:color w:val="000000"/>
                <w:sz w:val="19"/>
              </w:rPr>
              <w:t>Deep Learning Opaco sem XAI (Caixa-Preta)</w:t>
            </w:r>
          </w:p>
        </w:tc>
        <w:tc>
          <w:tcPr>
            <w:tcW w:type="dxa" w:w="1584"/>
            <w:tcMar>
              <w:top w:w="100" w:type="dxa"/>
              <w:bottom w:w="100" w:type="dxa"/>
              <w:left w:w="100" w:type="dxa"/>
              <w:right w:w="100" w:type="dxa"/>
            </w:tcMar>
            <w:shd w:val="clear" w:color="auto" w:fill="FFFFFF"/>
          </w:tcPr>
          <w:p>
            <w:pPr>
              <w:spacing w:before="40" w:after="40" w:line="276" w:lineRule="auto"/>
              <w:jc w:val="center"/>
            </w:pPr>
            <w:r>
              <w:rPr>
                <w:rFonts w:ascii="Times New Roman" w:hAnsi="Times New Roman"/>
                <w:b/>
                <w:color w:val="B40000"/>
                <w:sz w:val="19"/>
              </w:rPr>
              <w:t>INVIÁVEL</w:t>
            </w:r>
          </w:p>
        </w:tc>
        <w:tc>
          <w:tcPr>
            <w:tcW w:type="dxa" w:w="3024"/>
            <w:tcMar>
              <w:top w:w="100" w:type="dxa"/>
              <w:bottom w:w="100" w:type="dxa"/>
              <w:left w:w="100" w:type="dxa"/>
              <w:right w:w="100" w:type="dxa"/>
            </w:tcMar>
            <w:shd w:val="clear" w:color="auto" w:fill="FFFFFF"/>
          </w:tcPr>
          <w:p>
            <w:pPr>
              <w:spacing w:before="40" w:after="40" w:line="276" w:lineRule="auto"/>
              <w:jc w:val="left"/>
            </w:pPr>
            <w:r>
              <w:rPr>
                <w:rFonts w:ascii="Times New Roman" w:hAnsi="Times New Roman"/>
                <w:color w:val="000000"/>
                <w:sz w:val="19"/>
              </w:rPr>
              <w:t>Não recomendado em ambiente clínico real.</w:t>
            </w:r>
          </w:p>
        </w:tc>
        <w:tc>
          <w:tcPr>
            <w:tcW w:type="dxa" w:w="3024"/>
            <w:tcMar>
              <w:top w:w="100" w:type="dxa"/>
              <w:bottom w:w="100" w:type="dxa"/>
              <w:left w:w="100" w:type="dxa"/>
              <w:right w:w="100" w:type="dxa"/>
            </w:tcMar>
            <w:shd w:val="clear" w:color="auto" w:fill="FFFFFF"/>
          </w:tcPr>
          <w:p>
            <w:pPr>
              <w:spacing w:before="40" w:after="40" w:line="276" w:lineRule="auto"/>
              <w:jc w:val="left"/>
            </w:pPr>
            <w:r>
              <w:rPr>
                <w:rFonts w:ascii="Times New Roman" w:hAnsi="Times New Roman"/>
                <w:color w:val="000000"/>
                <w:sz w:val="19"/>
              </w:rPr>
              <w:t>Viola o direito à explicação (LGPD), impede auditoria biomédica e alocação de responsabilidade.</w:t>
            </w:r>
          </w:p>
        </w:tc>
      </w:tr>
      <w:tr>
        <w:tc>
          <w:tcPr>
            <w:tcW w:type="dxa" w:w="2160"/>
            <w:tcMar>
              <w:top w:w="100" w:type="dxa"/>
              <w:bottom w:w="100" w:type="dxa"/>
              <w:left w:w="100" w:type="dxa"/>
              <w:right w:w="100" w:type="dxa"/>
            </w:tcMar>
            <w:shd w:val="clear" w:color="auto" w:fill="F2F2F2"/>
          </w:tcPr>
          <w:p>
            <w:pPr>
              <w:spacing w:before="40" w:after="40" w:line="276" w:lineRule="auto"/>
              <w:jc w:val="left"/>
            </w:pPr>
            <w:r>
              <w:rPr>
                <w:rFonts w:ascii="Times New Roman" w:hAnsi="Times New Roman"/>
                <w:color w:val="000000"/>
                <w:sz w:val="19"/>
              </w:rPr>
              <w:t>LSTMs Puras / Algoritmos Lineares Simples</w:t>
            </w:r>
          </w:p>
        </w:tc>
        <w:tc>
          <w:tcPr>
            <w:tcW w:type="dxa" w:w="1584"/>
            <w:tcMar>
              <w:top w:w="100" w:type="dxa"/>
              <w:bottom w:w="100" w:type="dxa"/>
              <w:left w:w="100" w:type="dxa"/>
              <w:right w:w="100" w:type="dxa"/>
            </w:tcMar>
            <w:shd w:val="clear" w:color="auto" w:fill="F2F2F2"/>
          </w:tcPr>
          <w:p>
            <w:pPr>
              <w:spacing w:before="40" w:after="40" w:line="276" w:lineRule="auto"/>
              <w:jc w:val="center"/>
            </w:pPr>
            <w:r>
              <w:rPr>
                <w:rFonts w:ascii="Times New Roman" w:hAnsi="Times New Roman"/>
                <w:b/>
                <w:color w:val="B40000"/>
                <w:sz w:val="19"/>
              </w:rPr>
              <w:t>INVIÁVEL</w:t>
            </w:r>
          </w:p>
        </w:tc>
        <w:tc>
          <w:tcPr>
            <w:tcW w:type="dxa" w:w="3024"/>
            <w:tcMar>
              <w:top w:w="100" w:type="dxa"/>
              <w:bottom w:w="100" w:type="dxa"/>
              <w:left w:w="100" w:type="dxa"/>
              <w:right w:w="100" w:type="dxa"/>
            </w:tcMar>
            <w:shd w:val="clear" w:color="auto" w:fill="F2F2F2"/>
          </w:tcPr>
          <w:p>
            <w:pPr>
              <w:spacing w:before="40" w:after="40" w:line="276" w:lineRule="auto"/>
              <w:jc w:val="left"/>
            </w:pPr>
            <w:r>
              <w:rPr>
                <w:rFonts w:ascii="Times New Roman" w:hAnsi="Times New Roman"/>
                <w:color w:val="000000"/>
                <w:sz w:val="19"/>
              </w:rPr>
              <w:t>Não recomendado para sinais brutos ou não-lineares.</w:t>
            </w:r>
          </w:p>
        </w:tc>
        <w:tc>
          <w:tcPr>
            <w:tcW w:type="dxa" w:w="3024"/>
            <w:tcMar>
              <w:top w:w="100" w:type="dxa"/>
              <w:bottom w:w="100" w:type="dxa"/>
              <w:left w:w="100" w:type="dxa"/>
              <w:right w:w="100" w:type="dxa"/>
            </w:tcMar>
            <w:shd w:val="clear" w:color="auto" w:fill="F2F2F2"/>
          </w:tcPr>
          <w:p>
            <w:pPr>
              <w:spacing w:before="40" w:after="40" w:line="276" w:lineRule="auto"/>
              <w:jc w:val="left"/>
            </w:pPr>
            <w:r>
              <w:rPr>
                <w:rFonts w:ascii="Times New Roman" w:hAnsi="Times New Roman"/>
                <w:color w:val="000000"/>
                <w:sz w:val="19"/>
              </w:rPr>
              <w:t>Instabilidade de convergência, alta latência computacional e incapacidade de modelar sinais complexos.</w:t>
            </w:r>
          </w:p>
        </w:tc>
      </w:tr>
    </w:tbl>
    <w:p>
      <w:pPr>
        <w:spacing w:before="80" w:after="360" w:line="360" w:lineRule="auto"/>
        <w:ind w:firstLine="0"/>
        <w:jc w:val="both"/>
      </w:pPr>
      <w:r>
        <w:rPr>
          <w:rFonts w:ascii="Times New Roman" w:hAnsi="Times New Roman"/>
          <w:i/>
          <w:color w:val="000000"/>
          <w:sz w:val="20"/>
        </w:rPr>
        <w:t>Fonte: Elaborado pelo autor com base na literatura biomédica (2026).</w:t>
      </w:r>
    </w:p>
    <w:p>
      <w:pPr>
        <w:keepNext/>
        <w:spacing w:before="360" w:after="240" w:line="360" w:lineRule="auto"/>
        <w:jc w:val="left"/>
      </w:pPr>
      <w:r>
        <w:rPr>
          <w:rFonts w:ascii="Times New Roman" w:hAnsi="Times New Roman"/>
          <w:b/>
          <w:color w:val="000000"/>
          <w:sz w:val="24"/>
        </w:rPr>
        <w:t>5 CONSIDERAÇÕES FINAIS</w:t>
      </w:r>
    </w:p>
    <w:p>
      <w:pPr>
        <w:spacing w:before="0" w:after="120" w:line="360" w:lineRule="auto"/>
        <w:ind w:firstLine="709"/>
        <w:jc w:val="both"/>
      </w:pPr>
      <w:r>
        <w:rPr>
          <w:rFonts w:ascii="Times New Roman" w:hAnsi="Times New Roman"/>
          <w:color w:val="000000"/>
          <w:sz w:val="24"/>
        </w:rPr>
        <w:t>A incorporação do Machine Learning e do Deep Learning na Biomedicina e na análise eletrofisiológica do eletrocardiograma representa um salto paradigmático para a saúde pública e privada. A capacidade dessas tecnologias em detectar alterações subclínicas, padronizar laudos e apoiar a medicina preventiva consolida a IA como uma parceira estratégica do profissional biomédico.</w:t>
      </w:r>
    </w:p>
    <w:p>
      <w:pPr>
        <w:spacing w:before="0" w:after="120" w:line="360" w:lineRule="auto"/>
        <w:ind w:firstLine="709"/>
        <w:jc w:val="both"/>
      </w:pPr>
      <w:r>
        <w:rPr>
          <w:rFonts w:ascii="Times New Roman" w:hAnsi="Times New Roman"/>
          <w:color w:val="000000"/>
          <w:sz w:val="24"/>
        </w:rPr>
        <w:t>Contudo, a viabilidade prática dessas soluções não depende unicamente do ganho de acurácia estatística bruta. Modelos considerados matematicamente avançados tornam-se inviáveis quando carecem de transparência (explicabilidade XAI), quando são vulneráveis a ruídos fisiológicos não filtrados, ou quando sofrem de viés algorítmico por treinamento desequilibrado. A segurança do paciente e a conformidade com as diretrizes éticas e regulatórias (como a LGPD) devem orientar cada etapa do desenvolvimento algorítmico.</w:t>
      </w:r>
    </w:p>
    <w:p>
      <w:pPr>
        <w:spacing w:before="0" w:after="120" w:line="360" w:lineRule="auto"/>
        <w:ind w:firstLine="709"/>
        <w:jc w:val="both"/>
      </w:pPr>
      <w:r>
        <w:rPr>
          <w:rFonts w:ascii="Times New Roman" w:hAnsi="Times New Roman"/>
          <w:color w:val="000000"/>
          <w:sz w:val="24"/>
        </w:rPr>
        <w:t>Em suma, a evolução da Biomedicina Inteligente exige uma abordagem transdisciplinar, que una o rigor do processamento de sinais e aprendizado de máquina à capacitação crítica dos profissionais de saúde, assegurando que a inovação tecnológica se traduza em diagnósticos mais ágeis, precisos, seguros e humanos.</w:t>
      </w:r>
    </w:p>
    <w:p>
      <w:pPr>
        <w:keepNext/>
        <w:spacing w:before="360" w:after="240" w:line="360" w:lineRule="auto"/>
        <w:jc w:val="left"/>
      </w:pPr>
      <w:r>
        <w:rPr>
          <w:rFonts w:ascii="Times New Roman" w:hAnsi="Times New Roman"/>
          <w:b/>
          <w:color w:val="000000"/>
          <w:sz w:val="24"/>
        </w:rPr>
        <w:t>REFERÊNCIAS</w:t>
      </w:r>
    </w:p>
    <w:p>
      <w:pPr>
        <w:spacing w:before="0" w:after="120" w:line="240" w:lineRule="auto"/>
        <w:ind w:firstLine="0"/>
        <w:jc w:val="left"/>
      </w:pPr>
      <w:r>
        <w:rPr>
          <w:rFonts w:ascii="Times New Roman" w:hAnsi="Times New Roman"/>
          <w:color w:val="000000"/>
          <w:sz w:val="24"/>
        </w:rPr>
        <w:t>ACHARYA, U. R. et al. Automated detection of coronary artery disease using different durations of ECG segments with convolutional neural network. Knowledge-Based Systems, v. 132, p. 62-71, 2017.</w:t>
      </w:r>
    </w:p>
    <w:p>
      <w:pPr>
        <w:spacing w:before="0" w:after="120" w:line="240" w:lineRule="auto"/>
        <w:ind w:firstLine="0"/>
        <w:jc w:val="left"/>
      </w:pPr>
      <w:r>
        <w:rPr>
          <w:rFonts w:ascii="Times New Roman" w:hAnsi="Times New Roman"/>
          <w:color w:val="000000"/>
          <w:sz w:val="24"/>
        </w:rPr>
        <w:t>AHSAN, M. M. et al. Machine Learning-Based Heart Disease Diagnosis: A Systematic Literature Review. arXiv preprint arXiv:2112.06459, 2021.</w:t>
      </w:r>
    </w:p>
    <w:p>
      <w:pPr>
        <w:spacing w:before="0" w:after="120" w:line="240" w:lineRule="auto"/>
        <w:ind w:firstLine="0"/>
        <w:jc w:val="left"/>
      </w:pPr>
      <w:r>
        <w:rPr>
          <w:rFonts w:ascii="Times New Roman" w:hAnsi="Times New Roman"/>
          <w:color w:val="000000"/>
          <w:sz w:val="24"/>
        </w:rPr>
        <w:t>ANSARI, A. Q.; GUPTA, N. K. Automated diagnosis of coronary heart disease using neuro-fuzzy integrated system. In: WORLD CONGRESS ON INFORMATION AND COMMUNICATION TECHNOLOGIES, 2011, Mumbai. Proceedings... Mumbai: IEEE, 2011. p. 1379-1384.</w:t>
      </w:r>
    </w:p>
    <w:p>
      <w:pPr>
        <w:spacing w:before="0" w:after="120" w:line="240" w:lineRule="auto"/>
        <w:ind w:firstLine="0"/>
        <w:jc w:val="left"/>
      </w:pPr>
      <w:r>
        <w:rPr>
          <w:rFonts w:ascii="Times New Roman" w:hAnsi="Times New Roman"/>
          <w:color w:val="000000"/>
          <w:sz w:val="24"/>
        </w:rPr>
        <w:t>BELEM, A. S.; ASSIS, E. G.; REZENDE, G. O. Avaliação dos impactos do uso da inteligência artificial na precisão diagnóstica na imagenologia. Lumen et Virtus, v. 16, n. 54, p. 1-13, 2025.</w:t>
      </w:r>
    </w:p>
    <w:p>
      <w:pPr>
        <w:spacing w:before="0" w:after="120" w:line="240" w:lineRule="auto"/>
        <w:ind w:firstLine="0"/>
        <w:jc w:val="left"/>
      </w:pPr>
      <w:r>
        <w:rPr>
          <w:rFonts w:ascii="Times New Roman" w:hAnsi="Times New Roman"/>
          <w:color w:val="000000"/>
          <w:sz w:val="24"/>
        </w:rPr>
        <w:t>BONTEMPO, N. E. H. et al. Aplicações da Inteligência Artificial no Diagnóstico Médico: Impacto nas Novas Diretrizes e Protocolos Clínicos. Brazilian Journal of Implantology and Health Sciences, v. 8, n. 1, p. 963-972, 2026.</w:t>
      </w:r>
    </w:p>
    <w:p>
      <w:pPr>
        <w:spacing w:before="0" w:after="120" w:line="240" w:lineRule="auto"/>
        <w:ind w:firstLine="0"/>
        <w:jc w:val="left"/>
      </w:pPr>
      <w:r>
        <w:rPr>
          <w:rFonts w:ascii="Times New Roman" w:hAnsi="Times New Roman"/>
          <w:color w:val="000000"/>
          <w:sz w:val="24"/>
        </w:rPr>
        <w:t>CAPELO, R. L. Aplicações da inteligência artificial no diagnóstico médico: avanços e desafios. Lumen et Virtus, v. 15, n. 42, p. 1-15, 2024.</w:t>
      </w:r>
    </w:p>
    <w:p>
      <w:pPr>
        <w:spacing w:before="0" w:after="120" w:line="240" w:lineRule="auto"/>
        <w:ind w:firstLine="0"/>
        <w:jc w:val="left"/>
      </w:pPr>
      <w:r>
        <w:rPr>
          <w:rFonts w:ascii="Times New Roman" w:hAnsi="Times New Roman"/>
          <w:color w:val="000000"/>
          <w:sz w:val="24"/>
        </w:rPr>
        <w:t>DENTAMARO, V. et al. Enhancing early Parkinson’s disease detection through multimodal deep learning and explainable AI: insights from the PPMI database. Scientific Reports, v. 14, n. 1, p. 20941, 2024.</w:t>
      </w:r>
    </w:p>
    <w:p>
      <w:pPr>
        <w:spacing w:before="0" w:after="120" w:line="240" w:lineRule="auto"/>
        <w:ind w:firstLine="0"/>
        <w:jc w:val="left"/>
      </w:pPr>
      <w:r>
        <w:rPr>
          <w:rFonts w:ascii="Times New Roman" w:hAnsi="Times New Roman"/>
          <w:color w:val="000000"/>
          <w:sz w:val="24"/>
        </w:rPr>
        <w:t>DOURADO, D. A.; AITH, F. M. A. A regulação da inteligência artificial na saúde no Brasil começa com a Lei Geral de Proteção de Dados Pessoais. Revista de Saúde Pública, v. 56, p. 80, 2022.</w:t>
      </w:r>
    </w:p>
    <w:p>
      <w:pPr>
        <w:spacing w:before="0" w:after="120" w:line="240" w:lineRule="auto"/>
        <w:ind w:firstLine="0"/>
        <w:jc w:val="left"/>
      </w:pPr>
      <w:r>
        <w:rPr>
          <w:rFonts w:ascii="Times New Roman" w:hAnsi="Times New Roman"/>
          <w:color w:val="000000"/>
          <w:sz w:val="24"/>
        </w:rPr>
        <w:t>FATIMA, M.; PASHA, M. Survey of machine learning algorithms for disease diagnostic. Journal of Intelligent Learning Systems and Applications, v. 9, n. 1, p. 1-16, 2017.</w:t>
      </w:r>
    </w:p>
    <w:p>
      <w:pPr>
        <w:spacing w:before="0" w:after="120" w:line="240" w:lineRule="auto"/>
        <w:ind w:firstLine="0"/>
        <w:jc w:val="left"/>
      </w:pPr>
      <w:r>
        <w:rPr>
          <w:rFonts w:ascii="Times New Roman" w:hAnsi="Times New Roman"/>
          <w:color w:val="000000"/>
          <w:sz w:val="24"/>
        </w:rPr>
        <w:t>GANESHKUMAR, M. et al. Explainable deep learning-based approach for multilabel classification of electrocardiogram. IEEE Transactions on Engineering Management, v. 68, n. 4, p. 1102-1112, 2021.</w:t>
      </w:r>
    </w:p>
    <w:p>
      <w:pPr>
        <w:spacing w:before="0" w:after="120" w:line="240" w:lineRule="auto"/>
        <w:ind w:firstLine="0"/>
        <w:jc w:val="left"/>
      </w:pPr>
      <w:r>
        <w:rPr>
          <w:rFonts w:ascii="Times New Roman" w:hAnsi="Times New Roman"/>
          <w:color w:val="000000"/>
          <w:sz w:val="24"/>
        </w:rPr>
        <w:t>KOÇAK, B. et al. Bias in artificial intelligence for medical imaging: Fundamentals, detection, avoidance, mitigation, challenges, ethics, and prospects. Diagnostic and Interventional Radiology, v. 30, n. 1, p. 1-9, 2024.</w:t>
      </w:r>
    </w:p>
    <w:p>
      <w:pPr>
        <w:spacing w:before="0" w:after="120" w:line="240" w:lineRule="auto"/>
        <w:ind w:firstLine="0"/>
        <w:jc w:val="left"/>
      </w:pPr>
      <w:r>
        <w:rPr>
          <w:rFonts w:ascii="Times New Roman" w:hAnsi="Times New Roman"/>
          <w:color w:val="000000"/>
          <w:sz w:val="24"/>
        </w:rPr>
        <w:t>LITJENS, G. et al. Artificial intelligence in medical imaging: opportunities and challenges. The Lancet Digital Health, v. 3, n. 11, p. e745-e750, 2021.</w:t>
      </w:r>
    </w:p>
    <w:p>
      <w:pPr>
        <w:spacing w:before="0" w:after="120" w:line="240" w:lineRule="auto"/>
        <w:ind w:firstLine="0"/>
        <w:jc w:val="left"/>
      </w:pPr>
      <w:r>
        <w:rPr>
          <w:rFonts w:ascii="Times New Roman" w:hAnsi="Times New Roman"/>
          <w:color w:val="000000"/>
          <w:sz w:val="24"/>
        </w:rPr>
        <w:t>LIU, N. et al. An intelligent scoring system and its application to cardiac arrest prediction. IEEE Transactions on Information Technology in Biomedicine, v. 16, n. 6, p. 1324-1331, 2012.</w:t>
      </w:r>
    </w:p>
    <w:p>
      <w:pPr>
        <w:spacing w:before="0" w:after="120" w:line="240" w:lineRule="auto"/>
        <w:ind w:firstLine="0"/>
        <w:jc w:val="left"/>
      </w:pPr>
      <w:r>
        <w:rPr>
          <w:rFonts w:ascii="Times New Roman" w:hAnsi="Times New Roman"/>
          <w:color w:val="000000"/>
          <w:sz w:val="24"/>
        </w:rPr>
        <w:t>MORTAZAVI, B. J. et al. Analysis of machine learning techniques for heart failure readmissions. Circulation: Cardiovascular Quality and Outcomes, v. 9, n. 6, p. 629-640, 2016.</w:t>
      </w:r>
    </w:p>
    <w:p>
      <w:pPr>
        <w:spacing w:before="0" w:after="120" w:line="240" w:lineRule="auto"/>
        <w:ind w:firstLine="0"/>
        <w:jc w:val="left"/>
      </w:pPr>
      <w:r>
        <w:rPr>
          <w:rFonts w:ascii="Times New Roman" w:hAnsi="Times New Roman"/>
          <w:color w:val="000000"/>
          <w:sz w:val="24"/>
        </w:rPr>
        <w:t>PAIXÃO, G. M. M. et al. Machine learning na medicina: revisão e aplicabilidade. Arquivos Brasileiros de Cardiologia, v. 118, n. 1, p. 95-102, 2022.</w:t>
      </w:r>
    </w:p>
    <w:p>
      <w:pPr>
        <w:spacing w:before="0" w:after="120" w:line="240" w:lineRule="auto"/>
        <w:ind w:firstLine="0"/>
        <w:jc w:val="left"/>
      </w:pPr>
      <w:r>
        <w:rPr>
          <w:rFonts w:ascii="Times New Roman" w:hAnsi="Times New Roman"/>
          <w:color w:val="000000"/>
          <w:sz w:val="24"/>
        </w:rPr>
        <w:t>PHILIPS. Dez exemplos do mundo real de IA na saúde. Philips Healthcare Insights, 2022. Disponível em: &lt;www.philips.com.br&gt;. Acesso em: 16 out. 2026.</w:t>
      </w:r>
    </w:p>
    <w:p>
      <w:pPr>
        <w:spacing w:before="0" w:after="120" w:line="240" w:lineRule="auto"/>
        <w:ind w:firstLine="0"/>
        <w:jc w:val="left"/>
      </w:pPr>
      <w:r>
        <w:rPr>
          <w:rFonts w:ascii="Times New Roman" w:hAnsi="Times New Roman"/>
          <w:color w:val="000000"/>
          <w:sz w:val="24"/>
        </w:rPr>
        <w:t>PUSPITASARI, R. D. I. et al. Generative adversarial networks for unbalanced fetal heart rate signal classification. ICT Express, v. 7, n. 3, p. 320-325, 2021.</w:t>
      </w:r>
    </w:p>
    <w:p>
      <w:pPr>
        <w:spacing w:before="0" w:after="120" w:line="240" w:lineRule="auto"/>
        <w:ind w:firstLine="0"/>
        <w:jc w:val="left"/>
      </w:pPr>
      <w:r>
        <w:rPr>
          <w:rFonts w:ascii="Times New Roman" w:hAnsi="Times New Roman"/>
          <w:color w:val="000000"/>
          <w:sz w:val="24"/>
        </w:rPr>
        <w:t>ROY, S.; GOYAL, L. M.; BALAS, V. E. (Eds.). Predictive Modelling in Biomedical Data Mining and Analysis. Academic Press / Elsevier, 2022. ISBN 9780323914451.</w:t>
      </w:r>
    </w:p>
    <w:p>
      <w:pPr>
        <w:spacing w:before="0" w:after="120" w:line="240" w:lineRule="auto"/>
        <w:ind w:firstLine="0"/>
        <w:jc w:val="left"/>
      </w:pPr>
      <w:r>
        <w:rPr>
          <w:rFonts w:ascii="Times New Roman" w:hAnsi="Times New Roman"/>
          <w:color w:val="000000"/>
          <w:sz w:val="24"/>
        </w:rPr>
        <w:t>SOUNDERAJAH, V. et al. The STARD-AI reporting guideline for diagnostic accuracy studies. Nature Medicine, v. 31, p. 120-129, 2025.</w:t>
      </w:r>
    </w:p>
    <w:p>
      <w:pPr>
        <w:spacing w:before="0" w:after="120" w:line="240" w:lineRule="auto"/>
        <w:ind w:firstLine="0"/>
        <w:jc w:val="left"/>
      </w:pPr>
      <w:r>
        <w:rPr>
          <w:rFonts w:ascii="Times New Roman" w:hAnsi="Times New Roman"/>
          <w:color w:val="000000"/>
          <w:sz w:val="24"/>
        </w:rPr>
        <w:t>TANVEER, M. S.; HASAN, M. K. Cuffless blood pressure estimation from electrocardiogram and photoplethysmogram using waveform based ANN-LSTM network. Biomedical Signal Processing and Control, v. 51, p. 382-392, 2019.</w:t>
      </w:r>
    </w:p>
    <w:p>
      <w:pPr>
        <w:spacing w:before="0" w:after="120" w:line="240" w:lineRule="auto"/>
        <w:ind w:firstLine="0"/>
        <w:jc w:val="left"/>
      </w:pPr>
      <w:r>
        <w:rPr>
          <w:rFonts w:ascii="Times New Roman" w:hAnsi="Times New Roman"/>
          <w:color w:val="000000"/>
          <w:sz w:val="24"/>
        </w:rPr>
        <w:t>TOPOL, E. J. High-performance medicine: the convergence of human and artificial intelligence. Nature Medicine, v. 25, n. 1, p. 44-56, 2020.</w:t>
      </w:r>
    </w:p>
    <w:p>
      <w:pPr>
        <w:spacing w:before="0" w:after="120" w:line="240" w:lineRule="auto"/>
        <w:ind w:firstLine="0"/>
        <w:jc w:val="left"/>
      </w:pPr>
      <w:r>
        <w:rPr>
          <w:rFonts w:ascii="Times New Roman" w:hAnsi="Times New Roman"/>
          <w:color w:val="000000"/>
          <w:sz w:val="24"/>
        </w:rPr>
        <w:t>WANG, Y.; SUN, L.; SUBRAMANI, S. CAB: Classifying arrhythmias based on imbalanced sensor data. KSII Transactions on Internet and Information Systems, v. 15, n. 7, p. 2304-2320, 2021.</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