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Manual de usuario para Windows</w:t>
      </w:r>
    </w:p>
    <w:p>
      <w:pPr>
        <w:spacing w:after="360"/>
      </w:pPr>
      <w:r>
        <w:rPr>
          <w:i/>
          <w:color w:val="555555"/>
          <w:sz w:val="22"/>
        </w:rPr>
        <w:t>ST1 Gestion de Contenedores  |  Operativa diaria de solicitudes, servicios y albaranes</w:t>
      </w:r>
    </w:p>
    <w:p>
      <w:r>
        <w:t>Este manual explica el uso habitual de ST1 Gestion de Contenedores desde un equipo Windows. Está dirigido a personal de administración, planificación y operación. Los menús visibles y las acciones permitidas dependen del usuario y sus permisos.</w:t>
      </w:r>
    </w:p>
    <w:p>
      <w:pPr>
        <w:pStyle w:val="Heading1"/>
      </w:pPr>
      <w:r>
        <w:t>Antes de empezar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Necesita</w:t>
            </w:r>
          </w:p>
        </w:tc>
        <w:tc>
          <w:tcPr>
            <w:tcW w:type="dxa" w:w="5669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Comprobación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Equipo Windows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Acceso a la aplicación y conexión con la red corporativa.</w:t>
            </w:r>
          </w:p>
        </w:tc>
      </w:tr>
      <w:tr>
        <w:tc>
          <w:tcPr>
            <w:tcW w:type="dxa" w:w="3402"/>
            <w:shd w:fill="EAF1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Credenciales</w:t>
            </w:r>
          </w:p>
        </w:tc>
        <w:tc>
          <w:tcPr>
            <w:tcW w:type="dxa" w:w="5669"/>
            <w:shd w:fill="EAF1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Usuario y contraseña facilitados por el administrador.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Datos maestros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Clientes, obras, camiones, operarios, tareas y tarifas actualizados.</w:t>
            </w:r>
          </w:p>
        </w:tc>
      </w:tr>
      <w:tr>
        <w:tc>
          <w:tcPr>
            <w:tcW w:type="dxa" w:w="3402"/>
            <w:shd w:fill="EAF1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Navegador o aplicación</w:t>
            </w:r>
          </w:p>
        </w:tc>
        <w:tc>
          <w:tcPr>
            <w:tcW w:type="dxa" w:w="5669"/>
            <w:shd w:fill="EAF1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Utilice la versión publicada por la empresa; no cierre la sesión mientras haya cambios sin guardar.</w:t>
            </w:r>
          </w:p>
        </w:tc>
      </w:tr>
    </w:tbl>
    <w:p>
      <w:pPr>
        <w:spacing w:after="60"/>
      </w:pPr>
    </w:p>
    <w:p>
      <w:pPr>
        <w:pStyle w:val="Heading1"/>
      </w:pPr>
      <w:r>
        <w:t>Recorrido de trabajo recomendado</w:t>
      </w:r>
    </w:p>
    <w:p>
      <w:pPr>
        <w:pStyle w:val="ListNumber"/>
      </w:pPr>
      <w:r>
        <w:t>Acceda con sus credenciales y revise Inicio para identificar servicios bloqueados, pendientes o avisos.</w:t>
      </w:r>
    </w:p>
    <w:p>
      <w:pPr>
        <w:pStyle w:val="ListNumber"/>
      </w:pPr>
      <w:r>
        <w:t>Compruebe que el cliente, la obra, la tarea, el camión y el operario están disponibles.</w:t>
      </w:r>
    </w:p>
    <w:p>
      <w:pPr>
        <w:pStyle w:val="ListNumber"/>
      </w:pPr>
      <w:r>
        <w:t>Cree o edite la solicitud y complete los datos obligatorios.</w:t>
      </w:r>
    </w:p>
    <w:p>
      <w:pPr>
        <w:pStyle w:val="ListNumber"/>
      </w:pPr>
      <w:r>
        <w:t>Planifique y asigne la solicitud al operario y al vehículo correspondientes.</w:t>
      </w:r>
    </w:p>
    <w:p>
      <w:pPr>
        <w:pStyle w:val="ListNumber"/>
      </w:pPr>
      <w:r>
        <w:t>Durante la ejecución, registre el estado, fotos, firma, pesos y observaciones.</w:t>
      </w:r>
    </w:p>
    <w:p>
      <w:pPr>
        <w:pStyle w:val="ListNumber"/>
      </w:pPr>
      <w:r>
        <w:t>Genere el albarán y, cuando corresponda, envíelo por correo o consulte los informes.</w:t>
      </w:r>
    </w:p>
    <w:p>
      <w:pPr>
        <w:pStyle w:val="Heading1"/>
      </w:pPr>
      <w:r>
        <w:t>1 Acceso, navegación y mensajes</w:t>
      </w:r>
    </w:p>
    <w:p>
      <w:r>
        <w:t>Después de iniciar sesión se abre Inicio. El menú lateral agrupa Inicio, Maestros, Laboral, Servicios, Informes y Configuración. Use el icono de menú para contraerlo y Cerrar sesión al terminar. Los errores y confirmaciones se muestran en ventanas emergentes; lea el texto completo antes de aceptar.</w:t>
      </w:r>
    </w:p>
    <w:p>
      <w:pPr>
        <w:pStyle w:val="Heading1"/>
      </w:pPr>
      <w:r>
        <w:t>2 Panel Inicio</w:t>
      </w:r>
    </w:p>
    <w:p>
      <w:r>
        <w:t>Inicio resume la situación operativa del día: relación de servicios, servicios bloqueados, operarios inactivos, avisos de OVP, clientes bloqueados, control de servicios, observaciones de conductor y servicios pendientes de albarán. Use Actualizar para consultar la información más reciente.</w:t>
      </w:r>
    </w:p>
    <w:p>
      <w:pPr>
        <w:pStyle w:val="Heading1"/>
      </w:pPr>
      <w:r>
        <w:t>3 Datos maestros</w:t>
      </w:r>
    </w:p>
    <w:p>
      <w:r>
        <w:t>Los datos maestros son la base de las solicitudes y servicios. Deben mantenerse antes de empezar a planificar.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2835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Uso principal</w:t>
            </w:r>
          </w:p>
        </w:tc>
        <w:tc>
          <w:tcPr>
            <w:tcW w:type="dxa" w:w="4535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Recomendación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Clientes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Datos de facturación y contacto.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Evite duplicados; busque antes de crear.</w:t>
            </w:r>
          </w:p>
        </w:tc>
      </w:tr>
      <w:tr>
        <w:tc>
          <w:tcPr>
            <w:tcW w:type="dxa" w:w="1701"/>
            <w:shd w:fill="EAF1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Obras</w:t>
            </w:r>
          </w:p>
        </w:tc>
        <w:tc>
          <w:tcPr>
            <w:tcW w:type="dxa" w:w="2835"/>
            <w:shd w:fill="EAF1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Ubicación, cliente, tarifa, precios especiales y periodicidad.</w:t>
            </w:r>
          </w:p>
        </w:tc>
        <w:tc>
          <w:tcPr>
            <w:tcW w:type="dxa" w:w="4535"/>
            <w:shd w:fill="EAF1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Complete dirección, población y coordenadas.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Tarifas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Precios por zona y artículo.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Seleccione por población o manualmente cuando proceda.</w:t>
            </w:r>
          </w:p>
        </w:tc>
      </w:tr>
      <w:tr>
        <w:tc>
          <w:tcPr>
            <w:tcW w:type="dxa" w:w="1701"/>
            <w:shd w:fill="EAF1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Tareas</w:t>
            </w:r>
          </w:p>
        </w:tc>
        <w:tc>
          <w:tcPr>
            <w:tcW w:type="dxa" w:w="2835"/>
            <w:shd w:fill="EAF1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Tipo de trabajo: entrega, recogida, cambio u otros.</w:t>
            </w:r>
          </w:p>
        </w:tc>
        <w:tc>
          <w:tcPr>
            <w:tcW w:type="dxa" w:w="4535"/>
            <w:shd w:fill="EAF1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Mantenga descripciones claras.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Camiones y operarios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Recursos de ejecución.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Revise matrícula, tara, disponibilidad y datos laborales.</w:t>
            </w:r>
          </w:p>
        </w:tc>
      </w:tr>
      <w:tr>
        <w:tc>
          <w:tcPr>
            <w:tcW w:type="dxa" w:w="1701"/>
            <w:shd w:fill="EAF1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Contenedores</w:t>
            </w:r>
          </w:p>
        </w:tc>
        <w:tc>
          <w:tcPr>
            <w:tcW w:type="dxa" w:w="2835"/>
            <w:shd w:fill="EAF1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Inventario y estado de los contenedores.</w:t>
            </w:r>
          </w:p>
        </w:tc>
        <w:tc>
          <w:tcPr>
            <w:tcW w:type="dxa" w:w="4535"/>
            <w:shd w:fill="EAF1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Actualice ubicación y tipo tras cada movimiento.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Plantas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Destino y cabecera documental.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Compruebe que la planta seleccionada es la correcta.</w:t>
            </w:r>
          </w:p>
        </w:tc>
      </w:tr>
    </w:tbl>
    <w:p>
      <w:pPr>
        <w:spacing w:after="60"/>
      </w:pPr>
    </w:p>
    <w:p>
      <w:pPr>
        <w:pStyle w:val="Heading1"/>
      </w:pPr>
      <w:r>
        <w:t>4 Clientes y obras</w:t>
      </w:r>
    </w:p>
    <w:p>
      <w:pPr>
        <w:pStyle w:val="Heading2"/>
      </w:pPr>
      <w:r>
        <w:t>Crear o editar un cliente</w:t>
      </w:r>
    </w:p>
    <w:p>
      <w:r>
        <w:t>Abra Maestros y Clientes. Pulse Nuevo para crear o seleccione una fila para editar. Complete código, nombre, CIF y los datos disponibles. Guarde antes de volver a la solicitud. Si crea un cliente desde una solicitud, al regresar quedará disponible en el selector de clientes.</w:t>
      </w:r>
    </w:p>
    <w:p>
      <w:pPr>
        <w:pStyle w:val="Heading2"/>
      </w:pPr>
      <w:r>
        <w:t>Crear o editar una obra</w:t>
      </w:r>
    </w:p>
    <w:p>
      <w:r>
        <w:t>Abra Maestros y Obras. En Datos de la obra indique código, nombre, cliente, dirección, población, código postal, provincia, tarifa y, si se usan, coordenadas y horarios. La pestaña Precios especiales permite definir excepciones sobre la tarifa general.</w:t>
      </w:r>
    </w:p>
    <w:p>
      <w:pPr>
        <w:pStyle w:val="Heading2"/>
      </w:pPr>
      <w:r>
        <w:t>Periodicidad de obra</w:t>
      </w:r>
    </w:p>
    <w:p>
      <w:r>
        <w:t>En la pestaña Periodicidad active el servicio recurrente, indique periodo, cantidad, hora prevista e inicio. Para servicios semanales marque uno o varios días L, M, X, J, V, S y D. La aplicación conserva una futura solicitud; al finalizarse se marca como realizada y se prepara la siguiente. Revise Comprobar servicios recurrentes para confirmar pendientes y editar la obra si necesita corregir la configuración.</w:t>
      </w:r>
    </w:p>
    <w:p>
      <w:pPr>
        <w:pStyle w:val="Heading1"/>
      </w:pPr>
      <w:r>
        <w:t>5 Solicitudes</w:t>
      </w:r>
    </w:p>
    <w:p>
      <w:r>
        <w:t>Abra Servicios y Solicitudes para consultar, crear o modificar solicitudes. Use los filtros de la cuadrícula para localizar una solicitud y el botón Nuevo para iniciar una.</w:t>
      </w:r>
    </w:p>
    <w:p>
      <w:pPr>
        <w:pStyle w:val="Heading2"/>
      </w:pPr>
      <w:r>
        <w:t>Crear una solicitud con obra</w:t>
      </w:r>
    </w:p>
    <w:p>
      <w:pPr>
        <w:pStyle w:val="ListNumber"/>
      </w:pPr>
      <w:r>
        <w:t>Seleccione la obra. Se completan cliente, contacto, dirección, población, coordenadas, tarifa y, si existen, precios especiales de la obra.</w:t>
      </w:r>
    </w:p>
    <w:p>
      <w:pPr>
        <w:pStyle w:val="ListNumber"/>
      </w:pPr>
      <w:r>
        <w:t>Revise la tarea, fecha solicitada, prioridad y datos de asignación.</w:t>
      </w:r>
    </w:p>
    <w:p>
      <w:pPr>
        <w:pStyle w:val="ListNumber"/>
      </w:pPr>
      <w:r>
        <w:t>Compruebe la tarifa aplicada. La lista muestra código, nombre y zona.</w:t>
      </w:r>
    </w:p>
    <w:p>
      <w:pPr>
        <w:pStyle w:val="ListNumber"/>
      </w:pPr>
      <w:r>
        <w:t>Añada observaciones. Si la obra contiene observaciones, se incorporan respetando el texto ya escrito en la solicitud.</w:t>
      </w:r>
    </w:p>
    <w:p>
      <w:pPr>
        <w:pStyle w:val="ListNumber"/>
      </w:pPr>
      <w:r>
        <w:t>Guarde la solicitud. Si está finalizada y se modifica, confirme su contraseña cuando el sistema lo solicite.</w:t>
      </w:r>
    </w:p>
    <w:p>
      <w:pPr>
        <w:pStyle w:val="Heading2"/>
      </w:pPr>
      <w:r>
        <w:t>Solicitud sin obra</w:t>
      </w:r>
    </w:p>
    <w:p>
      <w:r>
        <w:t>Marque Servicio sin obra y Datos manuales. Complete manualmente nombre de obra o servicio, cliente, dirección, población, encargado, teléfono, móvil y tarifa aplicada. El cliente puede seleccionarse de la lista o introducirse como cliente manual; estos datos solo afectan a esa solicitud. Elegir un cliente no debe modificar la dirección ni la población introducidas.</w:t>
      </w:r>
    </w:p>
    <w:p>
      <w:pPr>
        <w:pStyle w:val="Heading1"/>
      </w:pPr>
      <w:r>
        <w:t>6 Planificación y asignación</w:t>
      </w:r>
    </w:p>
    <w:p>
      <w:r>
        <w:t>Desde Planificación o la relación de solicitudes asigne tarea, conductor, camión, prioridad y horario. La asignación secuencial ayuda a ordenar servicios y horarios. Antes de guardar compruebe los avisos de bloqueos, disponibilidad del operario y datos obligatorios.</w:t>
      </w:r>
    </w:p>
    <w:p>
      <w:pPr>
        <w:pStyle w:val="Heading1"/>
      </w:pPr>
      <w:r>
        <w:t>7 Ejecución del servicio</w:t>
      </w:r>
    </w:p>
    <w:p>
      <w:r>
        <w:t>En Mis servicios el conductor o el gestor consulta los servicios asignados. Abra el detalle para actualizar el estado, confirmar entrega o recogida, anotar incidencias y revisar la ruta. Añada las fotografías exigidas y capture la firma cuando el proceso lo requiera. La firma y las fotografías quedan asociadas a la solicitud.</w:t>
      </w:r>
    </w:p>
    <w:p>
      <w:pPr>
        <w:pStyle w:val="Heading1"/>
      </w:pPr>
      <w:r>
        <w:t>8 OVP y firma</w:t>
      </w:r>
    </w:p>
    <w:p>
      <w:r>
        <w:t>Cuando se requiere ocupación de vía pública, marque Requiere licencia OVP e informe número y fechas. Complete los datos del firmante y obtenga la firma una vez indicada la tarea. No cierre el flujo si faltan campos obligatorios o la foto de entrega o recogida.</w:t>
      </w:r>
    </w:p>
    <w:p>
      <w:pPr>
        <w:pStyle w:val="Heading1"/>
      </w:pPr>
      <w:r>
        <w:t>9 Pesajes, albaranes y planta</w:t>
      </w:r>
    </w:p>
    <w:p>
      <w:r>
        <w:t>Registre los kg netos y verifique la tara del camión. El albarán de planta usa la cabecera correspondiente a Alicante, Finestrat o Monforte según la planta asignada. La segunda página completa número de albarán, fecha, hora, vehículo, cliente fijo, CIF, provincia, concepto, pesos y firma. El PDF se genera con restricciones de modificación.</w:t>
      </w:r>
    </w:p>
    <w:p>
      <w:pPr>
        <w:pStyle w:val="Heading1"/>
      </w:pPr>
      <w:r>
        <w:t>10 Informes y envío por correo</w:t>
      </w:r>
    </w:p>
    <w:p>
      <w:r>
        <w:t>Use Informes para consultar la información disponible. Desde Albaranes de venta puede generar documentos y desde Envío de albaranes preparar el correo. Revise destinatario, asunto y adjuntos antes de enviar. El historial debe conservarse conforme al procedimiento interno.</w:t>
      </w:r>
    </w:p>
    <w:p>
      <w:pPr>
        <w:pStyle w:val="Heading1"/>
      </w:pPr>
      <w:r>
        <w:t>11 Ubicación de camiones</w:t>
      </w:r>
    </w:p>
    <w:p>
      <w:r>
        <w:t>La pantalla Ubicación de camiones muestra la posición y los cálculos de ruta integrados con Wialon. En temas oscuros, los datos de regreso se muestran en naranja; en temas claros, en verde. Verifique siempre la fase del servicio y la planta antes de interpretar kilómetros o tiempos.</w:t>
      </w:r>
    </w:p>
    <w:p>
      <w:pPr>
        <w:pStyle w:val="Heading1"/>
      </w:pPr>
      <w:r>
        <w:t>12 Buenas prácticas y resolución de incidencias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Situación</w:t>
            </w:r>
          </w:p>
        </w:tc>
        <w:tc>
          <w:tcPr>
            <w:tcW w:type="dxa" w:w="6236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Qué hacer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No aparece una obra o cliente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Actualice la lista, busque por texto y compruebe que está guardado y activo.</w:t>
            </w:r>
          </w:p>
        </w:tc>
      </w:tr>
      <w:tr>
        <w:tc>
          <w:tcPr>
            <w:tcW w:type="dxa" w:w="2835"/>
            <w:shd w:fill="EAF1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No guarda una solicitud</w:t>
            </w:r>
          </w:p>
        </w:tc>
        <w:tc>
          <w:tcPr>
            <w:tcW w:type="dxa" w:w="6236"/>
            <w:shd w:fill="EAF1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Revise cliente, tarea, campos obligatorios, fotos o firma según el estado del servicio.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Tarifa no disponible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Compruebe población, zona y tarifa aplicada; seleccione manualmente si procede.</w:t>
            </w:r>
          </w:p>
        </w:tc>
      </w:tr>
      <w:tr>
        <w:tc>
          <w:tcPr>
            <w:tcW w:type="dxa" w:w="2835"/>
            <w:shd w:fill="EAF1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Servicio finalizado que se quiere modificar</w:t>
            </w:r>
          </w:p>
        </w:tc>
        <w:tc>
          <w:tcPr>
            <w:tcW w:type="dxa" w:w="6236"/>
            <w:shd w:fill="EAF1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Confirme la contraseña solicitada y documente el motivo del cambio.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Aviso de recurrente pendiente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Abra Comprobar servicios recurrentes, valide la obra y confirme antes de generar solicitudes.</w:t>
            </w:r>
          </w:p>
        </w:tc>
      </w:tr>
      <w:tr>
        <w:tc>
          <w:tcPr>
            <w:tcW w:type="dxa" w:w="2835"/>
            <w:shd w:fill="EAF1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Error técnico</w:t>
            </w:r>
          </w:p>
        </w:tc>
        <w:tc>
          <w:tcPr>
            <w:tcW w:type="dxa" w:w="6236"/>
            <w:shd w:fill="EAF1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Anote el mensaje, la pantalla, el identificador de solicitud y la hora; comuníquelo al administrador.</w:t>
            </w:r>
          </w:p>
        </w:tc>
      </w:tr>
    </w:tbl>
    <w:p>
      <w:pPr>
        <w:spacing w:after="60"/>
      </w:pPr>
    </w:p>
    <w:p>
      <w:pPr>
        <w:pStyle w:val="Heading1"/>
      </w:pPr>
      <w:r>
        <w:t>Checklist antes de finalizar un servicio</w:t>
      </w:r>
    </w:p>
    <w:p>
      <w:pPr>
        <w:pStyle w:val="ListBullet"/>
      </w:pPr>
      <w:r>
        <w:t>Cliente y datos de obra o servicio manual revisados.</w:t>
      </w:r>
    </w:p>
    <w:p>
      <w:pPr>
        <w:pStyle w:val="ListBullet"/>
      </w:pPr>
      <w:r>
        <w:t>Tarea, conductor, camión y prioridad correctos.</w:t>
      </w:r>
    </w:p>
    <w:p>
      <w:pPr>
        <w:pStyle w:val="ListBullet"/>
      </w:pPr>
      <w:r>
        <w:t>Estado, observaciones y fotografías completados.</w:t>
      </w:r>
    </w:p>
    <w:p>
      <w:pPr>
        <w:pStyle w:val="ListBullet"/>
      </w:pPr>
      <w:r>
        <w:t>Firma obtenida cuando sea obligatoria.</w:t>
      </w:r>
    </w:p>
    <w:p>
      <w:pPr>
        <w:pStyle w:val="ListBullet"/>
      </w:pPr>
      <w:r>
        <w:t>Pesos y planta comprobados.</w:t>
      </w:r>
    </w:p>
    <w:p>
      <w:pPr>
        <w:pStyle w:val="ListBullet"/>
      </w:pPr>
      <w:r>
        <w:t>Albarán generado y enviado o archivado según el procedimiento.</w:t>
      </w:r>
    </w:p>
    <w:sectPr w:rsidR="00FC693F" w:rsidRPr="0006063C" w:rsidSect="00034616">
      <w:footerReference w:type="default" r:id="rId9"/>
      <w:pgSz w:w="12240" w:h="15840"/>
      <w:pgMar w:top="113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ST1 Gestion de Contenedores  |  Documento de referencia para Windows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