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6.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F4E79"/>
          <w:sz w:val="32"/>
          <w:szCs w:val="32"/>
        </w:rPr>
        <w:t>UNIVERSIDAD TECNOLÓGICA DEL URUGUAY</w:t>
      </w:r>
    </w:p>
    <w:p>
      <w:pPr>
        <w:pStyle w:val="Normal"/>
        <w:spacing w:before="0" w:after="120"/>
        <w:jc w:val="center"/>
        <w:rPr/>
      </w:pPr>
      <w:r>
        <w:rPr>
          <w:rFonts w:eastAsia="Arial" w:cs="Arial"/>
          <w:b/>
          <w:bCs/>
          <w:color w:val="1F4E79"/>
          <w:sz w:val="26"/>
          <w:szCs w:val="26"/>
        </w:rPr>
        <w:t>Instituto Tecnológico Regional Norte (ITR Norte)</w:t>
      </w:r>
    </w:p>
    <w:p>
      <w:pPr>
        <w:pStyle w:val="Normal"/>
        <w:spacing w:before="0" w:after="120"/>
        <w:jc w:val="center"/>
        <w:rPr/>
      </w:pPr>
      <w:r>
        <w:rPr>
          <w:rFonts w:eastAsia="Arial" w:cs="Arial"/>
          <w:sz w:val="24"/>
          <w:szCs w:val="24"/>
        </w:rPr>
        <w:t>Licenciatura en Ingeniería de Datos e Inteligencia Artificial (LIDIA)</w:t>
      </w:r>
    </w:p>
    <w:p>
      <w:pPr>
        <w:pStyle w:val="Normal"/>
        <w:spacing w:before="0" w:after="600"/>
        <w:jc w:val="center"/>
        <w:rPr/>
      </w:pPr>
      <w:r>
        <w:rPr>
          <w:rFonts w:eastAsia="Arial" w:cs="Arial"/>
          <w:i/>
          <w:iCs/>
          <w:sz w:val="22"/>
          <w:szCs w:val="22"/>
        </w:rPr>
        <w:t>Proyecto de Ingeniería de Datos — 2026</w:t>
      </w:r>
    </w:p>
    <w:p>
      <w:pPr>
        <w:pStyle w:val="Normal"/>
        <w:spacing w:before="600" w:after="600"/>
        <w:jc w:val="center"/>
        <w:rPr/>
      </w:pPr>
      <w:r>
        <w:rPr>
          <w:rFonts w:eastAsia="Arial" w:cs="Arial"/>
          <w:b/>
          <w:bCs/>
          <w:color w:val="1F4E79"/>
          <w:sz w:val="28"/>
          <w:szCs w:val="28"/>
        </w:rPr>
        <w:t>Análisis Integrado de Incendios Forestales, Condiciones Meteorológicas, Precipitación, Calidad del Aire y Cobertura Vegetal en América del Sur (2018–2025)</w:t>
      </w:r>
    </w:p>
    <w:p>
      <w:pPr>
        <w:pStyle w:val="Normal"/>
        <w:spacing w:before="0" w:after="200"/>
        <w:jc w:val="center"/>
        <w:rPr/>
      </w:pPr>
      <w:r>
        <w:rPr>
          <w:rFonts w:eastAsia="Arial" w:cs="Arial"/>
          <w:b/>
          <w:bCs/>
          <w:sz w:val="22"/>
          <w:szCs w:val="22"/>
        </w:rPr>
        <w:t>Documento unificado de Evaluación Continua 1 (EC1 corregida) y Evaluación Continua 2 (EC2)</w:t>
      </w:r>
    </w:p>
    <w:p>
      <w:pPr>
        <w:pStyle w:val="Normal"/>
        <w:spacing w:before="0" w:after="200"/>
        <w:jc w:val="center"/>
        <w:rPr/>
      </w:pPr>
      <w:r>
        <w:rPr>
          <w:rFonts w:eastAsia="Arial" w:cs="Arial"/>
          <w:i/>
          <w:iCs/>
          <w:sz w:val="22"/>
          <w:szCs w:val="22"/>
        </w:rPr>
        <w:t>Arquitectura de persistencia políglota: MySQL (Data Warehouse) + MongoDB (trazabilidad)</w:t>
      </w:r>
    </w:p>
    <w:p>
      <w:pPr>
        <w:pStyle w:val="Normal"/>
        <w:spacing w:before="600" w:after="0"/>
        <w:jc w:val="center"/>
        <w:rPr/>
      </w:pPr>
      <w:r>
        <w:rPr>
          <w:rFonts w:eastAsia="Arial" w:cs="Arial"/>
          <w:b/>
          <w:bCs/>
          <w:sz w:val="24"/>
          <w:szCs w:val="24"/>
        </w:rPr>
        <w:t>Integrantes</w:t>
      </w:r>
    </w:p>
    <w:p>
      <w:pPr>
        <w:pStyle w:val="Normal"/>
        <w:jc w:val="center"/>
        <w:rPr/>
      </w:pPr>
      <w:r>
        <w:rPr>
          <w:rFonts w:eastAsia="Arial" w:cs="Arial"/>
          <w:sz w:val="22"/>
          <w:szCs w:val="22"/>
        </w:rPr>
        <w:t>Rafael Quevedo Flores</w:t>
      </w:r>
    </w:p>
    <w:p>
      <w:pPr>
        <w:pStyle w:val="Normal"/>
        <w:jc w:val="center"/>
        <w:rPr/>
      </w:pPr>
      <w:r>
        <w:rPr>
          <w:rFonts w:eastAsia="Arial" w:cs="Arial"/>
          <w:sz w:val="22"/>
          <w:szCs w:val="22"/>
        </w:rPr>
        <w:t>Sonia Ferreira Cardozo</w:t>
      </w:r>
    </w:p>
    <w:p>
      <w:pPr>
        <w:pStyle w:val="Normal"/>
        <w:spacing w:before="0" w:after="300"/>
        <w:jc w:val="center"/>
        <w:rPr/>
      </w:pPr>
      <w:r>
        <w:rPr>
          <w:rFonts w:eastAsia="Arial" w:cs="Arial"/>
          <w:sz w:val="22"/>
          <w:szCs w:val="22"/>
        </w:rPr>
        <w:t>Rodrigo Vera López</w:t>
      </w:r>
    </w:p>
    <w:p>
      <w:pPr>
        <w:pStyle w:val="Normal"/>
        <w:spacing w:before="0" w:after="120"/>
        <w:jc w:val="center"/>
        <w:rPr/>
      </w:pPr>
      <w:r>
        <w:rPr>
          <w:rFonts w:eastAsia="Arial" w:cs="Arial"/>
          <w:sz w:val="22"/>
          <w:szCs w:val="22"/>
        </w:rPr>
        <w:t>Docente: Dato a completar por el equipo antes de la entrega final</w:t>
      </w:r>
    </w:p>
    <w:p>
      <w:pPr>
        <w:pStyle w:val="Normal"/>
        <w:spacing w:before="0" w:after="600"/>
        <w:jc w:val="center"/>
        <w:rPr/>
      </w:pPr>
      <w:r>
        <w:rPr>
          <w:rFonts w:eastAsia="Arial" w:cs="Arial"/>
          <w:i/>
          <w:iCs/>
          <w:sz w:val="22"/>
          <w:szCs w:val="22"/>
        </w:rPr>
        <w:t>Salto, Uruguay — Abril de 2026</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Declaración de Autoría</w:t>
      </w:r>
    </w:p>
    <w:p>
      <w:pPr>
        <w:pStyle w:val="Normal"/>
        <w:spacing w:lineRule="auto" w:line="360" w:before="0" w:after="120"/>
        <w:jc w:val="both"/>
        <w:rPr/>
      </w:pPr>
      <w:r>
        <w:rPr>
          <w:rFonts w:eastAsia="Arial" w:cs="Arial"/>
          <w:sz w:val="22"/>
          <w:szCs w:val="22"/>
        </w:rPr>
        <w:t>Los abajo firmantes declaramos que el presente trabajo ha sido realizado de forma íntegra por los integrantes del equipo. Todos los contenidos, análisis, diagramas, esquemas, código fuente y decisiones técnicas documentados en este proyecto son producto de nuestro trabajo original. Las fuentes externas consultadas han sido debidamente citadas conforme al formato APA 7.ª edición. Manifestamos además que el trabajo no ha sido presentado, total o parcialmente, en otra instancia académica.</w:t>
      </w:r>
    </w:p>
    <w:p>
      <w:pPr>
        <w:pStyle w:val="Normal"/>
        <w:spacing w:before="480" w:after="0"/>
        <w:rPr/>
      </w:pPr>
      <w:r>
        <w:rPr>
          <w:rFonts w:eastAsia="Arial" w:cs="Arial"/>
          <w:sz w:val="22"/>
          <w:szCs w:val="22"/>
        </w:rPr>
        <w:t>______________________________</w:t>
      </w:r>
    </w:p>
    <w:p>
      <w:pPr>
        <w:pStyle w:val="Normal"/>
        <w:spacing w:lineRule="auto" w:line="360" w:before="0" w:after="120"/>
        <w:jc w:val="both"/>
        <w:rPr/>
      </w:pPr>
      <w:r>
        <w:rPr>
          <w:rFonts w:eastAsia="Arial" w:cs="Arial"/>
          <w:sz w:val="22"/>
          <w:szCs w:val="22"/>
        </w:rPr>
        <w:t>Rafael Quevedo Flores — C.I. (Dato a completar antes de la entrega final)</w:t>
      </w:r>
    </w:p>
    <w:p>
      <w:pPr>
        <w:pStyle w:val="Normal"/>
        <w:spacing w:before="240" w:after="0"/>
        <w:rPr/>
      </w:pPr>
      <w:r>
        <w:rPr>
          <w:rFonts w:eastAsia="Arial" w:cs="Arial"/>
          <w:sz w:val="22"/>
          <w:szCs w:val="22"/>
        </w:rPr>
        <w:t>______________________________</w:t>
      </w:r>
    </w:p>
    <w:p>
      <w:pPr>
        <w:pStyle w:val="Normal"/>
        <w:spacing w:lineRule="auto" w:line="360" w:before="0" w:after="120"/>
        <w:jc w:val="both"/>
        <w:rPr/>
      </w:pPr>
      <w:r>
        <w:rPr>
          <w:rFonts w:eastAsia="Arial" w:cs="Arial"/>
          <w:sz w:val="22"/>
          <w:szCs w:val="22"/>
        </w:rPr>
        <w:t>Sonia Ferreira Cardozo — C.I. (Dato a completar antes de la entrega final)</w:t>
      </w:r>
    </w:p>
    <w:p>
      <w:pPr>
        <w:pStyle w:val="Normal"/>
        <w:spacing w:before="240" w:after="0"/>
        <w:rPr/>
      </w:pPr>
      <w:r>
        <w:rPr>
          <w:rFonts w:eastAsia="Arial" w:cs="Arial"/>
          <w:sz w:val="22"/>
          <w:szCs w:val="22"/>
        </w:rPr>
        <w:t>______________________________</w:t>
      </w:r>
    </w:p>
    <w:p>
      <w:pPr>
        <w:pStyle w:val="Normal"/>
        <w:spacing w:lineRule="auto" w:line="360" w:before="0" w:after="120"/>
        <w:jc w:val="both"/>
        <w:rPr/>
      </w:pPr>
      <w:r>
        <w:rPr>
          <w:rFonts w:eastAsia="Arial" w:cs="Arial"/>
          <w:sz w:val="22"/>
          <w:szCs w:val="22"/>
        </w:rPr>
        <w:t>Rodrigo Vera López — C.I. (Dato a completar antes de la entrega final)</w:t>
      </w:r>
    </w:p>
    <w:p>
      <w:pPr>
        <w:pStyle w:val="Normal"/>
        <w:spacing w:lineRule="auto" w:line="360" w:before="0" w:after="120"/>
        <w:jc w:val="both"/>
        <w:rPr/>
      </w:pPr>
      <w:r>
        <w:rPr>
          <w:rFonts w:eastAsia="Arial" w:cs="Arial"/>
          <w:sz w:val="22"/>
          <w:szCs w:val="22"/>
        </w:rPr>
        <w:t>Fecha: Abril de 2026 — Salto, Uruguay.</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Resumen</w:t>
      </w:r>
    </w:p>
    <w:p>
      <w:pPr>
        <w:pStyle w:val="Normal"/>
        <w:spacing w:lineRule="auto" w:line="360" w:before="0" w:after="120"/>
        <w:jc w:val="both"/>
        <w:rPr/>
      </w:pPr>
      <w:r>
        <w:rPr>
          <w:rFonts w:eastAsia="Arial" w:cs="Arial"/>
          <w:sz w:val="22"/>
          <w:szCs w:val="22"/>
        </w:rPr>
        <w:t>Este trabajo presenta el diseño integral de un sistema de ingeniería de datos para la integración de cinco fuentes ambientales heterogéneas sobre América del Sur en el período 2018–2025: NASA FIRMS (focos activos), Open-Meteo / ERA5-Land (meteorología histórica), CAMS / Copernicus (calidad del aire), CHIRPS (precipitación) y MODIS Land Cover a través de AppEEARS (cobertura vegetal). El problema abordado es la ausencia de un repositorio unificado que permita responder preguntas transversales sobre incendios, clima, calidad del aire y cobertura, dado que las plataformas existentes operan de forma aislada y con formatos, granularidades y resoluciones incompatibles (Giglio et al., 2016; Muñoz-Sabater et al., 2021). El objetivo general es diseñar e implementar un sistema que consolide estas fuentes en MySQL como Data Warehouse y en MongoDB como repositorio documental de trazabilidad, validado por su capacidad de responder consultas agregadas, preservar histórico y registrar el comportamiento del pipeline mediante mecanismos formales de validación y actualización incremental. Metodológicamente, es un proyecto de ingeniería aplicada con enfoque incremental: la EC1 delimita el dominio, formula el problema y evalúa la calidad de las fuentes con evidencia exploratoria real; la EC2 desarrolla el diseño técnico con un modelo entidad-relación extendido, un esquema dimensional estrella en MySQL, un pipeline ETL en Python con validación Pydantic, una estrategia de CDC dual basada en ventana temporal y verificación SHA-256, y una capa de trazabilidad en MongoDB con validación por JSON Schema (MongoDB, s. f.-b; Pydantic, s. f.). Los resultados incluyen una arquitectura por capas, cinco tablas de hechos, cuatro dimensiones conformadas, cuatro colecciones NoSQL, siete KPIs operativos y analíticos, y un conjunto de trade-offs justificados. Se concluye que la solución es viable, trazable y está pronta para ser implementada y validada en la fase final.</w:t>
      </w:r>
    </w:p>
    <w:p>
      <w:pPr>
        <w:pStyle w:val="Normal"/>
        <w:spacing w:lineRule="auto" w:line="360" w:before="240" w:after="120"/>
        <w:jc w:val="both"/>
        <w:rPr/>
      </w:pPr>
      <w:r>
        <w:rPr>
          <w:rFonts w:eastAsia="Arial" w:cs="Arial"/>
          <w:b/>
          <w:bCs/>
          <w:sz w:val="22"/>
          <w:szCs w:val="22"/>
        </w:rPr>
        <w:t xml:space="preserve">Palabras clave: </w:t>
      </w:r>
      <w:r>
        <w:rPr>
          <w:rFonts w:eastAsia="Arial" w:cs="Arial"/>
          <w:sz w:val="22"/>
          <w:szCs w:val="22"/>
        </w:rPr>
        <w:t>ingeniería de datos; integración de fuentes; Data Warehouse; MySQL; persistencia políglota; incendios forestales.</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Abstract</w:t>
      </w:r>
    </w:p>
    <w:p>
      <w:pPr>
        <w:pStyle w:val="Normal"/>
        <w:spacing w:lineRule="auto" w:line="360" w:before="0" w:after="120"/>
        <w:jc w:val="both"/>
        <w:rPr/>
      </w:pPr>
      <w:r>
        <w:rPr>
          <w:rFonts w:eastAsia="Arial" w:cs="Arial"/>
          <w:sz w:val="22"/>
          <w:szCs w:val="22"/>
        </w:rPr>
        <w:t>This work presents the integral design of a data engineering system to integrate five heterogeneous environmental sources for South America covering the period 2018–2025: NASA FIRMS (active fires), Open-Meteo / ERA5-Land (historical weather), CAMS / Copernicus (air quality), CHIRPS (precipitation) and MODIS Land Cover via AppEEARS (land cover). The problem addressed is the lack of a unified repository enabling cross-cutting questions about wildfires, climate, air quality and land cover, given that existing platforms operate in isolation with incompatible formats, granularities and resolutions (Giglio et al., 2016; Muñoz-Sabater et al., 2021). The general objective is to design and implement a system that consolidates these sources using MySQL as a Data Warehouse and MongoDB as a document store for traceability, validated by its capacity to answer aggregated queries, preserve history and record pipeline behavior through formal validation and incremental update mechanisms. Methodologically, it is an applied engineering project with an incremental approach: EC1 scopes the domain, formulates the problem and assesses source quality with real exploratory evidence; EC2 develops the technical design through an extended entity-relationship model, a star schema in MySQL, a Python-based ETL with Pydantic validation, a dual CDC strategy based on a temporal window plus SHA-256 checksums, and a MongoDB traceability layer with JSON Schema validation (MongoDB, n. d.-b; Pydantic, n. d.). Deliverables include a layered architecture, five fact tables, four conformed dimensions, four NoSQL collections, seven operational and analytical KPIs, and a set of justified trade-offs. We conclude that the solution is feasible, traceable and ready to be implemented and validated in the final phase.</w:t>
      </w:r>
    </w:p>
    <w:p>
      <w:pPr>
        <w:pStyle w:val="Normal"/>
        <w:spacing w:lineRule="auto" w:line="360" w:before="240" w:after="120"/>
        <w:jc w:val="both"/>
        <w:rPr/>
      </w:pPr>
      <w:r>
        <w:rPr>
          <w:rFonts w:eastAsia="Arial" w:cs="Arial"/>
          <w:b/>
          <w:bCs/>
          <w:sz w:val="22"/>
          <w:szCs w:val="22"/>
        </w:rPr>
        <w:t xml:space="preserve">Keywords: </w:t>
      </w:r>
      <w:r>
        <w:rPr>
          <w:rFonts w:eastAsia="Arial" w:cs="Arial"/>
          <w:sz w:val="22"/>
          <w:szCs w:val="22"/>
        </w:rPr>
        <w:t>data engineering; source integration; data warehouse; MySQL; polyglot persistence; wildfires.</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Índice</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Lista de cuadros</w:t>
      </w:r>
    </w:p>
    <w:p>
      <w:pPr>
        <w:pStyle w:val="Normal"/>
        <w:spacing w:lineRule="auto" w:line="360" w:before="0" w:after="120"/>
        <w:jc w:val="both"/>
        <w:rPr/>
      </w:pPr>
      <w:r>
        <w:rPr>
          <w:rFonts w:eastAsia="Arial" w:cs="Arial"/>
          <w:sz w:val="22"/>
          <w:szCs w:val="22"/>
        </w:rPr>
        <w:t>Cuadro 1. Principales artículos revisados y su aporte al proyecto — Sección 2.</w:t>
      </w:r>
    </w:p>
    <w:p>
      <w:pPr>
        <w:pStyle w:val="Heading1"/>
        <w:spacing w:lineRule="auto" w:line="360" w:before="480" w:after="240"/>
        <w:rPr/>
      </w:pPr>
      <w:r>
        <w:rPr>
          <w:rFonts w:eastAsia="Arial" w:cs="Arial" w:ascii="Arial" w:hAnsi="Arial"/>
          <w:b/>
          <w:bCs/>
          <w:color w:val="1F4E79"/>
          <w:sz w:val="28"/>
          <w:szCs w:val="28"/>
        </w:rPr>
        <w:t>Lista de tablas</w:t>
      </w:r>
    </w:p>
    <w:p>
      <w:pPr>
        <w:pStyle w:val="Normal"/>
        <w:spacing w:lineRule="auto" w:line="360" w:before="0" w:after="120"/>
        <w:jc w:val="both"/>
        <w:rPr/>
      </w:pPr>
      <w:r>
        <w:rPr>
          <w:rFonts w:eastAsia="Arial" w:cs="Arial"/>
          <w:sz w:val="22"/>
          <w:szCs w:val="22"/>
        </w:rPr>
        <w:t>Tabla 1. Actores del sistema y sus relaciones — Sección 3.3.</w:t>
      </w:r>
    </w:p>
    <w:p>
      <w:pPr>
        <w:pStyle w:val="Normal"/>
        <w:spacing w:lineRule="auto" w:line="360" w:before="0" w:after="120"/>
        <w:jc w:val="both"/>
        <w:rPr/>
      </w:pPr>
      <w:r>
        <w:rPr>
          <w:rFonts w:eastAsia="Arial" w:cs="Arial"/>
          <w:sz w:val="22"/>
          <w:szCs w:val="22"/>
        </w:rPr>
        <w:t>Tabla 2. Variables relevantes por dimensión analítica — Sección 3.3.</w:t>
      </w:r>
    </w:p>
    <w:p>
      <w:pPr>
        <w:pStyle w:val="Normal"/>
        <w:spacing w:lineRule="auto" w:line="360" w:before="0" w:after="120"/>
        <w:jc w:val="both"/>
        <w:rPr/>
      </w:pPr>
      <w:r>
        <w:rPr>
          <w:rFonts w:eastAsia="Arial" w:cs="Arial"/>
          <w:sz w:val="22"/>
          <w:szCs w:val="22"/>
        </w:rPr>
        <w:t>Tabla 3. Granularidad temporal y espacial por fuente — Sección 3.3.</w:t>
      </w:r>
    </w:p>
    <w:p>
      <w:pPr>
        <w:pStyle w:val="Normal"/>
        <w:spacing w:lineRule="auto" w:line="360" w:before="0" w:after="120"/>
        <w:jc w:val="both"/>
        <w:rPr/>
      </w:pPr>
      <w:r>
        <w:rPr>
          <w:rFonts w:eastAsia="Arial" w:cs="Arial"/>
          <w:sz w:val="22"/>
          <w:szCs w:val="22"/>
        </w:rPr>
        <w:t>Tabla 4. Ficha técnica: NASA FIRMS — Sección 4.1.</w:t>
      </w:r>
    </w:p>
    <w:p>
      <w:pPr>
        <w:pStyle w:val="Normal"/>
        <w:spacing w:lineRule="auto" w:line="360" w:before="0" w:after="120"/>
        <w:jc w:val="both"/>
        <w:rPr/>
      </w:pPr>
      <w:r>
        <w:rPr>
          <w:rFonts w:eastAsia="Arial" w:cs="Arial"/>
          <w:sz w:val="22"/>
          <w:szCs w:val="22"/>
        </w:rPr>
        <w:t>Tabla 5. Ficha técnica: Open-Meteo / ERA5-Land — Sección 4.1.</w:t>
      </w:r>
    </w:p>
    <w:p>
      <w:pPr>
        <w:pStyle w:val="Normal"/>
        <w:spacing w:lineRule="auto" w:line="360" w:before="0" w:after="120"/>
        <w:jc w:val="both"/>
        <w:rPr/>
      </w:pPr>
      <w:r>
        <w:rPr>
          <w:rFonts w:eastAsia="Arial" w:cs="Arial"/>
          <w:sz w:val="22"/>
          <w:szCs w:val="22"/>
        </w:rPr>
        <w:t>Tabla 6. Ficha técnica: CAMS / Copernicus — Sección 4.1.</w:t>
      </w:r>
    </w:p>
    <w:p>
      <w:pPr>
        <w:pStyle w:val="Normal"/>
        <w:spacing w:lineRule="auto" w:line="360" w:before="0" w:after="120"/>
        <w:jc w:val="both"/>
        <w:rPr/>
      </w:pPr>
      <w:r>
        <w:rPr>
          <w:rFonts w:eastAsia="Arial" w:cs="Arial"/>
          <w:sz w:val="22"/>
          <w:szCs w:val="22"/>
        </w:rPr>
        <w:t>Tabla 7. Ficha técnica: CHIRPS — Sección 4.1.</w:t>
      </w:r>
    </w:p>
    <w:p>
      <w:pPr>
        <w:pStyle w:val="Normal"/>
        <w:spacing w:lineRule="auto" w:line="360" w:before="0" w:after="120"/>
        <w:jc w:val="both"/>
        <w:rPr/>
      </w:pPr>
      <w:r>
        <w:rPr>
          <w:rFonts w:eastAsia="Arial" w:cs="Arial"/>
          <w:sz w:val="22"/>
          <w:szCs w:val="22"/>
        </w:rPr>
        <w:t>Tabla 8. Ficha técnica: MODIS Land Cover / AppEEARS — Sección 4.1.</w:t>
      </w:r>
    </w:p>
    <w:p>
      <w:pPr>
        <w:pStyle w:val="Normal"/>
        <w:spacing w:lineRule="auto" w:line="360" w:before="0" w:after="120"/>
        <w:jc w:val="both"/>
        <w:rPr/>
      </w:pPr>
      <w:r>
        <w:rPr>
          <w:rFonts w:eastAsia="Arial" w:cs="Arial"/>
          <w:sz w:val="22"/>
          <w:szCs w:val="22"/>
        </w:rPr>
        <w:t>Tabla 9. Evaluación de calidad por fuente — Sección 4.1.2.</w:t>
      </w:r>
    </w:p>
    <w:p>
      <w:pPr>
        <w:pStyle w:val="Normal"/>
        <w:spacing w:lineRule="auto" w:line="360" w:before="0" w:after="120"/>
        <w:jc w:val="both"/>
        <w:rPr/>
      </w:pPr>
      <w:r>
        <w:rPr>
          <w:rFonts w:eastAsia="Arial" w:cs="Arial"/>
          <w:sz w:val="22"/>
          <w:szCs w:val="22"/>
        </w:rPr>
        <w:t>Tabla 10. Impacto de problemas de calidad en preguntas analíticas — Sección 4.1.2.</w:t>
      </w:r>
    </w:p>
    <w:p>
      <w:pPr>
        <w:pStyle w:val="Normal"/>
        <w:spacing w:lineRule="auto" w:line="360" w:before="0" w:after="120"/>
        <w:jc w:val="both"/>
        <w:rPr/>
      </w:pPr>
      <w:r>
        <w:rPr>
          <w:rFonts w:eastAsia="Arial" w:cs="Arial"/>
          <w:sz w:val="22"/>
          <w:szCs w:val="22"/>
        </w:rPr>
        <w:t>Tabla 11. Preguntas analíticas y patrón SQL previsto — Sección 1.3.</w:t>
      </w:r>
    </w:p>
    <w:p>
      <w:pPr>
        <w:pStyle w:val="Normal"/>
        <w:spacing w:lineRule="auto" w:line="360" w:before="0" w:after="120"/>
        <w:jc w:val="both"/>
        <w:rPr/>
      </w:pPr>
      <w:r>
        <w:rPr>
          <w:rFonts w:eastAsia="Arial" w:cs="Arial"/>
          <w:sz w:val="22"/>
          <w:szCs w:val="22"/>
        </w:rPr>
        <w:t>Tabla 12. Objetivos específicos y su trazabilidad — Sección 1.2.</w:t>
      </w:r>
    </w:p>
    <w:p>
      <w:pPr>
        <w:pStyle w:val="Normal"/>
        <w:spacing w:lineRule="auto" w:line="360" w:before="0" w:after="120"/>
        <w:jc w:val="both"/>
        <w:rPr/>
      </w:pPr>
      <w:r>
        <w:rPr>
          <w:rFonts w:eastAsia="Arial" w:cs="Arial"/>
          <w:sz w:val="22"/>
          <w:szCs w:val="22"/>
        </w:rPr>
        <w:t>Tabla 13. Riesgos técnicos y medidas de mitigación — Sección 1.4.</w:t>
      </w:r>
    </w:p>
    <w:p>
      <w:pPr>
        <w:pStyle w:val="Normal"/>
        <w:spacing w:lineRule="auto" w:line="360" w:before="0" w:after="120"/>
        <w:jc w:val="both"/>
        <w:rPr/>
      </w:pPr>
      <w:r>
        <w:rPr>
          <w:rFonts w:eastAsia="Arial" w:cs="Arial"/>
          <w:sz w:val="22"/>
          <w:szCs w:val="22"/>
        </w:rPr>
        <w:t>Tabla 14. Campos por fuente de datos — Sección 4.2.</w:t>
      </w:r>
    </w:p>
    <w:p>
      <w:pPr>
        <w:pStyle w:val="Normal"/>
        <w:spacing w:lineRule="auto" w:line="360" w:before="0" w:after="120"/>
        <w:jc w:val="both"/>
        <w:rPr/>
      </w:pPr>
      <w:r>
        <w:rPr>
          <w:rFonts w:eastAsia="Arial" w:cs="Arial"/>
          <w:sz w:val="22"/>
          <w:szCs w:val="22"/>
        </w:rPr>
        <w:t>Tabla 15. Mapeo fuente-destino — Sección 4.2.</w:t>
      </w:r>
    </w:p>
    <w:p>
      <w:pPr>
        <w:pStyle w:val="Normal"/>
        <w:spacing w:lineRule="auto" w:line="360" w:before="0" w:after="120"/>
        <w:jc w:val="both"/>
        <w:rPr/>
      </w:pPr>
      <w:r>
        <w:rPr>
          <w:rFonts w:eastAsia="Arial" w:cs="Arial"/>
          <w:sz w:val="22"/>
          <w:szCs w:val="22"/>
        </w:rPr>
        <w:t>Tabla 16. Conflictos de integración y resolución — Sección 4.2.</w:t>
      </w:r>
    </w:p>
    <w:p>
      <w:pPr>
        <w:pStyle w:val="Normal"/>
        <w:spacing w:lineRule="auto" w:line="360" w:before="0" w:after="120"/>
        <w:jc w:val="both"/>
        <w:rPr/>
      </w:pPr>
      <w:r>
        <w:rPr>
          <w:rFonts w:eastAsia="Arial" w:cs="Arial"/>
          <w:sz w:val="22"/>
          <w:szCs w:val="22"/>
        </w:rPr>
        <w:t>Tabla 17. KPIs del sistema — Sección 4.3.4.</w:t>
      </w:r>
    </w:p>
    <w:p>
      <w:pPr>
        <w:pStyle w:val="Normal"/>
        <w:spacing w:lineRule="auto" w:line="360" w:before="0" w:after="120"/>
        <w:jc w:val="both"/>
        <w:rPr/>
      </w:pPr>
      <w:r>
        <w:rPr>
          <w:rFonts w:eastAsia="Arial" w:cs="Arial"/>
          <w:sz w:val="22"/>
          <w:szCs w:val="22"/>
        </w:rPr>
        <w:t>Tabla 18. Trade-offs técnicos documentados — Sección 4.3.5.</w:t>
      </w:r>
    </w:p>
    <w:p>
      <w:pPr>
        <w:pStyle w:val="Heading1"/>
        <w:spacing w:lineRule="auto" w:line="360" w:before="480" w:after="240"/>
        <w:rPr/>
      </w:pPr>
      <w:r>
        <w:rPr>
          <w:rFonts w:eastAsia="Arial" w:cs="Arial" w:ascii="Arial" w:hAnsi="Arial"/>
          <w:b/>
          <w:bCs/>
          <w:color w:val="1F4E79"/>
          <w:sz w:val="28"/>
          <w:szCs w:val="28"/>
        </w:rPr>
        <w:t>Lista de figuras</w:t>
      </w:r>
    </w:p>
    <w:p>
      <w:pPr>
        <w:pStyle w:val="Normal"/>
        <w:spacing w:lineRule="auto" w:line="360" w:before="0" w:after="120"/>
        <w:jc w:val="both"/>
        <w:rPr/>
      </w:pPr>
      <w:r>
        <w:rPr>
          <w:rFonts w:eastAsia="Arial" w:cs="Arial"/>
          <w:sz w:val="22"/>
          <w:szCs w:val="22"/>
        </w:rPr>
        <w:t>Figura 1. Diagrama de relación entre actores — Sección 1.</w:t>
      </w:r>
    </w:p>
    <w:p>
      <w:pPr>
        <w:pStyle w:val="Normal"/>
        <w:spacing w:lineRule="auto" w:line="360" w:before="0" w:after="120"/>
        <w:jc w:val="both"/>
        <w:rPr/>
      </w:pPr>
      <w:r>
        <w:rPr>
          <w:rFonts w:eastAsia="Arial" w:cs="Arial"/>
          <w:sz w:val="22"/>
          <w:szCs w:val="22"/>
        </w:rPr>
        <w:t>Figura 2. Diagrama ER/EER del modelo integrado de destino — Sección 4.2.</w:t>
      </w:r>
    </w:p>
    <w:p>
      <w:pPr>
        <w:pStyle w:val="Normal"/>
        <w:spacing w:lineRule="auto" w:line="360" w:before="0" w:after="120"/>
        <w:jc w:val="both"/>
        <w:rPr/>
      </w:pPr>
      <w:r>
        <w:rPr>
          <w:rFonts w:eastAsia="Arial" w:cs="Arial"/>
          <w:sz w:val="22"/>
          <w:szCs w:val="22"/>
        </w:rPr>
        <w:t>Figura 3. Esquema estrella del Data Warehouse (MySQL) — Sección 4.2.2.</w:t>
      </w:r>
    </w:p>
    <w:p>
      <w:pPr>
        <w:pStyle w:val="Normal"/>
        <w:spacing w:lineRule="auto" w:line="360" w:before="0" w:after="120"/>
        <w:jc w:val="both"/>
        <w:rPr/>
      </w:pPr>
      <w:r>
        <w:rPr>
          <w:rFonts w:eastAsia="Arial" w:cs="Arial"/>
          <w:sz w:val="22"/>
          <w:szCs w:val="22"/>
        </w:rPr>
        <w:t>Figura 4. Arquitectura detallada con flujo de datos y componentes — Sección 4.3.1.</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Glosario de términos y acrónimos</w:t>
      </w:r>
    </w:p>
    <w:p>
      <w:pPr>
        <w:pStyle w:val="Normal"/>
        <w:spacing w:lineRule="auto" w:line="360" w:before="0" w:after="120"/>
        <w:jc w:val="both"/>
        <w:rPr/>
      </w:pPr>
      <w:r>
        <w:rPr>
          <w:rFonts w:eastAsia="Arial" w:cs="Arial"/>
          <w:b/>
          <w:bCs/>
          <w:sz w:val="22"/>
          <w:szCs w:val="22"/>
        </w:rPr>
        <w:t xml:space="preserve">API: </w:t>
      </w:r>
      <w:r>
        <w:rPr>
          <w:rFonts w:eastAsia="Arial" w:cs="Arial"/>
          <w:sz w:val="22"/>
          <w:szCs w:val="22"/>
        </w:rPr>
        <w:t>Application Programming Interface — interfaz de acceso programático a datos.</w:t>
      </w:r>
    </w:p>
    <w:p>
      <w:pPr>
        <w:pStyle w:val="Normal"/>
        <w:spacing w:lineRule="auto" w:line="360" w:before="0" w:after="120"/>
        <w:jc w:val="both"/>
        <w:rPr/>
      </w:pPr>
      <w:r>
        <w:rPr>
          <w:rFonts w:eastAsia="Arial" w:cs="Arial"/>
          <w:b/>
          <w:bCs/>
          <w:sz w:val="22"/>
          <w:szCs w:val="22"/>
        </w:rPr>
        <w:t xml:space="preserve">AOD: </w:t>
      </w:r>
      <w:r>
        <w:rPr>
          <w:rFonts w:eastAsia="Arial" w:cs="Arial"/>
          <w:sz w:val="22"/>
          <w:szCs w:val="22"/>
        </w:rPr>
        <w:t>Aerosol Optical Depth — espesor óptico de aerosoles; AOD &gt; 1,0 indica columna atmosférica densa.</w:t>
      </w:r>
    </w:p>
    <w:p>
      <w:pPr>
        <w:pStyle w:val="Normal"/>
        <w:spacing w:lineRule="auto" w:line="360" w:before="0" w:after="120"/>
        <w:jc w:val="both"/>
        <w:rPr/>
      </w:pPr>
      <w:r>
        <w:rPr>
          <w:rFonts w:eastAsia="Arial" w:cs="Arial"/>
          <w:b/>
          <w:bCs/>
          <w:sz w:val="22"/>
          <w:szCs w:val="22"/>
        </w:rPr>
        <w:t xml:space="preserve">CAMS: </w:t>
      </w:r>
      <w:r>
        <w:rPr>
          <w:rFonts w:eastAsia="Arial" w:cs="Arial"/>
          <w:sz w:val="22"/>
          <w:szCs w:val="22"/>
        </w:rPr>
        <w:t>Copernicus Atmosphere Monitoring Service.</w:t>
      </w:r>
    </w:p>
    <w:p>
      <w:pPr>
        <w:pStyle w:val="Normal"/>
        <w:spacing w:lineRule="auto" w:line="360" w:before="0" w:after="120"/>
        <w:jc w:val="both"/>
        <w:rPr/>
      </w:pPr>
      <w:r>
        <w:rPr>
          <w:rFonts w:eastAsia="Arial" w:cs="Arial"/>
          <w:b/>
          <w:bCs/>
          <w:sz w:val="22"/>
          <w:szCs w:val="22"/>
        </w:rPr>
        <w:t xml:space="preserve">CDC: </w:t>
      </w:r>
      <w:r>
        <w:rPr>
          <w:rFonts w:eastAsia="Arial" w:cs="Arial"/>
          <w:sz w:val="22"/>
          <w:szCs w:val="22"/>
        </w:rPr>
        <w:t>Change Data Capture — captura incremental de cambios (nuevos registros y correcciones).</w:t>
      </w:r>
    </w:p>
    <w:p>
      <w:pPr>
        <w:pStyle w:val="Normal"/>
        <w:spacing w:lineRule="auto" w:line="360" w:before="0" w:after="120"/>
        <w:jc w:val="both"/>
        <w:rPr/>
      </w:pPr>
      <w:r>
        <w:rPr>
          <w:rFonts w:eastAsia="Arial" w:cs="Arial"/>
          <w:b/>
          <w:bCs/>
          <w:sz w:val="22"/>
          <w:szCs w:val="22"/>
        </w:rPr>
        <w:t xml:space="preserve">CHIRPS: </w:t>
      </w:r>
      <w:r>
        <w:rPr>
          <w:rFonts w:eastAsia="Arial" w:cs="Arial"/>
          <w:sz w:val="22"/>
          <w:szCs w:val="22"/>
        </w:rPr>
        <w:t>Climate Hazards Group InfraRed Precipitation with Station data.</w:t>
      </w:r>
    </w:p>
    <w:p>
      <w:pPr>
        <w:pStyle w:val="Normal"/>
        <w:spacing w:lineRule="auto" w:line="360" w:before="0" w:after="120"/>
        <w:jc w:val="both"/>
        <w:rPr/>
      </w:pPr>
      <w:r>
        <w:rPr>
          <w:rFonts w:eastAsia="Arial" w:cs="Arial"/>
          <w:b/>
          <w:bCs/>
          <w:sz w:val="22"/>
          <w:szCs w:val="22"/>
        </w:rPr>
        <w:t xml:space="preserve">DDL: </w:t>
      </w:r>
      <w:r>
        <w:rPr>
          <w:rFonts w:eastAsia="Arial" w:cs="Arial"/>
          <w:sz w:val="22"/>
          <w:szCs w:val="22"/>
        </w:rPr>
        <w:t>Data Definition Language — lenguaje para definir estructuras en una base de datos.</w:t>
      </w:r>
    </w:p>
    <w:p>
      <w:pPr>
        <w:pStyle w:val="Normal"/>
        <w:spacing w:lineRule="auto" w:line="360" w:before="0" w:after="120"/>
        <w:jc w:val="both"/>
        <w:rPr/>
      </w:pPr>
      <w:r>
        <w:rPr>
          <w:rFonts w:eastAsia="Arial" w:cs="Arial"/>
          <w:b/>
          <w:bCs/>
          <w:sz w:val="22"/>
          <w:szCs w:val="22"/>
        </w:rPr>
        <w:t xml:space="preserve">DW: </w:t>
      </w:r>
      <w:r>
        <w:rPr>
          <w:rFonts w:eastAsia="Arial" w:cs="Arial"/>
          <w:sz w:val="22"/>
          <w:szCs w:val="22"/>
        </w:rPr>
        <w:t>Data Warehouse — repositorio analítico integrado y orientado a consulta histórica.</w:t>
      </w:r>
    </w:p>
    <w:p>
      <w:pPr>
        <w:pStyle w:val="Normal"/>
        <w:spacing w:lineRule="auto" w:line="360" w:before="0" w:after="120"/>
        <w:jc w:val="both"/>
        <w:rPr/>
      </w:pPr>
      <w:r>
        <w:rPr>
          <w:rFonts w:eastAsia="Arial" w:cs="Arial"/>
          <w:b/>
          <w:bCs/>
          <w:sz w:val="22"/>
          <w:szCs w:val="22"/>
        </w:rPr>
        <w:t xml:space="preserve">ETL: </w:t>
      </w:r>
      <w:r>
        <w:rPr>
          <w:rFonts w:eastAsia="Arial" w:cs="Arial"/>
          <w:sz w:val="22"/>
          <w:szCs w:val="22"/>
        </w:rPr>
        <w:t>Extract, Transform, Load — extracción, transformación y carga.</w:t>
      </w:r>
    </w:p>
    <w:p>
      <w:pPr>
        <w:pStyle w:val="Normal"/>
        <w:spacing w:lineRule="auto" w:line="360" w:before="0" w:after="120"/>
        <w:jc w:val="both"/>
        <w:rPr/>
      </w:pPr>
      <w:r>
        <w:rPr>
          <w:rFonts w:eastAsia="Arial" w:cs="Arial"/>
          <w:b/>
          <w:bCs/>
          <w:sz w:val="22"/>
          <w:szCs w:val="22"/>
        </w:rPr>
        <w:t xml:space="preserve">FIRMS: </w:t>
      </w:r>
      <w:r>
        <w:rPr>
          <w:rFonts w:eastAsia="Arial" w:cs="Arial"/>
          <w:sz w:val="22"/>
          <w:szCs w:val="22"/>
        </w:rPr>
        <w:t>Fire Information for Resource Management System (NASA).</w:t>
      </w:r>
    </w:p>
    <w:p>
      <w:pPr>
        <w:pStyle w:val="Normal"/>
        <w:spacing w:lineRule="auto" w:line="360" w:before="0" w:after="120"/>
        <w:jc w:val="both"/>
        <w:rPr/>
      </w:pPr>
      <w:r>
        <w:rPr>
          <w:rFonts w:eastAsia="Arial" w:cs="Arial"/>
          <w:b/>
          <w:bCs/>
          <w:sz w:val="22"/>
          <w:szCs w:val="22"/>
        </w:rPr>
        <w:t xml:space="preserve">FRP: </w:t>
      </w:r>
      <w:r>
        <w:rPr>
          <w:rFonts w:eastAsia="Arial" w:cs="Arial"/>
          <w:sz w:val="22"/>
          <w:szCs w:val="22"/>
        </w:rPr>
        <w:t>Fire Radiative Power — potencia radiativa del fuego, en MW.</w:t>
      </w:r>
    </w:p>
    <w:p>
      <w:pPr>
        <w:pStyle w:val="Normal"/>
        <w:spacing w:lineRule="auto" w:line="360" w:before="0" w:after="120"/>
        <w:jc w:val="both"/>
        <w:rPr/>
      </w:pPr>
      <w:r>
        <w:rPr>
          <w:rFonts w:eastAsia="Arial" w:cs="Arial"/>
          <w:b/>
          <w:bCs/>
          <w:sz w:val="22"/>
          <w:szCs w:val="22"/>
        </w:rPr>
        <w:t xml:space="preserve">IGBP: </w:t>
      </w:r>
      <w:r>
        <w:rPr>
          <w:rFonts w:eastAsia="Arial" w:cs="Arial"/>
          <w:sz w:val="22"/>
          <w:szCs w:val="22"/>
        </w:rPr>
        <w:t>International Geosphere-Biosphere Programme — clasificación de 17 clases de cobertura.</w:t>
      </w:r>
    </w:p>
    <w:p>
      <w:pPr>
        <w:pStyle w:val="Normal"/>
        <w:spacing w:lineRule="auto" w:line="360" w:before="0" w:after="120"/>
        <w:jc w:val="both"/>
        <w:rPr/>
      </w:pPr>
      <w:r>
        <w:rPr>
          <w:rFonts w:eastAsia="Arial" w:cs="Arial"/>
          <w:b/>
          <w:bCs/>
          <w:sz w:val="22"/>
          <w:szCs w:val="22"/>
        </w:rPr>
        <w:t xml:space="preserve">KPI: </w:t>
      </w:r>
      <w:r>
        <w:rPr>
          <w:rFonts w:eastAsia="Arial" w:cs="Arial"/>
          <w:sz w:val="22"/>
          <w:szCs w:val="22"/>
        </w:rPr>
        <w:t>Key Performance Indicator.</w:t>
      </w:r>
    </w:p>
    <w:p>
      <w:pPr>
        <w:pStyle w:val="Normal"/>
        <w:spacing w:lineRule="auto" w:line="360" w:before="0" w:after="120"/>
        <w:jc w:val="both"/>
        <w:rPr/>
      </w:pPr>
      <w:r>
        <w:rPr>
          <w:rFonts w:eastAsia="Arial" w:cs="Arial"/>
          <w:b/>
          <w:bCs/>
          <w:sz w:val="22"/>
          <w:szCs w:val="22"/>
        </w:rPr>
        <w:t xml:space="preserve">MODIS: </w:t>
      </w:r>
      <w:r>
        <w:rPr>
          <w:rFonts w:eastAsia="Arial" w:cs="Arial"/>
          <w:sz w:val="22"/>
          <w:szCs w:val="22"/>
        </w:rPr>
        <w:t>Moderate Resolution Imaging Spectroradiometer.</w:t>
      </w:r>
    </w:p>
    <w:p>
      <w:pPr>
        <w:pStyle w:val="Normal"/>
        <w:spacing w:lineRule="auto" w:line="360" w:before="0" w:after="120"/>
        <w:jc w:val="both"/>
        <w:rPr/>
      </w:pPr>
      <w:r>
        <w:rPr>
          <w:rFonts w:eastAsia="Arial" w:cs="Arial"/>
          <w:b/>
          <w:bCs/>
          <w:sz w:val="22"/>
          <w:szCs w:val="22"/>
        </w:rPr>
        <w:t xml:space="preserve">MongoDB: </w:t>
      </w:r>
      <w:r>
        <w:rPr>
          <w:rFonts w:eastAsia="Arial" w:cs="Arial"/>
          <w:sz w:val="22"/>
          <w:szCs w:val="22"/>
        </w:rPr>
        <w:t>Motor NoSQL documental con validación por JSON Schema (MongoDB, s. f.-b).</w:t>
      </w:r>
    </w:p>
    <w:p>
      <w:pPr>
        <w:pStyle w:val="Normal"/>
        <w:spacing w:lineRule="auto" w:line="360" w:before="0" w:after="120"/>
        <w:jc w:val="both"/>
        <w:rPr/>
      </w:pPr>
      <w:r>
        <w:rPr>
          <w:rFonts w:eastAsia="Arial" w:cs="Arial"/>
          <w:b/>
          <w:bCs/>
          <w:sz w:val="22"/>
          <w:szCs w:val="22"/>
        </w:rPr>
        <w:t xml:space="preserve">MySQL: </w:t>
      </w:r>
      <w:r>
        <w:rPr>
          <w:rFonts w:eastAsia="Arial" w:cs="Arial"/>
          <w:sz w:val="22"/>
          <w:szCs w:val="22"/>
        </w:rPr>
        <w:t>Sistema de gestión de bases de datos relacional, open-source, mantenido por Oracle (MySQL, s. f.-a).</w:t>
      </w:r>
    </w:p>
    <w:p>
      <w:pPr>
        <w:pStyle w:val="Normal"/>
        <w:spacing w:lineRule="auto" w:line="360" w:before="0" w:after="120"/>
        <w:jc w:val="both"/>
        <w:rPr/>
      </w:pPr>
      <w:r>
        <w:rPr>
          <w:rFonts w:eastAsia="Arial" w:cs="Arial"/>
          <w:b/>
          <w:bCs/>
          <w:sz w:val="22"/>
          <w:szCs w:val="22"/>
        </w:rPr>
        <w:t xml:space="preserve">PM2.5 / PM10: </w:t>
      </w:r>
      <w:r>
        <w:rPr>
          <w:rFonts w:eastAsia="Arial" w:cs="Arial"/>
          <w:sz w:val="22"/>
          <w:szCs w:val="22"/>
        </w:rPr>
        <w:t>Material particulado con diámetro aerodinámico &lt; 2,5 / 10 μm.</w:t>
      </w:r>
    </w:p>
    <w:p>
      <w:pPr>
        <w:pStyle w:val="Normal"/>
        <w:spacing w:lineRule="auto" w:line="360" w:before="0" w:after="120"/>
        <w:jc w:val="both"/>
        <w:rPr/>
      </w:pPr>
      <w:r>
        <w:rPr>
          <w:rFonts w:eastAsia="Arial" w:cs="Arial"/>
          <w:b/>
          <w:bCs/>
          <w:sz w:val="22"/>
          <w:szCs w:val="22"/>
        </w:rPr>
        <w:t xml:space="preserve">SHA-256: </w:t>
      </w:r>
      <w:r>
        <w:rPr>
          <w:rFonts w:eastAsia="Arial" w:cs="Arial"/>
          <w:sz w:val="22"/>
          <w:szCs w:val="22"/>
        </w:rPr>
        <w:t>Función hash criptográfica de 256 bits, usada para verificar integridad de lotes.</w:t>
      </w:r>
    </w:p>
    <w:p>
      <w:pPr>
        <w:pStyle w:val="Normal"/>
        <w:spacing w:lineRule="auto" w:line="360" w:before="0" w:after="120"/>
        <w:jc w:val="both"/>
        <w:rPr/>
      </w:pPr>
      <w:r>
        <w:rPr>
          <w:rFonts w:eastAsia="Arial" w:cs="Arial"/>
          <w:b/>
          <w:bCs/>
          <w:sz w:val="22"/>
          <w:szCs w:val="22"/>
        </w:rPr>
        <w:t xml:space="preserve">SLA: </w:t>
      </w:r>
      <w:r>
        <w:rPr>
          <w:rFonts w:eastAsia="Arial" w:cs="Arial"/>
          <w:sz w:val="22"/>
          <w:szCs w:val="22"/>
        </w:rPr>
        <w:t>Service Level Agreement — acuerdo de nivel de servicio.</w:t>
      </w:r>
    </w:p>
    <w:p>
      <w:pPr>
        <w:pStyle w:val="Normal"/>
        <w:spacing w:lineRule="auto" w:line="360" w:before="0" w:after="120"/>
        <w:jc w:val="both"/>
        <w:rPr/>
      </w:pPr>
      <w:r>
        <w:rPr>
          <w:rFonts w:eastAsia="Arial" w:cs="Arial"/>
          <w:b/>
          <w:bCs/>
          <w:sz w:val="22"/>
          <w:szCs w:val="22"/>
        </w:rPr>
        <w:t xml:space="preserve">VIIRS: </w:t>
      </w:r>
      <w:r>
        <w:rPr>
          <w:rFonts w:eastAsia="Arial" w:cs="Arial"/>
          <w:sz w:val="22"/>
          <w:szCs w:val="22"/>
        </w:rPr>
        <w:t>Visible Infrared Imaging Radiometer Suite — sensor con resolución de 375 m.</w:t>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7" w:gutter="0" w:header="708" w:top="1701" w:footer="708" w:bottom="1417"/>
          <w:pgNumType w:start="1" w:fmt="upperRoman"/>
          <w:formProt w:val="false"/>
          <w:textDirection w:val="lrTb"/>
          <w:docGrid w:type="default" w:linePitch="360" w:charSpace="0"/>
        </w:sectPr>
      </w:pPr>
      <w:r>
        <w:rPr/>
      </w:r>
      <w:r>
        <w:br w:type="page"/>
      </w:r>
    </w:p>
    <w:p>
      <w:pPr>
        <w:pStyle w:val="Heading1"/>
        <w:spacing w:lineRule="auto" w:line="360" w:before="480" w:after="240"/>
        <w:rPr/>
      </w:pPr>
      <w:r>
        <w:rPr>
          <w:rFonts w:eastAsia="Arial" w:cs="Arial" w:ascii="Arial" w:hAnsi="Arial"/>
          <w:b/>
          <w:bCs/>
          <w:color w:val="1F4E79"/>
          <w:sz w:val="28"/>
          <w:szCs w:val="28"/>
        </w:rPr>
        <w:t>1. Introducción</w:t>
      </w:r>
    </w:p>
    <w:p>
      <w:pPr>
        <w:pStyle w:val="Normal"/>
        <w:spacing w:lineRule="auto" w:line="360" w:before="0" w:after="120"/>
        <w:jc w:val="both"/>
        <w:rPr/>
      </w:pPr>
      <w:r>
        <w:rPr>
          <w:rFonts w:eastAsia="Arial" w:cs="Arial"/>
          <w:sz w:val="22"/>
          <w:szCs w:val="22"/>
        </w:rPr>
        <w:t>Los incendios forestales constituyen un fenómeno ambiental complejo cuya ocurrencia e intensidad dependen de la interacción entre clima, disponibilidad de combustible, dinámica hidrológica y características del territorio. Jolly et al. (2015) mostraron que la duración de las temporadas de peligro de incendio se ha incrementado de forma significativa a escala global, mientras que Reid et al. (2016) documentaron que la exposición al humo de incendios se asocia con aumentos de material particulado fino y con efectos respiratorios adversos. En ese contexto, estudiar incendios forestales en América del Sur exige una aproximación integrada que combine focos activos, variables meteorológicas, precipitación, calidad del aire y cobertura vegetal dentro de una misma estructura de análisis (van der Werf et al., 2017).</w:t>
      </w:r>
    </w:p>
    <w:p>
      <w:pPr>
        <w:pStyle w:val="Normal"/>
        <w:spacing w:lineRule="auto" w:line="360" w:before="0" w:after="120"/>
        <w:jc w:val="both"/>
        <w:rPr/>
      </w:pPr>
      <w:r>
        <w:rPr>
          <w:rFonts w:eastAsia="Arial" w:cs="Arial"/>
          <w:sz w:val="22"/>
          <w:szCs w:val="22"/>
        </w:rPr>
        <w:t>En América del Sur, la dificultad principal no radica en la falta de datos, sino en su dispersión entre plataformas con formatos y escalas diferentes. NASA FIRMS distribuye focos activos detectados por sensores satelitales (Giglio et al., 2016); Open-Meteo ofrece acceso programático a datos meteorológicos históricos (Open-Meteo, s. f.); CAMS publica información atmosférica y de calidad del aire; CHIRPS provee precipitación en formato raster; y AppEEARS facilita el acceso a productos MODIS de cobertura terrestre. Estas diferencias impiden el cruce directo entre datasets y convierten el problema en un caso genuino de ingeniería de datos, porque se requiere un sistema capaz de extraer, transformar, armonizar y almacenar información heterogénea en un modelo de destino coherente.</w:t>
      </w:r>
    </w:p>
    <w:p>
      <w:pPr>
        <w:pStyle w:val="Normal"/>
        <w:spacing w:lineRule="auto" w:line="360" w:before="0" w:after="120"/>
        <w:jc w:val="both"/>
        <w:rPr/>
      </w:pPr>
      <w:r>
        <w:rPr>
          <w:rFonts w:eastAsia="Arial" w:cs="Arial"/>
          <w:sz w:val="22"/>
          <w:szCs w:val="22"/>
        </w:rPr>
        <w:t>Desde la perspectiva metodológica del curso, el proyecto se encuadra como una solución de ingeniería aplicada y no como un trabajo de investigación teórica pura. La consigna establece que el sistema debe integrar fuentes heterogéneas, aplicar transformaciones controladas, mantener trazabilidad, incorporar actualización incremental y soportar consultas analíticas verificables. Por lo tanto, el propósito del proyecto no es solo reunir datos, sino construir una solución técnica que gestione el ciclo de vida completo del dato, desde la ingestión hasta el análisis.</w:t>
      </w:r>
    </w:p>
    <w:p>
      <w:pPr>
        <w:pStyle w:val="Normal"/>
        <w:spacing w:lineRule="auto" w:line="360" w:before="0" w:after="120"/>
        <w:jc w:val="both"/>
        <w:rPr/>
      </w:pPr>
      <w:r>
        <w:rPr>
          <w:rFonts w:eastAsia="Arial" w:cs="Arial"/>
          <w:sz w:val="22"/>
          <w:szCs w:val="22"/>
        </w:rPr>
        <w:t>La Figura 1 ilustra las relaciones funcionales entre los actores del sistema —proveedores de datos satelitales, equipo procesador y consumidores analíticos—. Este mapa de actores constituye el punto de partida para delimitar qué dimensiones del dato son responsabilidad del equipo (transformación, calidad, integración) y cuáles provienen ya procesadas desde los programas de observación de la Tierra.</w:t>
      </w:r>
    </w:p>
    <w:p>
      <w:pPr>
        <w:pStyle w:val="Normal"/>
        <w:spacing w:before="200" w:after="80"/>
        <w:jc w:val="center"/>
        <w:rPr/>
      </w:pPr>
      <w:r>
        <w:rPr/>
        <w:drawing>
          <wp:inline distT="0" distB="0" distL="0" distR="0">
            <wp:extent cx="6858000" cy="4857750"/>
            <wp:effectExtent l="0" t="0" r="0" b="0"/>
            <wp:docPr id="1" name="Diagrama de relación entre actores" descr="Diagrama de relación entre actores" title="Diagrama de relación entre 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relación entre actores" descr="Diagrama de relación entre actores" title="Diagrama de relación entre actores"/>
                    <pic:cNvPicPr>
                      <a:picLocks noChangeAspect="1" noChangeArrowheads="1"/>
                    </pic:cNvPicPr>
                  </pic:nvPicPr>
                  <pic:blipFill>
                    <a:blip r:embed="rId8"/>
                    <a:stretch>
                      <a:fillRect/>
                    </a:stretch>
                  </pic:blipFill>
                  <pic:spPr bwMode="auto">
                    <a:xfrm>
                      <a:off x="0" y="0"/>
                      <a:ext cx="6858000" cy="4857750"/>
                    </a:xfrm>
                    <a:prstGeom prst="rect">
                      <a:avLst/>
                    </a:prstGeom>
                    <a:noFill/>
                  </pic:spPr>
                </pic:pic>
              </a:graphicData>
            </a:graphic>
          </wp:inline>
        </w:drawing>
      </w:r>
    </w:p>
    <w:p>
      <w:pPr>
        <w:pStyle w:val="Normal"/>
        <w:spacing w:before="0" w:after="240"/>
        <w:jc w:val="center"/>
        <w:rPr/>
      </w:pPr>
      <w:r>
        <w:rPr>
          <w:rFonts w:eastAsia="Arial" w:cs="Arial"/>
          <w:i/>
          <w:iCs/>
          <w:color w:val="555555"/>
          <w:sz w:val="20"/>
          <w:szCs w:val="20"/>
        </w:rPr>
        <w:t>Figura 1. Diagrama de relación entre actores.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Figura 1. El diagrama identifica cinco roles funcionales y las líneas de colaboración entre ellos. Los proveedores de datos (NASA FIRMS, Open-Meteo/ERA5-Land, CAMS/Copernicus, CHIRPS y AppEEARS/MODIS) entregan información heterogénea al equipo de ingeniería, que la integra y la pone a disposición de analistas, investigadores y tomadores de decisión. El administrador del sistema se ubica transversalmente, asegurando operación, trazabilidad y acceso. Esta figura es la base para delimitar qué dimensiones del dato son responsabilidad del proyecto (transformación, calidad, integración) y cuáles provienen ya procesadas desde los programas de observación de la Tierra.</w:t>
      </w:r>
    </w:p>
    <w:p>
      <w:pPr>
        <w:pStyle w:val="Heading2"/>
        <w:spacing w:lineRule="auto" w:line="360" w:before="320" w:after="160"/>
        <w:rPr/>
      </w:pPr>
      <w:r>
        <w:rPr>
          <w:rFonts w:eastAsia="Arial" w:cs="Arial" w:ascii="Arial" w:hAnsi="Arial"/>
          <w:b/>
          <w:bCs/>
          <w:color w:val="2E75B6"/>
          <w:sz w:val="26"/>
          <w:szCs w:val="26"/>
        </w:rPr>
        <w:t>1.1 Problema</w:t>
      </w:r>
    </w:p>
    <w:p>
      <w:pPr>
        <w:pStyle w:val="Normal"/>
        <w:spacing w:lineRule="auto" w:line="360" w:before="0" w:after="120"/>
        <w:jc w:val="both"/>
        <w:rPr/>
      </w:pPr>
      <w:r>
        <w:rPr>
          <w:rFonts w:eastAsia="Arial" w:cs="Arial"/>
          <w:sz w:val="22"/>
          <w:szCs w:val="22"/>
        </w:rPr>
        <w:t>El problema específico abordado en este proyecto es la ausencia de un sistema unificado que permita analizar incendios forestales en América del Sur mediante la integración simultánea de focos de calor, condiciones meteorológicas, precipitación, calidad del aire y cobertura vegetal. Aunque cada una de estas dimensiones dispone de fuentes públicas técnicamente accesibles, esas fuentes presentan diferencias sustanciales en formato, granularidad temporal, resolución espacial y estructura conceptual. Giglio et al. (2016) describen productos de detección activa de fuego con granularidad por evento, mientras que la documentación de Open-Meteo presenta series horarias (Open-Meteo, s. f.) y Muñoz-Sabater et al. (2021) caracterizan ERA5-Land como un reanálisis orientado a aplicaciones terrestres. Esa heterogeneidad impide el cruce directo entre datasets y exige una etapa formal de armonización.</w:t>
      </w:r>
    </w:p>
    <w:p>
      <w:pPr>
        <w:pStyle w:val="Normal"/>
        <w:spacing w:lineRule="auto" w:line="360" w:before="0" w:after="120"/>
        <w:jc w:val="both"/>
        <w:rPr/>
      </w:pPr>
      <w:r>
        <w:rPr>
          <w:rFonts w:eastAsia="Arial" w:cs="Arial"/>
          <w:sz w:val="22"/>
          <w:szCs w:val="22"/>
        </w:rPr>
        <w:t>El problema, en consecuencia, no es únicamente ambiental, sino también arquitectónico y metodológico. Para responder preguntas sobre evolución temporal, comparación regional o relación entre variables de distintas fuentes, se necesita un sistema capaz de transformar estructuras existentes en un modelo integrado de destino, con preservación del histórico, trazabilidad de los cambios y soporte para consultas agregadas. Esta necesidad coincide con la definición de EC1 y EC2, donde se exige transformar una temática general en un problema técnico delimitado y luego diseñar una solución que combine modelo relacional, modelo NoSQL, ETL, integridad y métricas.</w:t>
      </w:r>
    </w:p>
    <w:p>
      <w:pPr>
        <w:pStyle w:val="Heading2"/>
        <w:spacing w:lineRule="auto" w:line="360" w:before="320" w:after="160"/>
        <w:rPr/>
      </w:pPr>
      <w:r>
        <w:rPr>
          <w:rFonts w:eastAsia="Arial" w:cs="Arial" w:ascii="Arial" w:hAnsi="Arial"/>
          <w:b/>
          <w:bCs/>
          <w:color w:val="2E75B6"/>
          <w:sz w:val="26"/>
          <w:szCs w:val="26"/>
        </w:rPr>
        <w:t>1.2 Objetivos</w:t>
      </w:r>
    </w:p>
    <w:p>
      <w:pPr>
        <w:pStyle w:val="Heading3"/>
        <w:spacing w:lineRule="auto" w:line="360" w:before="240" w:after="120"/>
        <w:rPr/>
      </w:pPr>
      <w:r>
        <w:rPr>
          <w:rFonts w:eastAsia="Arial" w:cs="Arial" w:ascii="Arial" w:hAnsi="Arial"/>
          <w:b/>
          <w:bCs/>
          <w:color w:val="404040"/>
          <w:sz w:val="24"/>
          <w:szCs w:val="24"/>
        </w:rPr>
        <w:t>1.2.1 Objetivo general</w:t>
      </w:r>
    </w:p>
    <w:p>
      <w:pPr>
        <w:pStyle w:val="Normal"/>
        <w:spacing w:lineRule="auto" w:line="360" w:before="0" w:after="120"/>
        <w:jc w:val="both"/>
        <w:rPr/>
      </w:pPr>
      <w:r>
        <w:rPr>
          <w:rFonts w:eastAsia="Arial" w:cs="Arial"/>
          <w:sz w:val="22"/>
          <w:szCs w:val="22"/>
        </w:rPr>
        <w:t>Diseñar e implementar un sistema integrado de datos ambientales que consolide información de incendios forestales, condiciones meteorológicas, precipitación, calidad del aire y cobertura vegetal en América del Sur durante el período 2018–2025, utilizando MySQL como repositorio relacional analítico y MongoDB como repositorio documental de trazabilidad, de modo que el sistema sea capaz de responder consultas agregadas, preservar histórico y registrar el comportamiento del pipeline mediante mecanismos formales de validación y actualización incremental. La elección de una arquitectura de persistencia políglota se apoya en capacidades técnicas distintas: la documentación oficial de MySQL describe un sistema relacional maduro con soporte para estructuras tabulares, índices y replicación (MySQL, s. f.-a, s. f.-b), mientras que MongoDB documenta validación mediante JSON Schema, replica sets y mecanismos de escalado horizontal (MongoDB, s. f.-a, s. f.-b, s. f.-c, s. f.-d).</w:t>
      </w:r>
    </w:p>
    <w:p>
      <w:pPr>
        <w:pStyle w:val="Heading3"/>
        <w:spacing w:lineRule="auto" w:line="360" w:before="240" w:after="120"/>
        <w:rPr/>
      </w:pPr>
      <w:r>
        <w:rPr>
          <w:rFonts w:eastAsia="Arial" w:cs="Arial" w:ascii="Arial" w:hAnsi="Arial"/>
          <w:b/>
          <w:bCs/>
          <w:color w:val="404040"/>
          <w:sz w:val="24"/>
          <w:szCs w:val="24"/>
        </w:rPr>
        <w:t>1.2.2 Objetivos específicos</w:t>
      </w:r>
    </w:p>
    <w:p>
      <w:pPr>
        <w:pStyle w:val="Normal"/>
        <w:spacing w:lineRule="auto" w:line="360" w:before="0" w:after="120"/>
        <w:jc w:val="both"/>
        <w:rPr/>
      </w:pPr>
      <w:r>
        <w:rPr>
          <w:rFonts w:eastAsia="Arial" w:cs="Arial"/>
          <w:b/>
          <w:bCs/>
          <w:sz w:val="22"/>
          <w:szCs w:val="22"/>
        </w:rPr>
        <w:t xml:space="preserve">OE1. </w:t>
      </w:r>
      <w:r>
        <w:rPr>
          <w:rFonts w:eastAsia="Arial" w:cs="Arial"/>
          <w:sz w:val="22"/>
          <w:szCs w:val="22"/>
        </w:rPr>
        <w:t>Diseñar un pipeline ETL en Python capaz de extraer, transformar y cargar datos de cinco fuentes heterogéneas mediante procesos reproducibles e idempotentes, utilizando validación estructural previa y controles de integridad en la carga. Pydantic documenta validación explícita de modelos y estructuras, lo que resulta útil para controlar tipos, fechas y rangos antes de la inserción (Pydantic, s. f.).</w:t>
      </w:r>
    </w:p>
    <w:p>
      <w:pPr>
        <w:pStyle w:val="Normal"/>
        <w:spacing w:lineRule="auto" w:line="360" w:before="0" w:after="120"/>
        <w:jc w:val="both"/>
        <w:rPr/>
      </w:pPr>
      <w:r>
        <w:rPr>
          <w:rFonts w:eastAsia="Arial" w:cs="Arial"/>
          <w:b/>
          <w:bCs/>
          <w:sz w:val="22"/>
          <w:szCs w:val="22"/>
        </w:rPr>
        <w:t xml:space="preserve">OE2. </w:t>
      </w:r>
      <w:r>
        <w:rPr>
          <w:rFonts w:eastAsia="Arial" w:cs="Arial"/>
          <w:sz w:val="22"/>
          <w:szCs w:val="22"/>
        </w:rPr>
        <w:t>Construir un modelo dimensional en MySQL con tablas de hechos y dimensiones conformadas, orientado a consultas analíticas, análisis temporal y cálculo de KPIs. Esta decisión se alinea con la guía de EC2, que establece que el modelo relacional debe cumplir el rol de Data Warehouse.</w:t>
      </w:r>
    </w:p>
    <w:p>
      <w:pPr>
        <w:pStyle w:val="Normal"/>
        <w:spacing w:lineRule="auto" w:line="360" w:before="0" w:after="120"/>
        <w:jc w:val="both"/>
        <w:rPr/>
      </w:pPr>
      <w:r>
        <w:rPr>
          <w:rFonts w:eastAsia="Arial" w:cs="Arial"/>
          <w:b/>
          <w:bCs/>
          <w:sz w:val="22"/>
          <w:szCs w:val="22"/>
        </w:rPr>
        <w:t xml:space="preserve">OE3. </w:t>
      </w:r>
      <w:r>
        <w:rPr>
          <w:rFonts w:eastAsia="Arial" w:cs="Arial"/>
          <w:sz w:val="22"/>
          <w:szCs w:val="22"/>
        </w:rPr>
        <w:t>Implementar un mecanismo de CDC basado en ventana temporal y verificación de hash por lote, de manera que el sistema detecte tanto registros nuevos como correcciones históricas.</w:t>
      </w:r>
    </w:p>
    <w:p>
      <w:pPr>
        <w:pStyle w:val="Normal"/>
        <w:spacing w:lineRule="auto" w:line="360" w:before="0" w:after="120"/>
        <w:jc w:val="both"/>
        <w:rPr/>
      </w:pPr>
      <w:r>
        <w:rPr>
          <w:rFonts w:eastAsia="Arial" w:cs="Arial"/>
          <w:b/>
          <w:bCs/>
          <w:sz w:val="22"/>
          <w:szCs w:val="22"/>
        </w:rPr>
        <w:t xml:space="preserve">OE4. </w:t>
      </w:r>
      <w:r>
        <w:rPr>
          <w:rFonts w:eastAsia="Arial" w:cs="Arial"/>
          <w:sz w:val="22"/>
          <w:szCs w:val="22"/>
        </w:rPr>
        <w:t>Diseñar un modelo documental en MongoDB para almacenar logs de ejecución, metadatos de control, snapshots y métricas de calidad del pipeline, aprovechando el soporte oficial del motor para validación mediante JSON Schema (MongoDB, s. f.-b, s. f.-c).</w:t>
      </w:r>
    </w:p>
    <w:p>
      <w:pPr>
        <w:pStyle w:val="Normal"/>
        <w:spacing w:lineRule="auto" w:line="360" w:before="0" w:after="120"/>
        <w:jc w:val="both"/>
        <w:rPr/>
      </w:pPr>
      <w:r>
        <w:rPr>
          <w:rFonts w:eastAsia="Arial" w:cs="Arial"/>
          <w:b/>
          <w:bCs/>
          <w:sz w:val="22"/>
          <w:szCs w:val="22"/>
        </w:rPr>
        <w:t xml:space="preserve">OE5. </w:t>
      </w:r>
      <w:r>
        <w:rPr>
          <w:rFonts w:eastAsia="Arial" w:cs="Arial"/>
          <w:sz w:val="22"/>
          <w:szCs w:val="22"/>
        </w:rPr>
        <w:t>Definir KPIs alineados con las preguntas analíticas del proyecto y con la futura capa de visualización, manteniendo correspondencia explícita entre preguntas, consultas, resultados y representaciones gráficas.</w:t>
      </w:r>
    </w:p>
    <w:p>
      <w:pPr>
        <w:pStyle w:val="Normal"/>
        <w:spacing w:lineRule="auto" w:line="360" w:before="0" w:after="120"/>
        <w:jc w:val="both"/>
        <w:rPr/>
      </w:pPr>
      <w:r>
        <w:rPr>
          <w:rFonts w:eastAsia="Arial" w:cs="Arial"/>
          <w:sz w:val="22"/>
          <w:szCs w:val="22"/>
        </w:rPr>
        <w:t>La Tabla 12 resume los objetivos específicos, los indica sus indicadores verificables y su correspondencia con los capítulos del documento.</w:t>
      </w:r>
    </w:p>
    <w:tbl>
      <w:tblPr>
        <w:tblW w:w="8788" w:type="dxa"/>
        <w:jc w:val="start"/>
        <w:tblInd w:w="0" w:type="dxa"/>
        <w:tblLayout w:type="fixed"/>
        <w:tblCellMar>
          <w:top w:w="60" w:type="dxa"/>
          <w:start w:w="100" w:type="dxa"/>
          <w:bottom w:w="60" w:type="dxa"/>
          <w:end w:w="100" w:type="dxa"/>
        </w:tblCellMar>
      </w:tblPr>
      <w:tblGrid>
        <w:gridCol w:w="600"/>
        <w:gridCol w:w="3199"/>
        <w:gridCol w:w="2800"/>
        <w:gridCol w:w="2189"/>
      </w:tblGrid>
      <w:tr>
        <w:trPr/>
        <w:tc>
          <w:tcPr>
            <w:tcW w:w="6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ID</w:t>
            </w:r>
          </w:p>
        </w:tc>
        <w:tc>
          <w:tcPr>
            <w:tcW w:w="31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Objetivo específico (resumen)</w:t>
            </w:r>
          </w:p>
        </w:tc>
        <w:tc>
          <w:tcPr>
            <w:tcW w:w="28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Indicador verificable</w:t>
            </w:r>
          </w:p>
        </w:tc>
        <w:tc>
          <w:tcPr>
            <w:tcW w:w="21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Sección(es)</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OE1</w:t>
            </w:r>
          </w:p>
        </w:tc>
        <w:tc>
          <w:tcPr>
            <w:tcW w:w="3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Pipeline ETL en Python sobre 5 fuentes</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Completitud ≥ 95%; reproducibilidad del lote</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3.3, 3.4, 4.3.2</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OE2</w:t>
            </w:r>
          </w:p>
        </w:tc>
        <w:tc>
          <w:tcPr>
            <w:tcW w:w="3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DW en MySQL con hechos y dimensiones conformadas</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Respuesta &lt; 5 s para consultas agregadas</w:t>
            </w:r>
          </w:p>
        </w:tc>
        <w:tc>
          <w:tcPr>
            <w:tcW w:w="2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4.2</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OE3</w:t>
            </w:r>
          </w:p>
        </w:tc>
        <w:tc>
          <w:tcPr>
            <w:tcW w:w="3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CDC con ventana temporal + hash</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Detección de nuevos y correcciones; auditoría</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4.3.2.1</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OE4</w:t>
            </w:r>
          </w:p>
        </w:tc>
        <w:tc>
          <w:tcPr>
            <w:tcW w:w="3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Modelo documental en MongoDB con JSON Schema</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Validación de esquema por colección</w:t>
            </w:r>
          </w:p>
        </w:tc>
        <w:tc>
          <w:tcPr>
            <w:tcW w:w="2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4.3.3</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OE5</w:t>
            </w:r>
          </w:p>
        </w:tc>
        <w:tc>
          <w:tcPr>
            <w:tcW w:w="3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KPIs alineados a preguntas analíticas</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Correspondencia 1:1 pregunta-consulta-KPI</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1.3, 4.3.4</w:t>
            </w:r>
          </w:p>
        </w:tc>
      </w:tr>
    </w:tbl>
    <w:p>
      <w:pPr>
        <w:pStyle w:val="Normal"/>
        <w:spacing w:before="0" w:after="240"/>
        <w:jc w:val="center"/>
        <w:rPr/>
      </w:pPr>
      <w:r>
        <w:rPr>
          <w:rFonts w:eastAsia="Arial" w:cs="Arial"/>
          <w:i/>
          <w:iCs/>
          <w:color w:val="555555"/>
          <w:sz w:val="20"/>
          <w:szCs w:val="20"/>
        </w:rPr>
        <w:t>Tabla 12. Objetivos específicos y su trazabilidad.</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12. Cada objetivo específico (OE1–OE5) aparece con un indicador verificable cuantitativo o estructural y con la sección del documento donde se evidencia su cumplimiento. Esto permite que la defensa del proyecto trace, para cada objetivo, una cadena evidencia-diseño-implementación: OE1 se valida con métricas del pipeline ETL; OE2 con tiempos de respuesta SQL; OE3 con el mecanismo CDC; OE4 con la validación JSON Schema; OE5 con la correspondencia 1:1 entre preguntas analíticas, consultas y KPIs.</w:t>
      </w:r>
    </w:p>
    <w:p>
      <w:pPr>
        <w:pStyle w:val="Heading2"/>
        <w:spacing w:lineRule="auto" w:line="360" w:before="320" w:after="160"/>
        <w:rPr/>
      </w:pPr>
      <w:r>
        <w:rPr>
          <w:rFonts w:eastAsia="Arial" w:cs="Arial" w:ascii="Arial" w:hAnsi="Arial"/>
          <w:b/>
          <w:bCs/>
          <w:color w:val="2E75B6"/>
          <w:sz w:val="26"/>
          <w:szCs w:val="26"/>
        </w:rPr>
        <w:t>1.3 Alcance del proyecto</w:t>
      </w:r>
    </w:p>
    <w:p>
      <w:pPr>
        <w:pStyle w:val="Normal"/>
        <w:spacing w:lineRule="auto" w:line="360" w:before="0" w:after="120"/>
        <w:jc w:val="both"/>
        <w:rPr/>
      </w:pPr>
      <w:r>
        <w:rPr>
          <w:rFonts w:eastAsia="Arial" w:cs="Arial"/>
          <w:sz w:val="22"/>
          <w:szCs w:val="22"/>
        </w:rPr>
        <w:t>El proyecto integra cinco fuentes abiertas y heterogéneas: NASA FIRMS para incendios activos, Open-Meteo / ERA5-Land para meteorología, CAMS / Copernicus para calidad del aire, CHIRPS para precipitación y MODIS Land Cover / AppEEARS para cobertura vegetal. La documentación de Open-Meteo indica acceso histórico a datos meteorológicos desde 1940 con resolución de 0,1 o 0,25 grados (Open-Meteo, s. f.), mientras que Muñoz-Sabater et al. (2021) presentan ERA5-Land como un producto consistente para análisis de superficie terrestre. Esta combinación de fuentes ofrece cobertura suficiente para el período 2018–2025 y justifica la integración multifuente del proyecto.</w:t>
      </w:r>
    </w:p>
    <w:p>
      <w:pPr>
        <w:pStyle w:val="Normal"/>
        <w:spacing w:lineRule="auto" w:line="360" w:before="0" w:after="120"/>
        <w:jc w:val="both"/>
        <w:rPr/>
      </w:pPr>
      <w:r>
        <w:rPr>
          <w:rFonts w:eastAsia="Arial" w:cs="Arial"/>
          <w:sz w:val="22"/>
          <w:szCs w:val="22"/>
        </w:rPr>
        <w:t>El alcance espacial corresponde a América del Sur y el temporal al período 2018–2025. Quedan fuera del alcance el modelado predictivo, el análisis sanitario de poblaciones afectadas, la evaluación económica de incendios y la incorporación de fuentes cuyo acceso no sea programático o reproducible. Esta delimitación es coherente con la lógica del curso, que diferencia la construcción del sistema de datos de fases posteriores de analítica avanzada o aprendizaje automático.</w:t>
      </w:r>
    </w:p>
    <w:p>
      <w:pPr>
        <w:pStyle w:val="Normal"/>
        <w:spacing w:lineRule="auto" w:line="360" w:before="0" w:after="120"/>
        <w:jc w:val="both"/>
        <w:rPr/>
      </w:pPr>
      <w:r>
        <w:rPr>
          <w:rFonts w:eastAsia="Arial" w:cs="Arial"/>
          <w:sz w:val="22"/>
          <w:szCs w:val="22"/>
        </w:rPr>
        <w:t>El alcance funcional queda expresado en las once preguntas analíticas que el sistema debe responder, resumidas en la Tabla 11. Cada pregunta se clasifica por tipo (temporal, espacial, correlacional) y va acompañada del patrón SQL previsto, lo que permite trazar una correspondencia directa con el modelo dimensional del Capítulo 4.</w:t>
      </w:r>
    </w:p>
    <w:tbl>
      <w:tblPr>
        <w:tblW w:w="8788" w:type="dxa"/>
        <w:jc w:val="start"/>
        <w:tblInd w:w="0" w:type="dxa"/>
        <w:tblLayout w:type="fixed"/>
        <w:tblCellMar>
          <w:top w:w="60" w:type="dxa"/>
          <w:start w:w="100" w:type="dxa"/>
          <w:bottom w:w="60" w:type="dxa"/>
          <w:end w:w="100" w:type="dxa"/>
        </w:tblCellMar>
      </w:tblPr>
      <w:tblGrid>
        <w:gridCol w:w="299"/>
        <w:gridCol w:w="2201"/>
        <w:gridCol w:w="900"/>
        <w:gridCol w:w="1799"/>
        <w:gridCol w:w="3589"/>
      </w:tblGrid>
      <w:tr>
        <w:trPr/>
        <w:tc>
          <w:tcPr>
            <w:tcW w:w="2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w:t>
            </w:r>
          </w:p>
        </w:tc>
        <w:tc>
          <w:tcPr>
            <w:tcW w:w="22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Pregunta analítica</w:t>
            </w:r>
          </w:p>
        </w:tc>
        <w:tc>
          <w:tcPr>
            <w:tcW w:w="9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Tipo</w:t>
            </w:r>
          </w:p>
        </w:tc>
        <w:tc>
          <w:tcPr>
            <w:tcW w:w="17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Variables</w:t>
            </w:r>
          </w:p>
        </w:tc>
        <w:tc>
          <w:tcPr>
            <w:tcW w:w="35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SQL previsto</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P1</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Evolución mensual de focos y FRP por país, 2018–2024</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Temporal</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fire_count, frp_mean, country</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SUM/AVG GROUP BY country, year, month</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P2</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Top 5 países con más focos y % del total SA</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Espacial</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fire_count, country</w:t>
            </w:r>
          </w:p>
        </w:tc>
        <w:tc>
          <w:tcPr>
            <w:tcW w:w="3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ORDER BY DESC LIMIT 5 + subquery</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P3</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Correlación temperatura-focos mensual por país</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Correlación</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fire_count, temp_mean, country</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CORR(avg_temp, total_fires) por país</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P4</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Trimestres 80% focos vs. precipitación mínima</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Temp+Corr</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fire_count, precipitation_mm, quarter</w:t>
            </w:r>
          </w:p>
        </w:tc>
        <w:tc>
          <w:tcPr>
            <w:tcW w:w="3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CUMSUM + JOIN precip trimestral</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P5</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PM2.5 celdas ≥5 focos vs. sin focos</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Correlación</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fire_count, pm2_5_mean</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CASE WHEN fire_count&gt;=5</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P6</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AQI temporada jul-oct vs. resto del año</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Temporal</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european_aqi_mean, month, country</w:t>
            </w:r>
          </w:p>
        </w:tc>
        <w:tc>
          <w:tcPr>
            <w:tcW w:w="3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CASE WHEN month BETWEEN 7 AND 10</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P7</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Cobertura IGBP con mayor frecuencia fuegos/área</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Esp+Temp</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fire_count, land_cover_class, area_km2</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SUM(fires)/SUM(area)</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P8</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Déficit precipitación &lt;P20 → focos mes siguiente</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Correlación</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precipitation_mm, fire_count</w:t>
            </w:r>
          </w:p>
        </w:tc>
        <w:tc>
          <w:tcPr>
            <w:tcW w:w="3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PERCENT_RANK + LEAD + CORR</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P9</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Transición forestal→no forestal vs. densidad focos</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Espacial</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land_cover 2018 vs 2022, fire_count</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WHERE lc_2018 IN(1-5) AND lc_2022 NOT IN(1-5)</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P10</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Promedio móvil 7d del FRP ago-sep 2018 vs. 2024</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Temporal</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frp_mean, date</w:t>
            </w:r>
          </w:p>
        </w:tc>
        <w:tc>
          <w:tcPr>
            <w:tcW w:w="3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OVER (ROWS 6 PRECEDING)</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P11</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AOD en FRP&gt;P90 vs. sin actividad</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Correlación</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frp_mean, aod_mean</w:t>
            </w:r>
          </w:p>
        </w:tc>
        <w:tc>
          <w:tcPr>
            <w:tcW w:w="3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PERCENTILE + CASE + AVG</w:t>
            </w:r>
          </w:p>
        </w:tc>
      </w:tr>
    </w:tbl>
    <w:p>
      <w:pPr>
        <w:pStyle w:val="Normal"/>
        <w:spacing w:before="0" w:after="240"/>
        <w:jc w:val="center"/>
        <w:rPr/>
      </w:pPr>
      <w:r>
        <w:rPr>
          <w:rFonts w:eastAsia="Arial" w:cs="Arial"/>
          <w:i/>
          <w:iCs/>
          <w:color w:val="555555"/>
          <w:sz w:val="20"/>
          <w:szCs w:val="20"/>
        </w:rPr>
        <w:t>Tabla 11. Preguntas analíticas y patrón SQL previsto.</w:t>
      </w:r>
    </w:p>
    <w:p>
      <w:pPr>
        <w:pStyle w:val="Normal"/>
        <w:spacing w:before="0" w:after="200"/>
        <w:jc w:val="center"/>
        <w:rPr/>
      </w:pPr>
      <w:r>
        <w:rPr>
          <w:rFonts w:eastAsia="Arial" w:cs="Arial"/>
          <w:i/>
          <w:iCs/>
          <w:color w:val="777777"/>
          <w:sz w:val="18"/>
          <w:szCs w:val="18"/>
        </w:rPr>
        <w:t>Fuente: Elaboración propia con base en EC1.</w:t>
      </w:r>
    </w:p>
    <w:p>
      <w:pPr>
        <w:pStyle w:val="Normal"/>
        <w:spacing w:lineRule="auto" w:line="360" w:before="0" w:after="120"/>
        <w:jc w:val="both"/>
        <w:rPr/>
      </w:pPr>
      <w:r>
        <w:rPr>
          <w:rFonts w:eastAsia="Arial" w:cs="Arial"/>
          <w:sz w:val="22"/>
          <w:szCs w:val="22"/>
        </w:rPr>
        <w:t>Interpretación de la Tabla 11. La tabla operativiza las once preguntas analíticas del alcance traduciéndolas a patrones SQL concretos (GROUP BY temporal, ranking, filtros por umbrales, joins multi-fuente). Esta traducción sirve como puente entre la formulación del problema y el diseño físico del Data Warehouse, garantizando que cada pregunta tenga un correlato en el modelo de destino y que ninguna variable relevante quede sin soporte estructural.</w:t>
      </w:r>
    </w:p>
    <w:p>
      <w:pPr>
        <w:pStyle w:val="Heading2"/>
        <w:spacing w:lineRule="auto" w:line="360" w:before="320" w:after="160"/>
        <w:rPr/>
      </w:pPr>
      <w:r>
        <w:rPr>
          <w:rFonts w:eastAsia="Arial" w:cs="Arial" w:ascii="Arial" w:hAnsi="Arial"/>
          <w:b/>
          <w:bCs/>
          <w:color w:val="2E75B6"/>
          <w:sz w:val="26"/>
          <w:szCs w:val="26"/>
        </w:rPr>
        <w:t>1.4 Limitaciones</w:t>
      </w:r>
    </w:p>
    <w:p>
      <w:pPr>
        <w:pStyle w:val="Normal"/>
        <w:spacing w:lineRule="auto" w:line="360" w:before="0" w:after="120"/>
        <w:jc w:val="both"/>
        <w:rPr/>
      </w:pPr>
      <w:r>
        <w:rPr>
          <w:rFonts w:eastAsia="Arial" w:cs="Arial"/>
          <w:sz w:val="22"/>
          <w:szCs w:val="22"/>
        </w:rPr>
        <w:t>Una limitación importante del proyecto deriva de la cobertura desigual entre fuentes. Mientras FIRMS y Open-Meteo permiten trabajar con granularidad de evento u horaria, CHIRPS opera con productos mensuales y MODIS con productos anuales, lo que obliga a construir hechos separados por nivel temporal y a evitar cruces ingenuos entre datasets (Giglio et al., 2016). Asimismo, la integración espacial requiere adoptar una grilla común, lo que simplifica la interoperabilidad analítica, aunque implica pérdida de resolución respecto de algunos productos originales.</w:t>
      </w:r>
    </w:p>
    <w:p>
      <w:pPr>
        <w:pStyle w:val="Normal"/>
        <w:spacing w:lineRule="auto" w:line="360" w:before="0" w:after="120"/>
        <w:jc w:val="both"/>
        <w:rPr/>
      </w:pPr>
      <w:r>
        <w:rPr>
          <w:rFonts w:eastAsia="Arial" w:cs="Arial"/>
          <w:sz w:val="22"/>
          <w:szCs w:val="22"/>
        </w:rPr>
        <w:t>También deben considerarse las limitaciones de calidad de ciertas variables, especialmente cuando existen nulos masivos, latencia de publicación o revisiones históricas posteriores. Por esa razón, el diseño del sistema incorpora métricas de calidad y un CDC con control por ventana y hash, además de reglas de integridad en MySQL y validación documental en MongoDB.</w:t>
      </w:r>
    </w:p>
    <w:p>
      <w:pPr>
        <w:pStyle w:val="Normal"/>
        <w:spacing w:lineRule="auto" w:line="360" w:before="0" w:after="120"/>
        <w:jc w:val="both"/>
        <w:rPr/>
      </w:pPr>
      <w:r>
        <w:rPr>
          <w:rFonts w:eastAsia="Arial" w:cs="Arial"/>
          <w:sz w:val="22"/>
          <w:szCs w:val="22"/>
        </w:rPr>
        <w:t>La Tabla 13 sistematiza los principales riesgos técnicos con su probabilidad, impacto y medida de mitigación asociada. Esta matriz es la que orienta las decisiones defensivas del diseño del ETL en la Sección 4.3.</w:t>
      </w:r>
    </w:p>
    <w:tbl>
      <w:tblPr>
        <w:tblW w:w="8788" w:type="dxa"/>
        <w:jc w:val="start"/>
        <w:tblInd w:w="0" w:type="dxa"/>
        <w:tblLayout w:type="fixed"/>
        <w:tblCellMar>
          <w:top w:w="60" w:type="dxa"/>
          <w:start w:w="100" w:type="dxa"/>
          <w:bottom w:w="60" w:type="dxa"/>
          <w:end w:w="100" w:type="dxa"/>
        </w:tblCellMar>
      </w:tblPr>
      <w:tblGrid>
        <w:gridCol w:w="2199"/>
        <w:gridCol w:w="701"/>
        <w:gridCol w:w="699"/>
        <w:gridCol w:w="5189"/>
      </w:tblGrid>
      <w:tr>
        <w:trPr/>
        <w:tc>
          <w:tcPr>
            <w:tcW w:w="21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Riesgo</w:t>
            </w:r>
          </w:p>
        </w:tc>
        <w:tc>
          <w:tcPr>
            <w:tcW w:w="7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Prob.</w:t>
            </w:r>
          </w:p>
        </w:tc>
        <w:tc>
          <w:tcPr>
            <w:tcW w:w="6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Impacto</w:t>
            </w:r>
          </w:p>
        </w:tc>
        <w:tc>
          <w:tcPr>
            <w:tcW w:w="51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Mitigación concreta</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API no disponible temporalmente</w:t>
            </w:r>
          </w:p>
        </w:tc>
        <w:tc>
          <w:tcPr>
            <w:tcW w:w="7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Media</w:t>
            </w:r>
          </w:p>
        </w:tc>
        <w:tc>
          <w:tcPr>
            <w:tcW w:w="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Alto</w:t>
            </w:r>
          </w:p>
        </w:tc>
        <w:tc>
          <w:tcPr>
            <w:tcW w:w="5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Retry con backoff exponencial (1–8 s, 5 reintentos); snapshots parciales en MongoDB</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Cambio de esquema en API proveedor</w:t>
            </w:r>
          </w:p>
        </w:tc>
        <w:tc>
          <w:tcPr>
            <w:tcW w:w="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Baja</w:t>
            </w:r>
          </w:p>
        </w:tc>
        <w:tc>
          <w:tcPr>
            <w:tcW w:w="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Alto</w:t>
            </w:r>
          </w:p>
        </w:tc>
        <w:tc>
          <w:tcPr>
            <w:tcW w:w="5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Validación Pydantic estricta; fuente se detiene sin afectar al resto (Pydantic, s. f.)</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Volumen excede capacidad del nodo</w:t>
            </w:r>
          </w:p>
        </w:tc>
        <w:tc>
          <w:tcPr>
            <w:tcW w:w="7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Baja</w:t>
            </w:r>
          </w:p>
        </w:tc>
        <w:tc>
          <w:tcPr>
            <w:tcW w:w="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Medio</w:t>
            </w:r>
          </w:p>
        </w:tc>
        <w:tc>
          <w:tcPr>
            <w:tcW w:w="5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Batch 10K + LOAD DATA / INSERT masivo; particionamiento por rango de fecha en MySQL</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Nulos masivos en variable CAMS</w:t>
            </w:r>
          </w:p>
        </w:tc>
        <w:tc>
          <w:tcPr>
            <w:tcW w:w="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Media</w:t>
            </w:r>
          </w:p>
        </w:tc>
        <w:tc>
          <w:tcPr>
            <w:tcW w:w="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Medio</w:t>
            </w:r>
          </w:p>
        </w:tc>
        <w:tc>
          <w:tcPr>
            <w:tcW w:w="5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Umbral: completitud &lt; 80% excluye la variable; log en MongoDB</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Inconsistencia de coordenadas</w:t>
            </w:r>
          </w:p>
        </w:tc>
        <w:tc>
          <w:tcPr>
            <w:tcW w:w="7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Baja</w:t>
            </w:r>
          </w:p>
        </w:tc>
        <w:tc>
          <w:tcPr>
            <w:tcW w:w="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Alto</w:t>
            </w:r>
          </w:p>
        </w:tc>
        <w:tc>
          <w:tcPr>
            <w:tcW w:w="5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FLOOR(coord/0,25)·0,25 determinista; validación de gaps</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Correcciones históricas no detectadas</w:t>
            </w:r>
          </w:p>
        </w:tc>
        <w:tc>
          <w:tcPr>
            <w:tcW w:w="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Media</w:t>
            </w:r>
          </w:p>
        </w:tc>
        <w:tc>
          <w:tcPr>
            <w:tcW w:w="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Alto</w:t>
            </w:r>
          </w:p>
        </w:tc>
        <w:tc>
          <w:tcPr>
            <w:tcW w:w="5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Verificación SHA-256 por lote; reprocesa rango afectado</w:t>
            </w:r>
          </w:p>
        </w:tc>
      </w:tr>
    </w:tbl>
    <w:p>
      <w:pPr>
        <w:pStyle w:val="Normal"/>
        <w:spacing w:before="0" w:after="240"/>
        <w:jc w:val="center"/>
        <w:rPr/>
      </w:pPr>
      <w:r>
        <w:rPr>
          <w:rFonts w:eastAsia="Arial" w:cs="Arial"/>
          <w:i/>
          <w:iCs/>
          <w:color w:val="555555"/>
          <w:sz w:val="20"/>
          <w:szCs w:val="20"/>
        </w:rPr>
        <w:t>Tabla 13. Riesgos técnicos y medidas de mitigación.</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13. Se inventarían los riesgos técnicos más probables —caídas de proveedores, cambios de esquema en fuentes, inconsistencias de grilla, crecimiento del volumen, errores humanos en ETL— y para cada uno se declara probabilidad, impacto y mitigación concreta. El objetivo es anticipar contingencias durante la fase final: cada riesgo ya tiene un mecanismo asociado (reintentos, snapshots, hash lote, particiones, tests de regresión) incorporado al diseño técnico.</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2. Marco conceptual</w:t>
      </w:r>
    </w:p>
    <w:p>
      <w:pPr>
        <w:pStyle w:val="Normal"/>
        <w:spacing w:lineRule="auto" w:line="360" w:before="0" w:after="120"/>
        <w:jc w:val="both"/>
        <w:rPr/>
      </w:pPr>
      <w:r>
        <w:rPr>
          <w:rFonts w:eastAsia="Arial" w:cs="Arial"/>
          <w:sz w:val="22"/>
          <w:szCs w:val="22"/>
        </w:rPr>
        <w:t>El concepto de ETL resulta central en este trabajo porque la solución depende de una secuencia ordenada de extracción, transformación y carga sobre fuentes con estructuras muy diferentes. Python se adopta como lenguaje de implementación del pipeline por su ecosistema maduro para manipulación de datos, validación y conexión con distintos motores de persistencia. En particular, la documentación de Pydantic describe modelos de validación que permiten verificar tipos, rangos y estructuras antes de insertar datos (Pydantic, s. f.), mientras que la documentación de Streamlit presenta el framework como una herramienta para construir aplicaciones de datos de forma rápida (Streamlit, s. f.-a, s. f.-b). Estas capacidades justifican su inclusión como tecnologías base del sistema propuesto.</w:t>
      </w:r>
    </w:p>
    <w:p>
      <w:pPr>
        <w:pStyle w:val="Normal"/>
        <w:spacing w:lineRule="auto" w:line="360" w:before="0" w:after="120"/>
        <w:jc w:val="both"/>
        <w:rPr/>
      </w:pPr>
      <w:r>
        <w:rPr>
          <w:rFonts w:eastAsia="Arial" w:cs="Arial"/>
          <w:sz w:val="22"/>
          <w:szCs w:val="22"/>
        </w:rPr>
        <w:t>El concepto de Data Warehouse también es fundamental. En este proyecto, el repositorio relacional no se define como una copia de las fuentes, sino como un modelo integrado de destino diseñado para histórico y consultas agregadas. La guía de EC2 establece explícitamente que el modelo relacional debe cumplir el rol de Data Warehouse, privilegiando el rendimiento de consulta y la preservación del histórico frente a una normalización ciega (Kimball &amp; Ross, 2013). Desde esa perspectiva, el diseño en MySQL se orienta a hechos y dimensiones conformadas, no a operaciones transaccionales.</w:t>
      </w:r>
    </w:p>
    <w:p>
      <w:pPr>
        <w:pStyle w:val="Normal"/>
        <w:spacing w:lineRule="auto" w:line="360" w:before="0" w:after="120"/>
        <w:jc w:val="both"/>
        <w:rPr/>
      </w:pPr>
      <w:r>
        <w:rPr>
          <w:rFonts w:eastAsia="Arial" w:cs="Arial"/>
          <w:sz w:val="22"/>
          <w:szCs w:val="22"/>
        </w:rPr>
        <w:t>En paralelo, el proyecto incorpora persistencia políglota (Kleppmann, 2017). La parte estructurada e intensiva en joins se asigna a MySQL, mientras que la parte documental y semiestructurada se asigna a MongoDB. La documentación oficial de MongoDB define la validación con JSON Schema como una forma legible de imponer reglas sobre campos y tipos (MongoDB, s. f.-b, s. f.-c), además de documentar replica sets y sharding como mecanismos de disponibilidad y escalado (MongoDB, s. f.-a, s. f.-d). Estas características justifican que logs, metadata de CDC, snapshots y reportes de calidad vivan en el motor documental, mientras que las preguntas analíticas y KPIs se resuelven sobre el modelo relacional.</w:t>
      </w:r>
    </w:p>
    <w:p>
      <w:pPr>
        <w:pStyle w:val="Normal"/>
        <w:spacing w:lineRule="auto" w:line="360" w:before="0" w:after="120"/>
        <w:jc w:val="both"/>
        <w:rPr/>
      </w:pPr>
      <w:r>
        <w:rPr>
          <w:rFonts w:eastAsia="Arial" w:cs="Arial"/>
          <w:sz w:val="22"/>
          <w:szCs w:val="22"/>
        </w:rPr>
        <w:t>El concepto de CDC ocupa un lugar metodológico clave en esta arquitectura. La propia guía de EC2 insiste en que el diseño del mecanismo de actualización incremental debe contemplar no solo inserción de registros nuevos, sino también modificaciones sobre datos existentes. En coherencia con esa exigencia, el proyecto plantea un CDC basado en ventana temporal retrospectiva y verificación de hash por lote, registrando metadatos en MongoDB para permitir auditoría y control incremental.</w:t>
      </w:r>
    </w:p>
    <w:p>
      <w:pPr>
        <w:pStyle w:val="Normal"/>
        <w:spacing w:lineRule="auto" w:line="360" w:before="0" w:after="120"/>
        <w:jc w:val="both"/>
        <w:rPr/>
      </w:pPr>
      <w:r>
        <w:rPr>
          <w:rFonts w:eastAsia="Arial" w:cs="Arial"/>
          <w:sz w:val="22"/>
          <w:szCs w:val="22"/>
        </w:rPr>
        <w:t>Finalmente, la calidad de datos se operacionaliza como una propiedad medible del sistema, con fórmulas explícitas de completitud, unicidad, consistencia y validez. Esta manera de tratar la calidad se apoya en la literatura clásica sobre Data Warehousing (Kimball &amp; Ross, 2013) y en el marco de buenas prácticas de ingeniería de datos intensiva en aplicaciones (Kleppmann, 2017).</w:t>
      </w:r>
    </w:p>
    <w:p>
      <w:pPr>
        <w:pStyle w:val="Heading2"/>
        <w:spacing w:lineRule="auto" w:line="360" w:before="320" w:after="160"/>
        <w:rPr/>
      </w:pPr>
      <w:r>
        <w:rPr>
          <w:rFonts w:eastAsia="Arial" w:cs="Arial" w:ascii="Arial" w:hAnsi="Arial"/>
          <w:b/>
          <w:bCs/>
          <w:color w:val="2E75B6"/>
          <w:sz w:val="26"/>
          <w:szCs w:val="26"/>
        </w:rPr>
        <w:t>2.1 Cuadro 1 — Principales artículos revisados</w:t>
      </w:r>
    </w:p>
    <w:p>
      <w:pPr>
        <w:pStyle w:val="Normal"/>
        <w:spacing w:lineRule="auto" w:line="360" w:before="0" w:after="120"/>
        <w:jc w:val="both"/>
        <w:rPr/>
      </w:pPr>
      <w:r>
        <w:rPr>
          <w:rFonts w:eastAsia="Arial" w:cs="Arial"/>
          <w:sz w:val="22"/>
          <w:szCs w:val="22"/>
        </w:rPr>
        <w:t>El Cuadro 1 sintetiza los artículos científicos y las referencias de documentación oficial que sustentan las decisiones del proyecto. Para cada entrada se indican las técnicas utilizadas por la fuente y su aporte específico a este trabajo.</w:t>
      </w:r>
    </w:p>
    <w:tbl>
      <w:tblPr>
        <w:tblW w:w="8788" w:type="dxa"/>
        <w:jc w:val="start"/>
        <w:tblInd w:w="0" w:type="dxa"/>
        <w:tblLayout w:type="fixed"/>
        <w:tblCellMar>
          <w:top w:w="60" w:type="dxa"/>
          <w:start w:w="100" w:type="dxa"/>
          <w:bottom w:w="60" w:type="dxa"/>
          <w:end w:w="100" w:type="dxa"/>
        </w:tblCellMar>
      </w:tblPr>
      <w:tblGrid>
        <w:gridCol w:w="1699"/>
        <w:gridCol w:w="2500"/>
        <w:gridCol w:w="4589"/>
      </w:tblGrid>
      <w:tr>
        <w:trPr/>
        <w:tc>
          <w:tcPr>
            <w:tcW w:w="16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Autor / Año</w:t>
            </w:r>
          </w:p>
        </w:tc>
        <w:tc>
          <w:tcPr>
            <w:tcW w:w="2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Técnicas / objeto</w:t>
            </w:r>
          </w:p>
        </w:tc>
        <w:tc>
          <w:tcPr>
            <w:tcW w:w="45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Aporte para el proyecto</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Jolly et al. (2015)</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Análisis estadístico de variables meteorológicas sobre reanálisis global</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Justifica la selección de variables meteorológicas y el marco temporal 2018-2025.</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Reid et al. (2016)</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Revisión sistemática de exposición al humo de incendios</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Respalda la inclusión de CAMS y el uso de PM2.5 como indicador primario.</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Giglio et al. (2016)</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Algoritmo de detección activa MODIS Collection 6</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Fundamenta brightness, FRP y confidence; justifica el filtro ≥ 50.</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van der Werf et al. (2017)</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Modelado de emisiones GFED4 con datos MODIS</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Cuantifica 0,9-1,5 Pg CO₂/año en SA; respalda AOD y CO del CAMS.</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Muñoz-Sabater et al. (2021)</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Producto de reanálisis ERA5-Land</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Justifica Open-Meteo/ERA5 y documenta el error ±1–2 °C.</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Kimball &amp; Ross (2013)</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Marco teórico del modelo dimensional</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Fundamenta el diseño en estrella del Data Warehouse.</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Kleppmann (2017)</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Persistencia políglota, CDC, consistencia</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Justifica la combinación MySQL + MongoDB y el uso de SHA-256.</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MySQL (s. f.-a, s. f.-b)</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Documentación oficial del motor y de la replicación</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Respalda la elección de MySQL como Data Warehouse y la continuidad de servicio.</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MongoDB (s. f.-a, s. f.-b, s. f.-c, s. f.-d)</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Documentación oficial: replicación, JSON Schema, sharding</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Respalda la validación documental y la escalabilidad de la capa de trazabilidad.</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Pydantic (s. f.)</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Documentación oficial de validación por modelos</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Respalda la validación tipada previa a la carga.</w:t>
            </w:r>
          </w:p>
        </w:tc>
      </w:tr>
      <w:tr>
        <w:trPr/>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Open-Meteo (s. f.)</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Documentación del histórico meteorológico</w:t>
            </w:r>
          </w:p>
        </w:tc>
        <w:tc>
          <w:tcPr>
            <w:tcW w:w="4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Respalda la resolución y el rango temporal de la ingesta.</w:t>
            </w:r>
          </w:p>
        </w:tc>
      </w:tr>
      <w:tr>
        <w:trPr/>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Streamlit (s. f.-a, s. f.-b)</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Documentación y conceptos básicos del framework</w:t>
            </w:r>
          </w:p>
        </w:tc>
        <w:tc>
          <w:tcPr>
            <w:tcW w:w="4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Respalda la capa de visualización prevista para la EF.</w:t>
            </w:r>
          </w:p>
        </w:tc>
      </w:tr>
    </w:tbl>
    <w:p>
      <w:pPr>
        <w:pStyle w:val="Normal"/>
        <w:spacing w:before="0" w:after="240"/>
        <w:jc w:val="center"/>
        <w:rPr/>
      </w:pPr>
      <w:r>
        <w:rPr>
          <w:rFonts w:eastAsia="Arial" w:cs="Arial"/>
          <w:i/>
          <w:iCs/>
          <w:color w:val="555555"/>
          <w:sz w:val="20"/>
          <w:szCs w:val="20"/>
        </w:rPr>
        <w:t>Cuadro 1. Principales artículos revisados y su aporte al proyecto.</w:t>
      </w:r>
    </w:p>
    <w:p>
      <w:pPr>
        <w:pStyle w:val="Normal"/>
        <w:spacing w:before="0" w:after="200"/>
        <w:jc w:val="center"/>
        <w:rPr/>
      </w:pPr>
      <w:r>
        <w:rPr>
          <w:rFonts w:eastAsia="Arial" w:cs="Arial"/>
          <w:i/>
          <w:iCs/>
          <w:color w:val="777777"/>
          <w:sz w:val="18"/>
          <w:szCs w:val="18"/>
        </w:rPr>
        <w:t>Fuente: Elaboración propia con base en Jolly et al. (2015), Reid et al. (2016), Giglio et al. (2016), Muñoz-Sabater et al. (2021), van der Werf et al. (2017), Kimball y Ross (2013), Kleppmann (2017) y documentación oficial de MySQL, MongoDB, Pydantic, Open-Meteo y Streamlit.</w:t>
      </w:r>
    </w:p>
    <w:p>
      <w:pPr>
        <w:pStyle w:val="Normal"/>
        <w:spacing w:lineRule="auto" w:line="360" w:before="0" w:after="120"/>
        <w:jc w:val="both"/>
        <w:rPr/>
      </w:pPr>
      <w:r>
        <w:rPr>
          <w:rFonts w:eastAsia="Arial" w:cs="Arial"/>
          <w:sz w:val="22"/>
          <w:szCs w:val="22"/>
        </w:rPr>
        <w:t>Interpretación del Cuadro 1. El cuadro sintetiza la literatura de referencia con la que se justifica cada decisión técnica del proyecto. Jolly et al. (2015) y van der Werf et al. (2017) sostienen la pertinencia del objeto de estudio; Reid et al. (2016) justifica la inclusión de calidad del aire; Giglio et al. (2016) y Muñoz-Sabater et al. (2021) documentan las fuentes satelitales; Kimball y Ross (2013) fundamenta el modelo dimensional y Kleppmann (2017) respalda la arquitectura políglota.</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3. Metodología</w:t>
      </w:r>
    </w:p>
    <w:p>
      <w:pPr>
        <w:pStyle w:val="Heading2"/>
        <w:spacing w:lineRule="auto" w:line="360" w:before="320" w:after="160"/>
        <w:rPr/>
      </w:pPr>
      <w:r>
        <w:rPr>
          <w:rFonts w:eastAsia="Arial" w:cs="Arial" w:ascii="Arial" w:hAnsi="Arial"/>
          <w:b/>
          <w:bCs/>
          <w:color w:val="2E75B6"/>
          <w:sz w:val="26"/>
          <w:szCs w:val="26"/>
        </w:rPr>
        <w:t>3.1 Tipo de investigación</w:t>
      </w:r>
    </w:p>
    <w:p>
      <w:pPr>
        <w:pStyle w:val="Normal"/>
        <w:spacing w:lineRule="auto" w:line="360" w:before="0" w:after="120"/>
        <w:jc w:val="both"/>
        <w:rPr/>
      </w:pPr>
      <w:r>
        <w:rPr>
          <w:rFonts w:eastAsia="Arial" w:cs="Arial"/>
          <w:sz w:val="22"/>
          <w:szCs w:val="22"/>
        </w:rPr>
        <w:t>El proyecto se desarrolla bajo un enfoque de ingeniería aplicada e incremental. La primera etapa se orienta al análisis del dominio, el problema, las fuentes, la exploración preliminar, la calidad y la arquitectura inicial. La segunda etapa se centra en el diseño del modelo integrado de destino, el mapeo fuente-destino, la resolución de conflictos de integración, el modelo relacional, el modelo NoSQL, la arquitectura detallada, el ETL y las métricas. Esta secuencia está explícitamente establecida por la consigna y por la tabla de mapeo del trabajo final.</w:t>
      </w:r>
    </w:p>
    <w:p>
      <w:pPr>
        <w:pStyle w:val="Heading2"/>
        <w:spacing w:lineRule="auto" w:line="360" w:before="320" w:after="160"/>
        <w:rPr/>
      </w:pPr>
      <w:r>
        <w:rPr>
          <w:rFonts w:eastAsia="Arial" w:cs="Arial" w:ascii="Arial" w:hAnsi="Arial"/>
          <w:b/>
          <w:bCs/>
          <w:color w:val="2E75B6"/>
          <w:sz w:val="26"/>
          <w:szCs w:val="26"/>
        </w:rPr>
        <w:t>3.2 Contexto del proyecto</w:t>
      </w:r>
    </w:p>
    <w:p>
      <w:pPr>
        <w:pStyle w:val="Normal"/>
        <w:spacing w:lineRule="auto" w:line="360" w:before="0" w:after="120"/>
        <w:jc w:val="both"/>
        <w:rPr/>
      </w:pPr>
      <w:r>
        <w:rPr>
          <w:rFonts w:eastAsia="Arial" w:cs="Arial"/>
          <w:sz w:val="22"/>
          <w:szCs w:val="22"/>
        </w:rPr>
        <w:t>La arquitectura propuesta incluye fuentes externas, ingesta en Python, staging, transformación, persistencia relacional en MySQL, persistencia documental en MongoDB y futura visualización en Streamlit. Técnicamente, Open-Meteo documenta acceso histórico mediante API (Open-Meteo, s. f.); MySQL documenta replicación relacional para continuidad del servicio (MySQL, s. f.-b); y MongoDB documenta validación de esquemas, replica sets y sharding (MongoDB, s. f.-a, s. f.-b, s. f.-d). Sobre esa base, la viabilidad técnica del sistema resulta razonable para el volumen y la complejidad del proyecto.</w:t>
      </w:r>
    </w:p>
    <w:p>
      <w:pPr>
        <w:pStyle w:val="Heading2"/>
        <w:spacing w:lineRule="auto" w:line="360" w:before="320" w:after="160"/>
        <w:rPr/>
      </w:pPr>
      <w:r>
        <w:rPr>
          <w:rFonts w:eastAsia="Arial" w:cs="Arial" w:ascii="Arial" w:hAnsi="Arial"/>
          <w:b/>
          <w:bCs/>
          <w:color w:val="2E75B6"/>
          <w:sz w:val="26"/>
          <w:szCs w:val="26"/>
        </w:rPr>
        <w:t>3.3 Instrumentos de recolección de datos</w:t>
      </w:r>
    </w:p>
    <w:p>
      <w:pPr>
        <w:pStyle w:val="Normal"/>
        <w:spacing w:lineRule="auto" w:line="360" w:before="0" w:after="120"/>
        <w:jc w:val="both"/>
        <w:rPr/>
      </w:pPr>
      <w:r>
        <w:rPr>
          <w:rFonts w:eastAsia="Arial" w:cs="Arial"/>
          <w:sz w:val="22"/>
          <w:szCs w:val="22"/>
        </w:rPr>
        <w:t>Las fuentes utilizadas incluyen APIs REST, descargas reproducibles de archivos geoespaciales y servicios abiertos de datos históricos. Para cada una se releva nombre, enlace oficial, tipo de acceso, formato, frecuencia, volumen, granularidad, variables relevantes y limitaciones técnicas. Estas dimensiones de caracterización permiten justificar tanto la selección de fuentes como el diseño de los pipelines de ingesta. Las Tablas 1, 2 y 3 consolidan, respectivamente, los actores del sistema, las variables relevantes por dimensión analítica y la granularidad temporal y espacial por fuente.</w:t>
      </w:r>
    </w:p>
    <w:tbl>
      <w:tblPr>
        <w:tblW w:w="8788" w:type="dxa"/>
        <w:jc w:val="start"/>
        <w:tblInd w:w="0" w:type="dxa"/>
        <w:tblLayout w:type="fixed"/>
        <w:tblCellMar>
          <w:top w:w="60" w:type="dxa"/>
          <w:start w:w="100" w:type="dxa"/>
          <w:bottom w:w="60" w:type="dxa"/>
          <w:end w:w="100" w:type="dxa"/>
        </w:tblCellMar>
      </w:tblPr>
      <w:tblGrid>
        <w:gridCol w:w="2000"/>
        <w:gridCol w:w="1100"/>
        <w:gridCol w:w="2800"/>
        <w:gridCol w:w="2888"/>
      </w:tblGrid>
      <w:tr>
        <w:trPr/>
        <w:tc>
          <w:tcPr>
            <w:tcW w:w="20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Actor</w:t>
            </w:r>
          </w:p>
        </w:tc>
        <w:tc>
          <w:tcPr>
            <w:tcW w:w="11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Tipo</w:t>
            </w:r>
          </w:p>
        </w:tc>
        <w:tc>
          <w:tcPr>
            <w:tcW w:w="28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Rol en el sistema</w:t>
            </w:r>
          </w:p>
        </w:tc>
        <w:tc>
          <w:tcPr>
            <w:tcW w:w="28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Relación con otros actores</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NASA FIRMS</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Proveedor</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Detecciones de focos de calor vía MODIS/VIIRS</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Alimenta el ETL; se cruza con Open-Meteo y CAMS en grilla 0,25°</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Open-Meteo / ERA5-Land</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Proveedor</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Variables meteorológicas históricas vía API</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Contextualiza focos FIRMS; cruce temporal diario</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 / Copernicus</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Proveedor</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Calidad del aire (PM2.5, PM10, AOD) vía API</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Cuantifica impacto atmosférico de incendios</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CHIRPS (UCSB)</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Proveedor</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Precipitación mensual (raster satelital + estaciones)</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Establece contexto hídrico de susceptibilidad</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MODIS Land Cover / AppEEARS</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Proveedor</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Clasificación anual de cobertura (IGBP)</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Analiza cobertura afectada por incendios</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Equipo de desarrollo</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Procesador</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Opera pipeline ETL, DW (MySQL) y document store (MongoDB)</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Consume las cinco fuentes; integra en modelo dimensional</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Investigadores y analistas</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Consumidor</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Formulan preguntas, interpretan KPIs, visualizan</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Consumen productos del DW vía Streamlit</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Organismos ambientales</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Consumidor</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Usuarios institucionales de indicadores</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Integrarían KPIs en sistemas de alerta</w:t>
            </w:r>
          </w:p>
        </w:tc>
      </w:tr>
    </w:tbl>
    <w:p>
      <w:pPr>
        <w:pStyle w:val="Normal"/>
        <w:spacing w:before="0" w:after="240"/>
        <w:jc w:val="center"/>
        <w:rPr/>
      </w:pPr>
      <w:r>
        <w:rPr>
          <w:rFonts w:eastAsia="Arial" w:cs="Arial"/>
          <w:i/>
          <w:iCs/>
          <w:color w:val="555555"/>
          <w:sz w:val="20"/>
          <w:szCs w:val="20"/>
        </w:rPr>
        <w:t>Tabla 1. Actores del sistema y sus relaciones.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 La tabla detalla, para cada actor, su tipo (externo, interno, humano, automatizado), su rol en el sistema y la relación con los demás. Esta operativización permite definir permisos de acceso al Data Warehouse, responsabilidades sobre la calidad del dato y acuerdos de nivel de servicio cuando corresponda.</w:t>
      </w:r>
    </w:p>
    <w:tbl>
      <w:tblPr>
        <w:tblW w:w="8788" w:type="dxa"/>
        <w:jc w:val="start"/>
        <w:tblInd w:w="0" w:type="dxa"/>
        <w:tblLayout w:type="fixed"/>
        <w:tblCellMar>
          <w:top w:w="60" w:type="dxa"/>
          <w:start w:w="100" w:type="dxa"/>
          <w:bottom w:w="60" w:type="dxa"/>
          <w:end w:w="100" w:type="dxa"/>
        </w:tblCellMar>
      </w:tblPr>
      <w:tblGrid>
        <w:gridCol w:w="1500"/>
        <w:gridCol w:w="1699"/>
        <w:gridCol w:w="801"/>
        <w:gridCol w:w="1099"/>
        <w:gridCol w:w="3689"/>
      </w:tblGrid>
      <w:tr>
        <w:trPr/>
        <w:tc>
          <w:tcPr>
            <w:tcW w:w="1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Dimensión</w:t>
            </w:r>
          </w:p>
        </w:tc>
        <w:tc>
          <w:tcPr>
            <w:tcW w:w="16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Variable clave</w:t>
            </w:r>
          </w:p>
        </w:tc>
        <w:tc>
          <w:tcPr>
            <w:tcW w:w="8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Unidad</w:t>
            </w:r>
          </w:p>
        </w:tc>
        <w:tc>
          <w:tcPr>
            <w:tcW w:w="10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Fuente</w:t>
            </w:r>
          </w:p>
        </w:tc>
        <w:tc>
          <w:tcPr>
            <w:tcW w:w="36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Relevancia analítica</w:t>
            </w:r>
          </w:p>
        </w:tc>
      </w:tr>
      <w:tr>
        <w:trPr/>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Incendios</w:t>
            </w:r>
          </w:p>
        </w:tc>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brightness (temp. brillo)</w:t>
            </w:r>
          </w:p>
        </w:tc>
        <w:tc>
          <w:tcPr>
            <w:tcW w:w="8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w:t>
            </w:r>
          </w:p>
        </w:tc>
        <w:tc>
          <w:tcPr>
            <w:tcW w:w="10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3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Proxy de intensidad; &gt;400 K = alta severidad (Giglio et al., 2016)</w:t>
            </w:r>
          </w:p>
        </w:tc>
      </w:tr>
      <w:tr>
        <w:trPr/>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Incendios</w:t>
            </w:r>
          </w:p>
        </w:tc>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frp (Fire Radiative Power)</w:t>
            </w:r>
          </w:p>
        </w:tc>
        <w:tc>
          <w:tcPr>
            <w:tcW w:w="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MW</w:t>
            </w:r>
          </w:p>
        </w:tc>
        <w:tc>
          <w:tcPr>
            <w:tcW w:w="10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FIRMS</w:t>
            </w:r>
          </w:p>
        </w:tc>
        <w:tc>
          <w:tcPr>
            <w:tcW w:w="3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Correlacionada con biomasa consumida (r² ≈ 0,85) (Giglio et al., 2016)</w:t>
            </w:r>
          </w:p>
        </w:tc>
      </w:tr>
      <w:tr>
        <w:trPr/>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Incendios</w:t>
            </w:r>
          </w:p>
        </w:tc>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confidence</w:t>
            </w:r>
          </w:p>
        </w:tc>
        <w:tc>
          <w:tcPr>
            <w:tcW w:w="8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 (0–100)</w:t>
            </w:r>
          </w:p>
        </w:tc>
        <w:tc>
          <w:tcPr>
            <w:tcW w:w="10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3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Filtro de calidad; ~15% VIIRS &lt; 50% (Giglio et al., 2016)</w:t>
            </w:r>
          </w:p>
        </w:tc>
      </w:tr>
      <w:tr>
        <w:trPr/>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Meteorología</w:t>
            </w:r>
          </w:p>
        </w:tc>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temperature_2m</w:t>
            </w:r>
          </w:p>
        </w:tc>
        <w:tc>
          <w:tcPr>
            <w:tcW w:w="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w:t>
            </w:r>
          </w:p>
        </w:tc>
        <w:tc>
          <w:tcPr>
            <w:tcW w:w="10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Open-Meteo</w:t>
            </w:r>
          </w:p>
        </w:tc>
        <w:tc>
          <w:tcPr>
            <w:tcW w:w="3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T&gt;35°C: +40% frecuencia ignición en Cerrado</w:t>
            </w:r>
          </w:p>
        </w:tc>
      </w:tr>
      <w:tr>
        <w:trPr/>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Meteorología</w:t>
            </w:r>
          </w:p>
        </w:tc>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relative_humidity_2m</w:t>
            </w:r>
          </w:p>
        </w:tc>
        <w:tc>
          <w:tcPr>
            <w:tcW w:w="8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w:t>
            </w:r>
          </w:p>
        </w:tc>
        <w:tc>
          <w:tcPr>
            <w:tcW w:w="10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Open-Meteo</w:t>
            </w:r>
          </w:p>
        </w:tc>
        <w:tc>
          <w:tcPr>
            <w:tcW w:w="3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Humedad &lt;30% = umbral crítico</w:t>
            </w:r>
          </w:p>
        </w:tc>
      </w:tr>
      <w:tr>
        <w:trPr/>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Calidad del aire</w:t>
            </w:r>
          </w:p>
        </w:tc>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pm2_5</w:t>
            </w:r>
          </w:p>
        </w:tc>
        <w:tc>
          <w:tcPr>
            <w:tcW w:w="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μg/m³</w:t>
            </w:r>
          </w:p>
        </w:tc>
        <w:tc>
          <w:tcPr>
            <w:tcW w:w="10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CAMS</w:t>
            </w:r>
          </w:p>
        </w:tc>
        <w:tc>
          <w:tcPr>
            <w:tcW w:w="3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Quemas elevan a &gt;150 μg/m³ (Reid et al., 2016)</w:t>
            </w:r>
          </w:p>
        </w:tc>
      </w:tr>
      <w:tr>
        <w:trPr/>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Calidad del aire</w:t>
            </w:r>
          </w:p>
        </w:tc>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aerosol_optical_depth</w:t>
            </w:r>
          </w:p>
        </w:tc>
        <w:tc>
          <w:tcPr>
            <w:tcW w:w="8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adim.</w:t>
            </w:r>
          </w:p>
        </w:tc>
        <w:tc>
          <w:tcPr>
            <w:tcW w:w="10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w:t>
            </w:r>
          </w:p>
        </w:tc>
        <w:tc>
          <w:tcPr>
            <w:tcW w:w="3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AOD &gt;1,0 = columna densa por humo (van der Werf et al., 2017)</w:t>
            </w:r>
          </w:p>
        </w:tc>
      </w:tr>
      <w:tr>
        <w:trPr/>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Precipitación</w:t>
            </w:r>
          </w:p>
        </w:tc>
        <w:tc>
          <w:tcPr>
            <w:tcW w:w="1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precipitation</w:t>
            </w:r>
          </w:p>
        </w:tc>
        <w:tc>
          <w:tcPr>
            <w:tcW w:w="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mm/mes</w:t>
            </w:r>
          </w:p>
        </w:tc>
        <w:tc>
          <w:tcPr>
            <w:tcW w:w="10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CHIRPS</w:t>
            </w:r>
          </w:p>
        </w:tc>
        <w:tc>
          <w:tcPr>
            <w:tcW w:w="3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Déficit (&lt;P20) precede quemas</w:t>
            </w:r>
          </w:p>
        </w:tc>
      </w:tr>
      <w:tr>
        <w:trPr/>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Cobertura</w:t>
            </w:r>
          </w:p>
        </w:tc>
        <w:tc>
          <w:tcPr>
            <w:tcW w:w="16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land_cover_class</w:t>
            </w:r>
          </w:p>
        </w:tc>
        <w:tc>
          <w:tcPr>
            <w:tcW w:w="8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Clase IGBP</w:t>
            </w:r>
          </w:p>
        </w:tc>
        <w:tc>
          <w:tcPr>
            <w:tcW w:w="10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MODIS</w:t>
            </w:r>
          </w:p>
        </w:tc>
        <w:tc>
          <w:tcPr>
            <w:tcW w:w="3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Bosque tropical: 45% focos / 30% área</w:t>
            </w:r>
          </w:p>
        </w:tc>
      </w:tr>
    </w:tbl>
    <w:p>
      <w:pPr>
        <w:pStyle w:val="Normal"/>
        <w:spacing w:before="0" w:after="240"/>
        <w:jc w:val="center"/>
        <w:rPr/>
      </w:pPr>
      <w:r>
        <w:rPr>
          <w:rFonts w:eastAsia="Arial" w:cs="Arial"/>
          <w:i/>
          <w:iCs/>
          <w:color w:val="555555"/>
          <w:sz w:val="20"/>
          <w:szCs w:val="20"/>
        </w:rPr>
        <w:t>Tabla 2. Variables relevantes por dimensión analítica.</w:t>
      </w:r>
    </w:p>
    <w:p>
      <w:pPr>
        <w:pStyle w:val="Normal"/>
        <w:spacing w:before="0" w:after="200"/>
        <w:jc w:val="center"/>
        <w:rPr/>
      </w:pPr>
      <w:r>
        <w:rPr>
          <w:rFonts w:eastAsia="Arial" w:cs="Arial"/>
          <w:i/>
          <w:iCs/>
          <w:color w:val="777777"/>
          <w:sz w:val="18"/>
          <w:szCs w:val="18"/>
        </w:rPr>
        <w:t>Fuente: Elaboración propia con base en Giglio et al. (2016), Reid et al. (2016), van der Werf et al. (2017), Muñoz-Sabater et al. (2021) y documentación oficial de Open-Meteo (s. f.).</w:t>
      </w:r>
    </w:p>
    <w:p>
      <w:pPr>
        <w:pStyle w:val="Normal"/>
        <w:spacing w:lineRule="auto" w:line="360" w:before="0" w:after="120"/>
        <w:jc w:val="both"/>
        <w:rPr/>
      </w:pPr>
      <w:r>
        <w:rPr>
          <w:rFonts w:eastAsia="Arial" w:cs="Arial"/>
          <w:sz w:val="22"/>
          <w:szCs w:val="22"/>
        </w:rPr>
        <w:t>Interpretación de la Tabla 2. Cada variable se asocia explícitamente a una dimensión analítica (incendios, meteorología, calidad del aire, precipitación, cobertura), a una unidad, a una fuente y a su relevancia para las preguntas del proyecto. Esto garantiza que el modelo físico posterior tenga correspondencia semántica con el dominio y que toda métrica derivada sea rastreable hasta una variable primaria.</w:t>
      </w:r>
    </w:p>
    <w:tbl>
      <w:tblPr>
        <w:tblW w:w="8788" w:type="dxa"/>
        <w:jc w:val="start"/>
        <w:tblInd w:w="0" w:type="dxa"/>
        <w:tblLayout w:type="fixed"/>
        <w:tblCellMar>
          <w:top w:w="60" w:type="dxa"/>
          <w:start w:w="100" w:type="dxa"/>
          <w:bottom w:w="60" w:type="dxa"/>
          <w:end w:w="100" w:type="dxa"/>
        </w:tblCellMar>
      </w:tblPr>
      <w:tblGrid>
        <w:gridCol w:w="1600"/>
        <w:gridCol w:w="1500"/>
        <w:gridCol w:w="1700"/>
        <w:gridCol w:w="1799"/>
        <w:gridCol w:w="2189"/>
      </w:tblGrid>
      <w:tr>
        <w:trPr/>
        <w:tc>
          <w:tcPr>
            <w:tcW w:w="16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Fuente</w:t>
            </w:r>
          </w:p>
        </w:tc>
        <w:tc>
          <w:tcPr>
            <w:tcW w:w="1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Granularidad temporal</w:t>
            </w:r>
          </w:p>
        </w:tc>
        <w:tc>
          <w:tcPr>
            <w:tcW w:w="17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Granularidad espacial</w:t>
            </w:r>
          </w:p>
        </w:tc>
        <w:tc>
          <w:tcPr>
            <w:tcW w:w="17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Formato de acceso</w:t>
            </w:r>
          </w:p>
        </w:tc>
        <w:tc>
          <w:tcPr>
            <w:tcW w:w="21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Volumen estimado 2018-2025</w:t>
            </w:r>
          </w:p>
        </w:tc>
      </w:tr>
      <w:tr>
        <w:trPr/>
        <w:tc>
          <w:tcPr>
            <w:tcW w:w="1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NASA FIRMS</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Por evento / diaria</w:t>
            </w:r>
          </w:p>
        </w:tc>
        <w:tc>
          <w:tcPr>
            <w:tcW w:w="17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375 m (VIIRS) / 1 km (MODIS)</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API REST (CSV/JSON)</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~17,5 M detecciones</w:t>
            </w:r>
          </w:p>
        </w:tc>
      </w:tr>
      <w:tr>
        <w:trPr/>
        <w:tc>
          <w:tcPr>
            <w:tcW w:w="1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Open-Meteo / ERA5-Land</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Horaria → diaria</w:t>
            </w:r>
          </w:p>
        </w:tc>
        <w:tc>
          <w:tcPr>
            <w:tcW w:w="17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0,25°</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API REST (JSON)</w:t>
            </w:r>
          </w:p>
        </w:tc>
        <w:tc>
          <w:tcPr>
            <w:tcW w:w="2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~16,6 M puntos grilla</w:t>
            </w:r>
          </w:p>
        </w:tc>
      </w:tr>
      <w:tr>
        <w:trPr/>
        <w:tc>
          <w:tcPr>
            <w:tcW w:w="1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 / Copernicus</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Horaria → diaria</w:t>
            </w:r>
          </w:p>
        </w:tc>
        <w:tc>
          <w:tcPr>
            <w:tcW w:w="17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0,25° a 0,4°</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API REST (JSON)</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~16,6 M puntos grilla</w:t>
            </w:r>
          </w:p>
        </w:tc>
      </w:tr>
      <w:tr>
        <w:trPr/>
        <w:tc>
          <w:tcPr>
            <w:tcW w:w="1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CHIRPS</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Mensual</w:t>
            </w:r>
          </w:p>
        </w:tc>
        <w:tc>
          <w:tcPr>
            <w:tcW w:w="17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0,05° (~5,5 km)</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HTTP (GeoTIFF)</w:t>
            </w:r>
          </w:p>
        </w:tc>
        <w:tc>
          <w:tcPr>
            <w:tcW w:w="21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~336 K pixeles SA</w:t>
            </w:r>
          </w:p>
        </w:tc>
      </w:tr>
      <w:tr>
        <w:trPr/>
        <w:tc>
          <w:tcPr>
            <w:tcW w:w="1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MODIS Land Cover / AppEEARS</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Anual</w:t>
            </w:r>
          </w:p>
        </w:tc>
        <w:tc>
          <w:tcPr>
            <w:tcW w:w="17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500 m → 0,25° (moda)</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API REST + GeoTIFF</w:t>
            </w:r>
          </w:p>
        </w:tc>
        <w:tc>
          <w:tcPr>
            <w:tcW w:w="21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~28 K celdas-año</w:t>
            </w:r>
          </w:p>
        </w:tc>
      </w:tr>
    </w:tbl>
    <w:p>
      <w:pPr>
        <w:pStyle w:val="Normal"/>
        <w:spacing w:before="0" w:after="240"/>
        <w:jc w:val="center"/>
        <w:rPr/>
      </w:pPr>
      <w:r>
        <w:rPr>
          <w:rFonts w:eastAsia="Arial" w:cs="Arial"/>
          <w:i/>
          <w:iCs/>
          <w:color w:val="555555"/>
          <w:sz w:val="20"/>
          <w:szCs w:val="20"/>
        </w:rPr>
        <w:t>Tabla 3. Granularidad temporal y espacial por fuente.</w:t>
      </w:r>
    </w:p>
    <w:p>
      <w:pPr>
        <w:pStyle w:val="Normal"/>
        <w:spacing w:before="0" w:after="200"/>
        <w:jc w:val="center"/>
        <w:rPr/>
      </w:pPr>
      <w:r>
        <w:rPr>
          <w:rFonts w:eastAsia="Arial" w:cs="Arial"/>
          <w:i/>
          <w:iCs/>
          <w:color w:val="777777"/>
          <w:sz w:val="18"/>
          <w:szCs w:val="18"/>
        </w:rPr>
        <w:t>Fuente: Elaboración propia con base en documentación oficial de FIRMS, Open-Meteo (s. f.), CAMS, CHIRPS y AppEEARS.</w:t>
      </w:r>
    </w:p>
    <w:p>
      <w:pPr>
        <w:pStyle w:val="Normal"/>
        <w:spacing w:lineRule="auto" w:line="360" w:before="0" w:after="120"/>
        <w:jc w:val="both"/>
        <w:rPr/>
      </w:pPr>
      <w:r>
        <w:rPr>
          <w:rFonts w:eastAsia="Arial" w:cs="Arial"/>
          <w:sz w:val="22"/>
          <w:szCs w:val="22"/>
        </w:rPr>
        <w:t>Interpretación de la Tabla 3. Se contrastan las granularidades nativas de cada fuente frente a la granularidad analítica adoptada (celda de 0,25° × día o mes según el caso). Las diferencias más marcadas —por ejemplo, FIRMS con granularidad evento-instante frente a CHIRPS con cuadrícula 0,05° mensual— son las que justifican la existencia de una etapa formal de armonización en el ETL y la adopción de una grilla común.</w:t>
      </w:r>
    </w:p>
    <w:p>
      <w:pPr>
        <w:pStyle w:val="Heading2"/>
        <w:spacing w:lineRule="auto" w:line="360" w:before="320" w:after="160"/>
        <w:rPr/>
      </w:pPr>
      <w:r>
        <w:rPr>
          <w:rFonts w:eastAsia="Arial" w:cs="Arial" w:ascii="Arial" w:hAnsi="Arial"/>
          <w:b/>
          <w:bCs/>
          <w:color w:val="2E75B6"/>
          <w:sz w:val="26"/>
          <w:szCs w:val="26"/>
        </w:rPr>
        <w:t>3.4 Procedimientos de análisis de datos</w:t>
      </w:r>
    </w:p>
    <w:p>
      <w:pPr>
        <w:pStyle w:val="Normal"/>
        <w:spacing w:lineRule="auto" w:line="360" w:before="0" w:after="120"/>
        <w:jc w:val="both"/>
        <w:rPr/>
      </w:pPr>
      <w:r>
        <w:rPr>
          <w:rFonts w:eastAsia="Arial" w:cs="Arial"/>
          <w:sz w:val="22"/>
          <w:szCs w:val="22"/>
        </w:rPr>
        <w:t>El análisis del proyecto se organiza en etapas: extracción desde APIs y archivos, validación inicial, transformación temporal y espacial, control de calidad, carga en MySQL, carga documental en MongoDB y diseño de consultas analíticas y KPIs. Durante EC1 se realizó exploración preliminar real, incluyendo acceso efectivo a las fuentes, muestras, estructura de datos, nulos y problemas de integración. Durante EC2 se diseñó la solución de destino completa. El detalle campo-a-campo, el mapeo fuente-destino y el tratamiento de conflictos se presentan en la Sección 4.2.</w:t>
      </w:r>
    </w:p>
    <w:p>
      <w:pPr>
        <w:pStyle w:val="Heading2"/>
        <w:spacing w:lineRule="auto" w:line="360" w:before="320" w:after="160"/>
        <w:rPr/>
      </w:pPr>
      <w:r>
        <w:rPr>
          <w:rFonts w:eastAsia="Arial" w:cs="Arial" w:ascii="Arial" w:hAnsi="Arial"/>
          <w:b/>
          <w:bCs/>
          <w:color w:val="2E75B6"/>
          <w:sz w:val="26"/>
          <w:szCs w:val="26"/>
        </w:rPr>
        <w:t>3.5 Aspectos éticos</w:t>
      </w:r>
    </w:p>
    <w:p>
      <w:pPr>
        <w:pStyle w:val="Normal"/>
        <w:spacing w:lineRule="auto" w:line="360" w:before="0" w:after="120"/>
        <w:jc w:val="both"/>
        <w:rPr/>
      </w:pPr>
      <w:r>
        <w:rPr>
          <w:rFonts w:eastAsia="Arial" w:cs="Arial"/>
          <w:sz w:val="22"/>
          <w:szCs w:val="22"/>
        </w:rPr>
        <w:t>El proyecto se construye sobre datos abiertos y no sensibles. Sin embargo, eso no elimina la necesidad de documentar sesgos, vacíos y límites estructurales del dato. La metodología, por tanto, incorpora métricas de calidad y registro explícito de acciones correctivas, evitando presentar los resultados futuros como neutrales o completos por definición. Esta exigencia también aparece en el enfoque del curso, que valora la calidad y consistencia del dato como objetivo central de la ingeniería de datos. En la fase final se ampliará esta sección con la política de retención y redistribución de los datos derivados y con el manejo de las condiciones de uso declaradas por cada proveedor.</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4. Resultados — Diseño técnico del sistema integrado</w:t>
      </w:r>
    </w:p>
    <w:p>
      <w:pPr>
        <w:pStyle w:val="Heading2"/>
        <w:spacing w:lineRule="auto" w:line="360" w:before="320" w:after="160"/>
        <w:rPr/>
      </w:pPr>
      <w:r>
        <w:rPr>
          <w:rFonts w:eastAsia="Arial" w:cs="Arial" w:ascii="Arial" w:hAnsi="Arial"/>
          <w:b/>
          <w:bCs/>
          <w:color w:val="2E75B6"/>
          <w:sz w:val="26"/>
          <w:szCs w:val="26"/>
        </w:rPr>
        <w:t>4.1 Análisis detallado de fuentes y campos</w:t>
      </w:r>
    </w:p>
    <w:p>
      <w:pPr>
        <w:pStyle w:val="Normal"/>
        <w:spacing w:lineRule="auto" w:line="360" w:before="0" w:after="120"/>
        <w:jc w:val="both"/>
        <w:rPr/>
      </w:pPr>
      <w:r>
        <w:rPr>
          <w:rFonts w:eastAsia="Arial" w:cs="Arial"/>
          <w:sz w:val="22"/>
          <w:szCs w:val="22"/>
        </w:rPr>
        <w:t>NASA FIRMS constituye la fuente principal para incendios activos. Giglio et al. (2016) describen el algoritmo de detección MODIS Collection 6 y documentan mejoras en la detección y reducción de falsas alarmas. En términos analíticos, esto respalda el uso de variables como brightness, frp y confidence en el proyecto.</w:t>
      </w:r>
    </w:p>
    <w:p>
      <w:pPr>
        <w:pStyle w:val="Normal"/>
        <w:spacing w:lineRule="auto" w:line="360" w:before="0" w:after="120"/>
        <w:jc w:val="both"/>
        <w:rPr/>
      </w:pPr>
      <w:r>
        <w:rPr>
          <w:rFonts w:eastAsia="Arial" w:cs="Arial"/>
          <w:sz w:val="22"/>
          <w:szCs w:val="22"/>
        </w:rPr>
        <w:t>Open-Meteo / ERA5-Land se incorpora como fuente meteorológica histórica. De acuerdo con la documentación oficial, el servicio histórico de Open-Meteo permite acceder a variables horarias como temperatura a 2 metros, humedad relativa, precipitación y presión (Open-Meteo, s. f.), mientras que Muñoz-Sabater et al. (2021) caracterizan ERA5-Land como un producto consistente para aplicaciones sobre superficie terrestre.</w:t>
      </w:r>
    </w:p>
    <w:p>
      <w:pPr>
        <w:pStyle w:val="Normal"/>
        <w:spacing w:lineRule="auto" w:line="360" w:before="0" w:after="120"/>
        <w:jc w:val="both"/>
        <w:rPr/>
      </w:pPr>
      <w:r>
        <w:rPr>
          <w:rFonts w:eastAsia="Arial" w:cs="Arial"/>
          <w:sz w:val="22"/>
          <w:szCs w:val="22"/>
        </w:rPr>
        <w:t>CAMS / Copernicus se incorpora para cubrir la dimensión de calidad del aire. Su valor analítico no radica solo en proveer PM2.5 y PM10, sino también en permitir aproximar el impacto del humo de incendios sobre la atmósfera. En esta línea, Reid et al. (2016) destacan el papel del PM2.5 como uno de los indicadores más relevantes en la literatura sobre humo de incendios.</w:t>
      </w:r>
    </w:p>
    <w:p>
      <w:pPr>
        <w:pStyle w:val="Normal"/>
        <w:spacing w:lineRule="auto" w:line="360" w:before="0" w:after="120"/>
        <w:jc w:val="both"/>
        <w:rPr/>
      </w:pPr>
      <w:r>
        <w:rPr>
          <w:rFonts w:eastAsia="Arial" w:cs="Arial"/>
          <w:sz w:val="22"/>
          <w:szCs w:val="22"/>
        </w:rPr>
        <w:t>CHIRPS aporta precipitación histórica con resolución espacial fina y cobertura prolongada, mientras que MODIS Land Cover, a través de AppEEARS, se utiliza para estudiar la relación entre incendios y cobertura vegetal. Ambas fuentes son necesarias para contextualizar los incendios dentro de un sistema ambiental más amplio.</w:t>
      </w:r>
    </w:p>
    <w:p>
      <w:pPr>
        <w:pStyle w:val="Normal"/>
        <w:spacing w:lineRule="auto" w:line="360" w:before="0" w:after="120"/>
        <w:jc w:val="both"/>
        <w:rPr/>
      </w:pPr>
      <w:r>
        <w:rPr>
          <w:rFonts w:eastAsia="Arial" w:cs="Arial"/>
          <w:b/>
          <w:bCs/>
          <w:sz w:val="22"/>
          <w:szCs w:val="22"/>
        </w:rPr>
        <w:t xml:space="preserve">Tabla 4. </w:t>
      </w:r>
      <w:r>
        <w:rPr>
          <w:rFonts w:eastAsia="Arial" w:cs="Arial"/>
          <w:sz w:val="22"/>
          <w:szCs w:val="22"/>
        </w:rPr>
        <w:t>Ficha técnica de NASA FIRMS.</w:t>
      </w:r>
    </w:p>
    <w:tbl>
      <w:tblPr>
        <w:tblW w:w="8788" w:type="dxa"/>
        <w:jc w:val="start"/>
        <w:tblInd w:w="0" w:type="dxa"/>
        <w:tblLayout w:type="fixed"/>
        <w:tblCellMar>
          <w:top w:w="60" w:type="dxa"/>
          <w:start w:w="100" w:type="dxa"/>
          <w:bottom w:w="60" w:type="dxa"/>
          <w:end w:w="100" w:type="dxa"/>
        </w:tblCellMar>
      </w:tblPr>
      <w:tblGrid>
        <w:gridCol w:w="2400"/>
        <w:gridCol w:w="6388"/>
      </w:tblGrid>
      <w:tr>
        <w:trPr/>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Atributo</w:t>
            </w:r>
          </w:p>
        </w:tc>
        <w:tc>
          <w:tcPr>
            <w:tcW w:w="6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Detalle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URL oficial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https://firms.modaps.eosdis.nasa.gov/api/area/</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Acceso</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API REST con clave Earthdata (gratuita)</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CSV / JSON</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Volumen</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~2,5 M detecciones/año para SA</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Frecuencia</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Casi tiempo real (~3 h VIIRS; ~4 h MODIS)</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Resolución espacial</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375 m (VIIRS) / 1 km (MODIS)</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Variables principales</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latitude, longitude, brightness, frp, confidence, acq_date, satellite, daynight</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Período disponible</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2000–presente (MODIS); 2012–presente (VIIRS)</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Limitaciones observadas</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14,7% de registros VIIRS con confidence&lt;50; 25-35% pérdida por nubosidad (Amazonia, dic-mar)</w:t>
            </w:r>
          </w:p>
        </w:tc>
      </w:tr>
    </w:tbl>
    <w:p>
      <w:pPr>
        <w:pStyle w:val="Normal"/>
        <w:spacing w:before="0" w:after="200"/>
        <w:jc w:val="center"/>
        <w:rPr/>
      </w:pPr>
      <w:r>
        <w:rPr>
          <w:rFonts w:eastAsia="Arial" w:cs="Arial"/>
          <w:i/>
          <w:iCs/>
          <w:color w:val="777777"/>
          <w:sz w:val="18"/>
          <w:szCs w:val="18"/>
        </w:rPr>
        <w:t>Fuente: Elaboración propia con base en Giglio et al. (2016) y documentación oficial de FIRMS.</w:t>
      </w:r>
    </w:p>
    <w:p>
      <w:pPr>
        <w:pStyle w:val="Normal"/>
        <w:spacing w:lineRule="auto" w:line="360" w:before="0" w:after="120"/>
        <w:jc w:val="both"/>
        <w:rPr/>
      </w:pPr>
      <w:r>
        <w:rPr>
          <w:rFonts w:eastAsia="Arial" w:cs="Arial"/>
          <w:sz w:val="22"/>
          <w:szCs w:val="22"/>
        </w:rPr>
        <w:t>Interpretación. La ficha resume los aspectos que condicionan el tratamiento ETL de esta fuente: acceso, granularidad, cobertura temporal/espacial, formato, licencia y limitaciones conocidas. Los atributos marcados como críticos (por ejemplo, fechas de re-procesamiento o re-escalados internos) son los que disparan reglas específicas de validación y de control CDC en el pipeline.</w:t>
      </w:r>
    </w:p>
    <w:p>
      <w:pPr>
        <w:pStyle w:val="Normal"/>
        <w:spacing w:lineRule="auto" w:line="360" w:before="0" w:after="120"/>
        <w:jc w:val="both"/>
        <w:rPr/>
      </w:pPr>
      <w:r>
        <w:rPr>
          <w:rFonts w:eastAsia="Arial" w:cs="Arial"/>
          <w:b/>
          <w:bCs/>
          <w:sz w:val="22"/>
          <w:szCs w:val="22"/>
        </w:rPr>
        <w:t xml:space="preserve">Tabla 5. </w:t>
      </w:r>
      <w:r>
        <w:rPr>
          <w:rFonts w:eastAsia="Arial" w:cs="Arial"/>
          <w:sz w:val="22"/>
          <w:szCs w:val="22"/>
        </w:rPr>
        <w:t>Ficha técnica de Open-Meteo / ERA5-Land.</w:t>
      </w:r>
    </w:p>
    <w:tbl>
      <w:tblPr>
        <w:tblW w:w="8788" w:type="dxa"/>
        <w:jc w:val="start"/>
        <w:tblInd w:w="0" w:type="dxa"/>
        <w:tblLayout w:type="fixed"/>
        <w:tblCellMar>
          <w:top w:w="60" w:type="dxa"/>
          <w:start w:w="100" w:type="dxa"/>
          <w:bottom w:w="60" w:type="dxa"/>
          <w:end w:w="100" w:type="dxa"/>
        </w:tblCellMar>
      </w:tblPr>
      <w:tblGrid>
        <w:gridCol w:w="2400"/>
        <w:gridCol w:w="6388"/>
      </w:tblGrid>
      <w:tr>
        <w:trPr/>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Atributo</w:t>
            </w:r>
          </w:p>
        </w:tc>
        <w:tc>
          <w:tcPr>
            <w:tcW w:w="6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Detalle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URL oficial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https://archive-api.open-meteo.com/v1/era5</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Acceso</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API REST pública sin autenticación (Open-Meteo, s. f.)</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JSON</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Resolución espacial</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0,1° o 0,25°</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Frecuencia</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Horaria (reanálisis; ~5 días de latencia)</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Variables principales</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temperature_2m, relative_humidity_2m, wind_speed_10m, surface_pressure, precipitation</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Período disponible</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1940–presente (Open-Meteo, s. f.)</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Limitaciones observadas</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Error ±1–2 °C en zonas de baja densidad de estaciones (Muñoz-Sabater et al., 2021); rate-limit ~10K/día</w:t>
            </w:r>
          </w:p>
        </w:tc>
      </w:tr>
    </w:tbl>
    <w:p>
      <w:pPr>
        <w:pStyle w:val="Normal"/>
        <w:spacing w:before="0" w:after="200"/>
        <w:jc w:val="center"/>
        <w:rPr/>
      </w:pPr>
      <w:r>
        <w:rPr>
          <w:rFonts w:eastAsia="Arial" w:cs="Arial"/>
          <w:i/>
          <w:iCs/>
          <w:color w:val="777777"/>
          <w:sz w:val="18"/>
          <w:szCs w:val="18"/>
        </w:rPr>
        <w:t>Fuente: Elaboración propia con base en Muñoz-Sabater et al. (2021) y documentación oficial de Open-Meteo (s. f.).</w:t>
      </w:r>
    </w:p>
    <w:p>
      <w:pPr>
        <w:pStyle w:val="Normal"/>
        <w:spacing w:lineRule="auto" w:line="360" w:before="0" w:after="120"/>
        <w:jc w:val="both"/>
        <w:rPr/>
      </w:pPr>
      <w:r>
        <w:rPr>
          <w:rFonts w:eastAsia="Arial" w:cs="Arial"/>
          <w:sz w:val="22"/>
          <w:szCs w:val="22"/>
        </w:rPr>
        <w:t>Interpretación. La ficha resume los aspectos que condicionan el tratamiento ETL de esta fuente: acceso, granularidad, cobertura temporal/espacial, formato, licencia y limitaciones conocidas. Los atributos marcados como críticos (por ejemplo, fechas de re-procesamiento o re-escalados internos) son los que disparan reglas específicas de validación y de control CDC en el pipeline.</w:t>
      </w:r>
    </w:p>
    <w:p>
      <w:pPr>
        <w:pStyle w:val="Normal"/>
        <w:spacing w:lineRule="auto" w:line="360" w:before="0" w:after="120"/>
        <w:jc w:val="both"/>
        <w:rPr/>
      </w:pPr>
      <w:r>
        <w:rPr>
          <w:rFonts w:eastAsia="Arial" w:cs="Arial"/>
          <w:b/>
          <w:bCs/>
          <w:sz w:val="22"/>
          <w:szCs w:val="22"/>
        </w:rPr>
        <w:t xml:space="preserve">Tabla 6. </w:t>
      </w:r>
      <w:r>
        <w:rPr>
          <w:rFonts w:eastAsia="Arial" w:cs="Arial"/>
          <w:sz w:val="22"/>
          <w:szCs w:val="22"/>
        </w:rPr>
        <w:t>Ficha técnica de CAMS / Copernicus.</w:t>
      </w:r>
    </w:p>
    <w:tbl>
      <w:tblPr>
        <w:tblW w:w="8788" w:type="dxa"/>
        <w:jc w:val="start"/>
        <w:tblInd w:w="0" w:type="dxa"/>
        <w:tblLayout w:type="fixed"/>
        <w:tblCellMar>
          <w:top w:w="60" w:type="dxa"/>
          <w:start w:w="100" w:type="dxa"/>
          <w:bottom w:w="60" w:type="dxa"/>
          <w:end w:w="100" w:type="dxa"/>
        </w:tblCellMar>
      </w:tblPr>
      <w:tblGrid>
        <w:gridCol w:w="2400"/>
        <w:gridCol w:w="6388"/>
      </w:tblGrid>
      <w:tr>
        <w:trPr/>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Atributo</w:t>
            </w:r>
          </w:p>
        </w:tc>
        <w:tc>
          <w:tcPr>
            <w:tcW w:w="6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Detalle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URL oficial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https://ads.atmosphere.copernicus.eu/api/v2</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Acceso</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API REST con registro CDS/ADS</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JSON (vía proxy Open-Meteo o ADS directo)</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Volumen</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~500 K registros/año</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Resolución espacial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0,25° a 0,4°</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Variables principales</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pm2_5, pm10, carbon_monoxide, nitrogen_dioxide, ozone, aerosol_optical_depth, european_aqi</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Limitaciones observadas</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57,4% de nulos globales (dust 100%, uv_index 100% nocturno, NO2 35%); PM2.5 con 0,3–287,4 μg/m³</w:t>
            </w:r>
          </w:p>
        </w:tc>
      </w:tr>
    </w:tbl>
    <w:p>
      <w:pPr>
        <w:pStyle w:val="Normal"/>
        <w:spacing w:before="0" w:after="200"/>
        <w:jc w:val="center"/>
        <w:rPr/>
      </w:pPr>
      <w:r>
        <w:rPr>
          <w:rFonts w:eastAsia="Arial" w:cs="Arial"/>
          <w:i/>
          <w:iCs/>
          <w:color w:val="777777"/>
          <w:sz w:val="18"/>
          <w:szCs w:val="18"/>
        </w:rPr>
        <w:t>Fuente: Elaboración propia con base en documentación oficial de CAMS y en Reid et al. (2016).</w:t>
      </w:r>
    </w:p>
    <w:p>
      <w:pPr>
        <w:pStyle w:val="Normal"/>
        <w:spacing w:lineRule="auto" w:line="360" w:before="0" w:after="120"/>
        <w:jc w:val="both"/>
        <w:rPr/>
      </w:pPr>
      <w:r>
        <w:rPr>
          <w:rFonts w:eastAsia="Arial" w:cs="Arial"/>
          <w:sz w:val="22"/>
          <w:szCs w:val="22"/>
        </w:rPr>
        <w:t>Interpretación. La ficha resume los aspectos que condicionan el tratamiento ETL de esta fuente: acceso, granularidad, cobertura temporal/espacial, formato, licencia y limitaciones conocidas. Los atributos marcados como críticos (por ejemplo, fechas de re-procesamiento o re-escalados internos) son los que disparan reglas específicas de validación y de control CDC en el pipeline.</w:t>
      </w:r>
    </w:p>
    <w:p>
      <w:pPr>
        <w:pStyle w:val="Normal"/>
        <w:spacing w:lineRule="auto" w:line="360" w:before="0" w:after="120"/>
        <w:jc w:val="both"/>
        <w:rPr/>
      </w:pPr>
      <w:r>
        <w:rPr>
          <w:rFonts w:eastAsia="Arial" w:cs="Arial"/>
          <w:b/>
          <w:bCs/>
          <w:sz w:val="22"/>
          <w:szCs w:val="22"/>
        </w:rPr>
        <w:t xml:space="preserve">Tabla 7. </w:t>
      </w:r>
      <w:r>
        <w:rPr>
          <w:rFonts w:eastAsia="Arial" w:cs="Arial"/>
          <w:sz w:val="22"/>
          <w:szCs w:val="22"/>
        </w:rPr>
        <w:t>Ficha técnica de CHIRPS.</w:t>
      </w:r>
    </w:p>
    <w:tbl>
      <w:tblPr>
        <w:tblW w:w="8788" w:type="dxa"/>
        <w:jc w:val="start"/>
        <w:tblInd w:w="0" w:type="dxa"/>
        <w:tblLayout w:type="fixed"/>
        <w:tblCellMar>
          <w:top w:w="60" w:type="dxa"/>
          <w:start w:w="100" w:type="dxa"/>
          <w:bottom w:w="60" w:type="dxa"/>
          <w:end w:w="100" w:type="dxa"/>
        </w:tblCellMar>
      </w:tblPr>
      <w:tblGrid>
        <w:gridCol w:w="2400"/>
        <w:gridCol w:w="6388"/>
      </w:tblGrid>
      <w:tr>
        <w:trPr/>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Atributo</w:t>
            </w:r>
          </w:p>
        </w:tc>
        <w:tc>
          <w:tcPr>
            <w:tcW w:w="6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Detalle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URL oficial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https://data.chc.ucsb.edu/products/CHIRPS-2.0/</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Acceso</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Descarga HTTP directa</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GeoTIFF mensual</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Resolución espacial</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0,05° (~5,5 km)</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Variables</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precipitation (mm/mes)</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Período disponible</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1981–presente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Limitaciones observadas</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NoData oceánico (esperado); latencia mensual ~3 semanas</w:t>
            </w:r>
          </w:p>
        </w:tc>
      </w:tr>
    </w:tbl>
    <w:p>
      <w:pPr>
        <w:pStyle w:val="Normal"/>
        <w:spacing w:before="0" w:after="200"/>
        <w:jc w:val="center"/>
        <w:rPr/>
      </w:pPr>
      <w:r>
        <w:rPr>
          <w:rFonts w:eastAsia="Arial" w:cs="Arial"/>
          <w:i/>
          <w:iCs/>
          <w:color w:val="777777"/>
          <w:sz w:val="18"/>
          <w:szCs w:val="18"/>
        </w:rPr>
        <w:t>Fuente: Elaboración propia con base en documentación oficial de CHIRPS (UCSB).</w:t>
      </w:r>
    </w:p>
    <w:p>
      <w:pPr>
        <w:pStyle w:val="Normal"/>
        <w:spacing w:lineRule="auto" w:line="360" w:before="0" w:after="120"/>
        <w:jc w:val="both"/>
        <w:rPr/>
      </w:pPr>
      <w:r>
        <w:rPr>
          <w:rFonts w:eastAsia="Arial" w:cs="Arial"/>
          <w:sz w:val="22"/>
          <w:szCs w:val="22"/>
        </w:rPr>
        <w:t>Interpretación. La ficha resume los aspectos que condicionan el tratamiento ETL de esta fuente: acceso, granularidad, cobertura temporal/espacial, formato, licencia y limitaciones conocidas. Los atributos marcados como críticos (por ejemplo, fechas de re-procesamiento o re-escalados internos) son los que disparan reglas específicas de validación y de control CDC en el pipeline.</w:t>
      </w:r>
    </w:p>
    <w:p>
      <w:pPr>
        <w:pStyle w:val="Normal"/>
        <w:spacing w:lineRule="auto" w:line="360" w:before="0" w:after="120"/>
        <w:jc w:val="both"/>
        <w:rPr/>
      </w:pPr>
      <w:r>
        <w:rPr>
          <w:rFonts w:eastAsia="Arial" w:cs="Arial"/>
          <w:b/>
          <w:bCs/>
          <w:sz w:val="22"/>
          <w:szCs w:val="22"/>
        </w:rPr>
        <w:t xml:space="preserve">Tabla 8. </w:t>
      </w:r>
      <w:r>
        <w:rPr>
          <w:rFonts w:eastAsia="Arial" w:cs="Arial"/>
          <w:sz w:val="22"/>
          <w:szCs w:val="22"/>
        </w:rPr>
        <w:t>Ficha técnica de MODIS Land Cover / AppEEARS.</w:t>
      </w:r>
    </w:p>
    <w:tbl>
      <w:tblPr>
        <w:tblW w:w="8788" w:type="dxa"/>
        <w:jc w:val="start"/>
        <w:tblInd w:w="0" w:type="dxa"/>
        <w:tblLayout w:type="fixed"/>
        <w:tblCellMar>
          <w:top w:w="60" w:type="dxa"/>
          <w:start w:w="100" w:type="dxa"/>
          <w:bottom w:w="60" w:type="dxa"/>
          <w:end w:w="100" w:type="dxa"/>
        </w:tblCellMar>
      </w:tblPr>
      <w:tblGrid>
        <w:gridCol w:w="2400"/>
        <w:gridCol w:w="6388"/>
      </w:tblGrid>
      <w:tr>
        <w:trPr/>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Atributo</w:t>
            </w:r>
          </w:p>
        </w:tc>
        <w:tc>
          <w:tcPr>
            <w:tcW w:w="6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Detalle</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URL oficial</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https://appeears.earthdatacloud.nasa.gov/</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Acceso</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API REST AppEEARS + Earthdata</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GeoTIFF / CSV</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Resolución espacial</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500 m → moda por celda de 0,25°</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Frecuencia</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Anual</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Variables</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LC_Type1 (IGBP de 17 clases)</w:t>
            </w:r>
          </w:p>
        </w:tc>
      </w:tr>
      <w:tr>
        <w:trPr/>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Período disponible</w:t>
            </w:r>
          </w:p>
        </w:tc>
        <w:tc>
          <w:tcPr>
            <w:tcW w:w="6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2001–2023 (último año publicado 2022 al cierre del relevamiento)</w:t>
            </w:r>
          </w:p>
        </w:tc>
      </w:tr>
      <w:tr>
        <w:trPr/>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Limitaciones observadas</w:t>
            </w:r>
          </w:p>
        </w:tc>
        <w:tc>
          <w:tcPr>
            <w:tcW w:w="6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Ambigüedad en ecotones; 2023-2024 requiere extrapolación con flag is_extrapolated</w:t>
            </w:r>
          </w:p>
        </w:tc>
      </w:tr>
    </w:tbl>
    <w:p>
      <w:pPr>
        <w:pStyle w:val="Normal"/>
        <w:spacing w:before="0" w:after="200"/>
        <w:jc w:val="center"/>
        <w:rPr/>
      </w:pPr>
      <w:r>
        <w:rPr>
          <w:rFonts w:eastAsia="Arial" w:cs="Arial"/>
          <w:i/>
          <w:iCs/>
          <w:color w:val="777777"/>
          <w:sz w:val="18"/>
          <w:szCs w:val="18"/>
        </w:rPr>
        <w:t>Fuente: Elaboración propia con base en documentación oficial de AppEEARS y de MODIS.</w:t>
      </w:r>
    </w:p>
    <w:p>
      <w:pPr>
        <w:pStyle w:val="Normal"/>
        <w:spacing w:lineRule="auto" w:line="360" w:before="0" w:after="120"/>
        <w:jc w:val="both"/>
        <w:rPr/>
      </w:pPr>
      <w:r>
        <w:rPr>
          <w:rFonts w:eastAsia="Arial" w:cs="Arial"/>
          <w:sz w:val="22"/>
          <w:szCs w:val="22"/>
        </w:rPr>
        <w:t>Interpretación. La ficha resume los aspectos que condicionan el tratamiento ETL de esta fuente: acceso, granularidad, cobertura temporal/espacial, formato, licencia y limitaciones conocidas. Los atributos marcados como críticos (por ejemplo, fechas de re-procesamiento o re-escalados internos) son los que disparan reglas específicas de validación y de control CDC en el pipeline.</w:t>
      </w:r>
    </w:p>
    <w:p>
      <w:pPr>
        <w:pStyle w:val="Heading3"/>
        <w:spacing w:lineRule="auto" w:line="360" w:before="240" w:after="120"/>
        <w:rPr/>
      </w:pPr>
      <w:r>
        <w:rPr>
          <w:rFonts w:eastAsia="Arial" w:cs="Arial" w:ascii="Arial" w:hAnsi="Arial"/>
          <w:b/>
          <w:bCs/>
          <w:color w:val="404040"/>
          <w:sz w:val="24"/>
          <w:szCs w:val="24"/>
        </w:rPr>
        <w:t>4.1.1 Exploración preliminar de las fuentes</w:t>
      </w:r>
    </w:p>
    <w:p>
      <w:pPr>
        <w:pStyle w:val="Normal"/>
        <w:spacing w:lineRule="auto" w:line="360" w:before="0" w:after="120"/>
        <w:jc w:val="both"/>
        <w:rPr/>
      </w:pPr>
      <w:r>
        <w:rPr>
          <w:rFonts w:eastAsia="Arial" w:cs="Arial"/>
          <w:sz w:val="22"/>
          <w:szCs w:val="22"/>
        </w:rPr>
        <w:t>La guía del proyecto exige que el análisis preliminar esté respaldado por evidencia real de acceso, estructura y problemas observados. Por esa razón, la exploración se apoya en pruebas efectivas de descarga, consulta y revisión de columnas, tipos, nulos, duplicados e inconsistencias evidentes. Esta exigencia aparece de forma explícita en EC1 y constituye una condición metodológica para justificar el diseño posterior del ETL y del modelo de destino.</w:t>
      </w:r>
    </w:p>
    <w:p>
      <w:pPr>
        <w:pStyle w:val="Normal"/>
        <w:spacing w:lineRule="auto" w:line="360" w:before="0" w:after="120"/>
        <w:jc w:val="both"/>
        <w:rPr/>
      </w:pPr>
      <w:r>
        <w:rPr>
          <w:rFonts w:eastAsia="Arial" w:cs="Arial"/>
          <w:sz w:val="22"/>
          <w:szCs w:val="22"/>
        </w:rPr>
        <w:t>Desde esta exploración surgen hallazgos relevantes para el diseño. En FIRMS, por ejemplo, la presencia de niveles de confianza distintos exige normalización semántica o filtrado (Giglio et al., 2016). En CAMS, algunas variables atmosféricas presentan nulos suficientes como para comprometer su utilidad si no se tratan adecuadamente. En CHIRPS y MODIS, el uso de rasters obliga a incorporar procesamiento geoespacial en la fase de transformación. Estas observaciones condicionan directamente el diseño del modelo integrado, el CDC y las reglas de calidad.</w:t>
      </w:r>
    </w:p>
    <w:p>
      <w:pPr>
        <w:pStyle w:val="Heading3"/>
        <w:spacing w:lineRule="auto" w:line="360" w:before="240" w:after="120"/>
        <w:rPr/>
      </w:pPr>
      <w:r>
        <w:rPr>
          <w:rFonts w:eastAsia="Arial" w:cs="Arial" w:ascii="Arial" w:hAnsi="Arial"/>
          <w:b/>
          <w:bCs/>
          <w:color w:val="404040"/>
          <w:sz w:val="24"/>
          <w:szCs w:val="24"/>
        </w:rPr>
        <w:t>4.1.2 Calidad preliminar de datos</w:t>
      </w:r>
    </w:p>
    <w:p>
      <w:pPr>
        <w:pStyle w:val="Normal"/>
        <w:spacing w:lineRule="auto" w:line="360" w:before="0" w:after="120"/>
        <w:jc w:val="both"/>
        <w:rPr/>
      </w:pPr>
      <w:r>
        <w:rPr>
          <w:rFonts w:eastAsia="Arial" w:cs="Arial"/>
          <w:sz w:val="22"/>
          <w:szCs w:val="22"/>
        </w:rPr>
        <w:t>La evaluación preliminar de calidad se apoya en cuatro dimensiones: completitud, unicidad, consistencia y validez. A diferencia de una descripción superficial del dataset, estas métricas permiten vincular problemas concretos del dato con el impacto real que tendrán sobre las preguntas analíticas del proyecto. La formulación explícita de estas dimensiones es la siguiente:</w:t>
      </w:r>
    </w:p>
    <w:p>
      <w:pPr>
        <w:pStyle w:val="Normal"/>
        <w:spacing w:lineRule="auto" w:line="360" w:before="0" w:after="120"/>
        <w:jc w:val="both"/>
        <w:rPr/>
      </w:pPr>
      <w:r>
        <w:rPr>
          <w:rFonts w:eastAsia="Arial" w:cs="Arial"/>
          <w:b/>
          <w:bCs/>
          <w:sz w:val="22"/>
          <w:szCs w:val="22"/>
        </w:rPr>
        <w:t xml:space="preserve">Completitud = </w:t>
      </w:r>
      <w:r>
        <w:rPr>
          <w:rFonts w:eastAsia="Arial" w:cs="Arial"/>
          <w:sz w:val="22"/>
          <w:szCs w:val="22"/>
        </w:rPr>
        <w:t>(valores no-nulos / registros esperados) × 100.</w:t>
      </w:r>
    </w:p>
    <w:p>
      <w:pPr>
        <w:pStyle w:val="Normal"/>
        <w:spacing w:lineRule="auto" w:line="360" w:before="0" w:after="120"/>
        <w:jc w:val="both"/>
        <w:rPr/>
      </w:pPr>
      <w:r>
        <w:rPr>
          <w:rFonts w:eastAsia="Arial" w:cs="Arial"/>
          <w:b/>
          <w:bCs/>
          <w:sz w:val="22"/>
          <w:szCs w:val="22"/>
        </w:rPr>
        <w:t xml:space="preserve">Unicidad = </w:t>
      </w:r>
      <w:r>
        <w:rPr>
          <w:rFonts w:eastAsia="Arial" w:cs="Arial"/>
          <w:sz w:val="22"/>
          <w:szCs w:val="22"/>
        </w:rPr>
        <w:t>(registros únicos por clave primaria / total) × 100, con clave (fecha, grid_lat, grid_lon, fuente).</w:t>
      </w:r>
    </w:p>
    <w:p>
      <w:pPr>
        <w:pStyle w:val="Normal"/>
        <w:spacing w:lineRule="auto" w:line="360" w:before="0" w:after="120"/>
        <w:jc w:val="both"/>
        <w:rPr/>
      </w:pPr>
      <w:r>
        <w:rPr>
          <w:rFonts w:eastAsia="Arial" w:cs="Arial"/>
          <w:b/>
          <w:bCs/>
          <w:sz w:val="22"/>
          <w:szCs w:val="22"/>
        </w:rPr>
        <w:t xml:space="preserve">Consistencia = </w:t>
      </w:r>
      <w:r>
        <w:rPr>
          <w:rFonts w:eastAsia="Arial" w:cs="Arial"/>
          <w:sz w:val="22"/>
          <w:szCs w:val="22"/>
        </w:rPr>
        <w:t>(registros dentro de rangos de dominio / total) × 100; rangos: temp ∈ [-40, 55], PM2.5 ∈ [0, 1000], FRP ∈ [0, 5000].</w:t>
      </w:r>
    </w:p>
    <w:p>
      <w:pPr>
        <w:pStyle w:val="Normal"/>
        <w:spacing w:lineRule="auto" w:line="360" w:before="0" w:after="120"/>
        <w:jc w:val="both"/>
        <w:rPr/>
      </w:pPr>
      <w:r>
        <w:rPr>
          <w:rFonts w:eastAsia="Arial" w:cs="Arial"/>
          <w:b/>
          <w:bCs/>
          <w:sz w:val="22"/>
          <w:szCs w:val="22"/>
        </w:rPr>
        <w:t xml:space="preserve">Validez = </w:t>
      </w:r>
      <w:r>
        <w:rPr>
          <w:rFonts w:eastAsia="Arial" w:cs="Arial"/>
          <w:sz w:val="22"/>
          <w:szCs w:val="22"/>
        </w:rPr>
        <w:t>(registros con formato / tipo correctos / total) × 100.</w:t>
      </w:r>
    </w:p>
    <w:p>
      <w:pPr>
        <w:pStyle w:val="Normal"/>
        <w:spacing w:lineRule="auto" w:line="360" w:before="0" w:after="120"/>
        <w:jc w:val="both"/>
        <w:rPr/>
      </w:pPr>
      <w:r>
        <w:rPr>
          <w:rFonts w:eastAsia="Arial" w:cs="Arial"/>
          <w:sz w:val="22"/>
          <w:szCs w:val="22"/>
        </w:rPr>
        <w:t>La Tabla 9 consolida los resultados obtenidos sobre muestras reales de cada fuente; la Tabla 10 traduce esos resultados en impacto sobre las preguntas analíticas y en correcciones de ETL.</w:t>
      </w:r>
    </w:p>
    <w:tbl>
      <w:tblPr>
        <w:tblW w:w="8788" w:type="dxa"/>
        <w:jc w:val="start"/>
        <w:tblInd w:w="0" w:type="dxa"/>
        <w:tblLayout w:type="fixed"/>
        <w:tblCellMar>
          <w:top w:w="60" w:type="dxa"/>
          <w:start w:w="100" w:type="dxa"/>
          <w:bottom w:w="60" w:type="dxa"/>
          <w:end w:w="100" w:type="dxa"/>
        </w:tblCellMar>
      </w:tblPr>
      <w:tblGrid>
        <w:gridCol w:w="1399"/>
        <w:gridCol w:w="1501"/>
        <w:gridCol w:w="1100"/>
        <w:gridCol w:w="1300"/>
        <w:gridCol w:w="899"/>
        <w:gridCol w:w="2589"/>
      </w:tblGrid>
      <w:tr>
        <w:trPr/>
        <w:tc>
          <w:tcPr>
            <w:tcW w:w="13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Fuente</w:t>
            </w:r>
          </w:p>
        </w:tc>
        <w:tc>
          <w:tcPr>
            <w:tcW w:w="15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Completitud</w:t>
            </w:r>
          </w:p>
        </w:tc>
        <w:tc>
          <w:tcPr>
            <w:tcW w:w="11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Unicidad</w:t>
            </w:r>
          </w:p>
        </w:tc>
        <w:tc>
          <w:tcPr>
            <w:tcW w:w="13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Consistencia</w:t>
            </w:r>
          </w:p>
        </w:tc>
        <w:tc>
          <w:tcPr>
            <w:tcW w:w="8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Validez</w:t>
            </w:r>
          </w:p>
        </w:tc>
        <w:tc>
          <w:tcPr>
            <w:tcW w:w="25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Problema principal</w:t>
            </w:r>
          </w:p>
        </w:tc>
      </w:tr>
      <w:tr>
        <w:trPr/>
        <w:tc>
          <w:tcPr>
            <w:tcW w:w="13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15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99,7%</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99,8%</w:t>
            </w:r>
          </w:p>
        </w:tc>
        <w:tc>
          <w:tcPr>
            <w:tcW w:w="13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100%</w:t>
            </w:r>
          </w:p>
        </w:tc>
        <w:tc>
          <w:tcPr>
            <w:tcW w:w="8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99,9%</w:t>
            </w:r>
          </w:p>
        </w:tc>
        <w:tc>
          <w:tcPr>
            <w:tcW w:w="2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14,7% confidence &lt; 50</w:t>
            </w:r>
          </w:p>
        </w:tc>
      </w:tr>
      <w:tr>
        <w:trPr/>
        <w:tc>
          <w:tcPr>
            <w:tcW w:w="1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Open-Meteo</w:t>
            </w:r>
          </w:p>
        </w:tc>
        <w:tc>
          <w:tcPr>
            <w:tcW w:w="15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100%</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100%</w:t>
            </w:r>
          </w:p>
        </w:tc>
        <w:tc>
          <w:tcPr>
            <w:tcW w:w="13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100%</w:t>
            </w:r>
          </w:p>
        </w:tc>
        <w:tc>
          <w:tcPr>
            <w:tcW w:w="8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100%</w:t>
            </w:r>
          </w:p>
        </w:tc>
        <w:tc>
          <w:tcPr>
            <w:tcW w:w="2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Ninguno relevante</w:t>
            </w:r>
          </w:p>
        </w:tc>
      </w:tr>
      <w:tr>
        <w:trPr/>
        <w:tc>
          <w:tcPr>
            <w:tcW w:w="13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w:t>
            </w:r>
          </w:p>
        </w:tc>
        <w:tc>
          <w:tcPr>
            <w:tcW w:w="15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42,6% global / 99,5% PM2.5</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99,9%</w:t>
            </w:r>
          </w:p>
        </w:tc>
        <w:tc>
          <w:tcPr>
            <w:tcW w:w="13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98,7%</w:t>
            </w:r>
          </w:p>
        </w:tc>
        <w:tc>
          <w:tcPr>
            <w:tcW w:w="8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99,8%</w:t>
            </w:r>
          </w:p>
        </w:tc>
        <w:tc>
          <w:tcPr>
            <w:tcW w:w="2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57,4% nulos dust/uv_index</w:t>
            </w:r>
          </w:p>
        </w:tc>
      </w:tr>
      <w:tr>
        <w:trPr/>
        <w:tc>
          <w:tcPr>
            <w:tcW w:w="1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CHIRPS</w:t>
            </w:r>
          </w:p>
        </w:tc>
        <w:tc>
          <w:tcPr>
            <w:tcW w:w="15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99,2%</w:t>
            </w:r>
          </w:p>
        </w:tc>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100%</w:t>
            </w:r>
          </w:p>
        </w:tc>
        <w:tc>
          <w:tcPr>
            <w:tcW w:w="13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99,8%</w:t>
            </w:r>
          </w:p>
        </w:tc>
        <w:tc>
          <w:tcPr>
            <w:tcW w:w="8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99,5%</w:t>
            </w:r>
          </w:p>
        </w:tc>
        <w:tc>
          <w:tcPr>
            <w:tcW w:w="25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NoData oceánico (esperado)</w:t>
            </w:r>
          </w:p>
        </w:tc>
      </w:tr>
      <w:tr>
        <w:trPr/>
        <w:tc>
          <w:tcPr>
            <w:tcW w:w="13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MODIS</w:t>
            </w:r>
          </w:p>
        </w:tc>
        <w:tc>
          <w:tcPr>
            <w:tcW w:w="15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100%</w:t>
            </w:r>
          </w:p>
        </w:tc>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100%</w:t>
            </w:r>
          </w:p>
        </w:tc>
        <w:tc>
          <w:tcPr>
            <w:tcW w:w="13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99,5%</w:t>
            </w:r>
          </w:p>
        </w:tc>
        <w:tc>
          <w:tcPr>
            <w:tcW w:w="8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100%</w:t>
            </w:r>
          </w:p>
        </w:tc>
        <w:tc>
          <w:tcPr>
            <w:tcW w:w="25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Ambigüedad en ecotones</w:t>
            </w:r>
          </w:p>
        </w:tc>
      </w:tr>
    </w:tbl>
    <w:p>
      <w:pPr>
        <w:pStyle w:val="Normal"/>
        <w:spacing w:before="0" w:after="240"/>
        <w:jc w:val="center"/>
        <w:rPr/>
      </w:pPr>
      <w:r>
        <w:rPr>
          <w:rFonts w:eastAsia="Arial" w:cs="Arial"/>
          <w:i/>
          <w:iCs/>
          <w:color w:val="555555"/>
          <w:sz w:val="20"/>
          <w:szCs w:val="20"/>
        </w:rPr>
        <w:t>Tabla 9. Evaluación de calidad por fuente.</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9. Las cinco dimensiones de calidad evaluadas (completitud, unicidad, consistencia, validez y el problema principal identificado) reflejan el estado observado en la exploración real realizada durante EC1. Los valores guían la priorización del ETL: las fuentes con mayor riesgo de calidad (CAMS en consistencia, MODIS en unicidad) reciben validaciones Pydantic más estrictas y tests específicos.</w:t>
      </w:r>
    </w:p>
    <w:tbl>
      <w:tblPr>
        <w:tblW w:w="8788" w:type="dxa"/>
        <w:jc w:val="start"/>
        <w:tblInd w:w="0" w:type="dxa"/>
        <w:tblLayout w:type="fixed"/>
        <w:tblCellMar>
          <w:top w:w="60" w:type="dxa"/>
          <w:start w:w="100" w:type="dxa"/>
          <w:bottom w:w="60" w:type="dxa"/>
          <w:end w:w="100" w:type="dxa"/>
        </w:tblCellMar>
      </w:tblPr>
      <w:tblGrid>
        <w:gridCol w:w="2000"/>
        <w:gridCol w:w="900"/>
        <w:gridCol w:w="2500"/>
        <w:gridCol w:w="3388"/>
      </w:tblGrid>
      <w:tr>
        <w:trPr/>
        <w:tc>
          <w:tcPr>
            <w:tcW w:w="20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Problema</w:t>
            </w:r>
          </w:p>
        </w:tc>
        <w:tc>
          <w:tcPr>
            <w:tcW w:w="9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Fuente</w:t>
            </w:r>
          </w:p>
        </w:tc>
        <w:tc>
          <w:tcPr>
            <w:tcW w:w="2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Preguntas afectadas</w:t>
            </w:r>
          </w:p>
        </w:tc>
        <w:tc>
          <w:tcPr>
            <w:tcW w:w="3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Corrección en el ETL</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57,4% nulos en dust / uv_index</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P6: pierde 2 variables</w:t>
            </w:r>
          </w:p>
        </w:tc>
        <w:tc>
          <w:tcPr>
            <w:tcW w:w="3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Excluir; usar PM2.5/PM10/AOD (&gt;99% completitud)</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35% nulos en NO2</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CAMS</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P6, P11</w:t>
            </w:r>
          </w:p>
        </w:tc>
        <w:tc>
          <w:tcPr>
            <w:tcW w:w="3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Imputar media regional si nulos ≤ 20%</w:t>
            </w:r>
          </w:p>
        </w:tc>
      </w:tr>
      <w:tr>
        <w:trPr/>
        <w:tc>
          <w:tcPr>
            <w:tcW w:w="2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14,7% confidence &lt; 50</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2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P1-P3: falsos positivos</w:t>
            </w:r>
          </w:p>
        </w:tc>
        <w:tc>
          <w:tcPr>
            <w:tcW w:w="3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Filtro ≥ 50; +30% precisión, -15% focos (Giglio et al., 2016)</w:t>
            </w:r>
          </w:p>
        </w:tc>
      </w:tr>
      <w:tr>
        <w:trPr/>
        <w:tc>
          <w:tcPr>
            <w:tcW w:w="2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MODIS solo hasta 2022</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MODIS</w:t>
            </w:r>
          </w:p>
        </w:tc>
        <w:tc>
          <w:tcPr>
            <w:tcW w:w="2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P9, P10</w:t>
            </w:r>
          </w:p>
        </w:tc>
        <w:tc>
          <w:tcPr>
            <w:tcW w:w="3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Extrapolar 2022 marcando is_extrapolated</w:t>
            </w:r>
          </w:p>
        </w:tc>
      </w:tr>
    </w:tbl>
    <w:p>
      <w:pPr>
        <w:pStyle w:val="Normal"/>
        <w:spacing w:before="0" w:after="240"/>
        <w:jc w:val="center"/>
        <w:rPr/>
      </w:pPr>
      <w:r>
        <w:rPr>
          <w:rFonts w:eastAsia="Arial" w:cs="Arial"/>
          <w:i/>
          <w:iCs/>
          <w:color w:val="555555"/>
          <w:sz w:val="20"/>
          <w:szCs w:val="20"/>
        </w:rPr>
        <w:t>Tabla 10. Impacto de problemas de calidad en preguntas analíticas.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10. La tabla traza cada problema de calidad detectado hasta las preguntas analíticas que pueden verse afectadas, y declara la corrección específica implementada en el ETL. Así, cada decisión de limpieza o imputación está justificada por su efecto en la analítica de salida, evitando transformaciones arbitrarias.</w:t>
      </w:r>
    </w:p>
    <w:p>
      <w:pPr>
        <w:pStyle w:val="Heading2"/>
        <w:spacing w:lineRule="auto" w:line="360" w:before="320" w:after="160"/>
        <w:rPr/>
      </w:pPr>
      <w:r>
        <w:rPr>
          <w:rFonts w:eastAsia="Arial" w:cs="Arial" w:ascii="Arial" w:hAnsi="Arial"/>
          <w:b/>
          <w:bCs/>
          <w:color w:val="2E75B6"/>
          <w:sz w:val="26"/>
          <w:szCs w:val="26"/>
        </w:rPr>
        <w:t>4.2 Diseño conceptual, lógico y físico</w:t>
      </w:r>
    </w:p>
    <w:p>
      <w:pPr>
        <w:pStyle w:val="Normal"/>
        <w:spacing w:lineRule="auto" w:line="360" w:before="0" w:after="120"/>
        <w:jc w:val="both"/>
        <w:rPr/>
      </w:pPr>
      <w:r>
        <w:rPr>
          <w:rFonts w:eastAsia="Arial" w:cs="Arial"/>
          <w:sz w:val="22"/>
          <w:szCs w:val="22"/>
        </w:rPr>
        <w:t>La guía de la etapa 2 insiste en que el modelo de destino no debe representar “el mundo desde cero”, sino integrar estructuras que ya existen en las fuentes. Esto implica que el diseño del modelo relacional debe partir del análisis de campos, de la identificación de conflictos de integración y del mapeo fuente-destino. El proyecto adopta exactamente ese enfoque, documentando primero los campos de origen y luego la correspondencia con hechos y dimensiones del modelo final (Kimball &amp; Ross, 2013).</w:t>
      </w:r>
    </w:p>
    <w:p>
      <w:pPr>
        <w:pStyle w:val="Normal"/>
        <w:spacing w:lineRule="auto" w:line="360" w:before="0" w:after="120"/>
        <w:jc w:val="both"/>
        <w:rPr/>
      </w:pPr>
      <w:r>
        <w:rPr>
          <w:rFonts w:eastAsia="Arial" w:cs="Arial"/>
          <w:sz w:val="22"/>
          <w:szCs w:val="22"/>
        </w:rPr>
        <w:t>El modelo se estructura como una estrella extendida con dimensiones conformadas y tablas de hechos separadas por granularidad temporal. Las dimensiones principales son tiempo, grilla espacial y país, mientras que los hechos se dividen en incendios diarios, meteorología diaria, calidad del aire diaria, precipitación mensual y cobertura vegetal anual. Esta separación responde al principio de que las diferencias de granularidad no deben ocultarse ni forzarse a una única tabla si ello compromete consistencia o rendimiento.</w:t>
      </w:r>
    </w:p>
    <w:p>
      <w:pPr>
        <w:pStyle w:val="Normal"/>
        <w:spacing w:lineRule="auto" w:line="360" w:before="0" w:after="120"/>
        <w:jc w:val="both"/>
        <w:rPr/>
      </w:pPr>
      <w:r>
        <w:rPr>
          <w:rFonts w:eastAsia="Arial" w:cs="Arial"/>
          <w:sz w:val="22"/>
          <w:szCs w:val="22"/>
        </w:rPr>
        <w:t>La Tabla 14 consolida el análisis de campos por fuente con sus rangos esperados y la transformación aplicada; la Tabla 15 establece el mapeo fuente→destino; la Tabla 16 cataloga los conflictos de integración detectados y su resolución. La Figura 2 resume el modelo entidad-relación extendido que materializa estas decisiones.</w:t>
      </w:r>
    </w:p>
    <w:tbl>
      <w:tblPr>
        <w:tblW w:w="8788" w:type="dxa"/>
        <w:jc w:val="start"/>
        <w:tblInd w:w="0" w:type="dxa"/>
        <w:tblLayout w:type="fixed"/>
        <w:tblCellMar>
          <w:top w:w="60" w:type="dxa"/>
          <w:start w:w="100" w:type="dxa"/>
          <w:bottom w:w="60" w:type="dxa"/>
          <w:end w:w="100" w:type="dxa"/>
        </w:tblCellMar>
      </w:tblPr>
      <w:tblGrid>
        <w:gridCol w:w="2199"/>
        <w:gridCol w:w="1000"/>
        <w:gridCol w:w="2101"/>
        <w:gridCol w:w="3488"/>
      </w:tblGrid>
      <w:tr>
        <w:trPr/>
        <w:tc>
          <w:tcPr>
            <w:tcW w:w="21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Campo</w:t>
            </w:r>
          </w:p>
        </w:tc>
        <w:tc>
          <w:tcPr>
            <w:tcW w:w="10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Tipo</w:t>
            </w:r>
          </w:p>
        </w:tc>
        <w:tc>
          <w:tcPr>
            <w:tcW w:w="21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Rango esperado</w:t>
            </w:r>
          </w:p>
        </w:tc>
        <w:tc>
          <w:tcPr>
            <w:tcW w:w="34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Transformación</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latitude / longitude (FIRMS)</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[-56, 13] / [-82, -34]</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FLOOR(coord/0,25)·0,25</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brightness (FIRMS)</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[200, 600] K</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por celda-día → brightness_mean</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frp (FIRMS)</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 5000] MW</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 / MAX por celda-día</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confidence (FIRMS)</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str / int</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low / nominal / high o 0–100</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Normalizar 0-100; filtro ≥ 50</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acq_date (FIRMS)</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string</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2018-01-01 a 2025-12-31</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Parseo a DATE; lookup dim_tiempo</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temperature_2m (Open-Meteo)</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[-40, 55] °C</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 MIN / MAX horario → diario</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relative_humidity_2m (Open-Meteo)</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 100] %</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 diario</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pm2_5 (CAMS)</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 1000] μg/m³</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diario</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aerosol_optical_depth (CAMS)</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 5]</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 diario</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nitrogen_dioxide (CAMS)</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 500] μg/m³</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 imputar media si nulos ≤ 20%</w:t>
            </w:r>
          </w:p>
        </w:tc>
      </w:tr>
      <w:tr>
        <w:trPr/>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precipitation (CHIRPS)</w:t>
            </w:r>
          </w:p>
        </w:tc>
        <w:tc>
          <w:tcPr>
            <w:tcW w:w="1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float64</w:t>
            </w:r>
          </w:p>
        </w:tc>
        <w:tc>
          <w:tcPr>
            <w:tcW w:w="21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[0, 1000] mm/mes</w:t>
            </w:r>
          </w:p>
        </w:tc>
        <w:tc>
          <w:tcPr>
            <w:tcW w:w="3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Directo (raster → celda)</w:t>
            </w:r>
          </w:p>
        </w:tc>
      </w:tr>
      <w:tr>
        <w:trPr/>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LC_Type1 (MODIS)</w:t>
            </w:r>
          </w:p>
        </w:tc>
        <w:tc>
          <w:tcPr>
            <w:tcW w:w="1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int</w:t>
            </w:r>
          </w:p>
        </w:tc>
        <w:tc>
          <w:tcPr>
            <w:tcW w:w="21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[0, 17]</w:t>
            </w:r>
          </w:p>
        </w:tc>
        <w:tc>
          <w:tcPr>
            <w:tcW w:w="3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Moda por celda de 0,25°</w:t>
            </w:r>
          </w:p>
        </w:tc>
      </w:tr>
    </w:tbl>
    <w:p>
      <w:pPr>
        <w:pStyle w:val="Normal"/>
        <w:spacing w:before="0" w:after="240"/>
        <w:jc w:val="center"/>
        <w:rPr/>
      </w:pPr>
      <w:r>
        <w:rPr>
          <w:rFonts w:eastAsia="Arial" w:cs="Arial"/>
          <w:i/>
          <w:iCs/>
          <w:color w:val="555555"/>
          <w:sz w:val="20"/>
          <w:szCs w:val="20"/>
        </w:rPr>
        <w:t>Tabla 14. Campos por fuente de datos.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14. Para cada campo de cada fuente se documenta su tipo, su rango esperado y la transformación aplicada en el ETL (conversión de unidades, normalización temporal, casteo de tipos, derivación de atributos auxiliares). Esta es la base contractual entre la capa de ingestión y la capa de almacenamiento.</w:t>
      </w:r>
    </w:p>
    <w:tbl>
      <w:tblPr>
        <w:tblW w:w="8788" w:type="dxa"/>
        <w:jc w:val="start"/>
        <w:tblInd w:w="0" w:type="dxa"/>
        <w:tblLayout w:type="fixed"/>
        <w:tblCellMar>
          <w:top w:w="60" w:type="dxa"/>
          <w:start w:w="100" w:type="dxa"/>
          <w:bottom w:w="60" w:type="dxa"/>
          <w:end w:w="100" w:type="dxa"/>
        </w:tblCellMar>
      </w:tblPr>
      <w:tblGrid>
        <w:gridCol w:w="1100"/>
        <w:gridCol w:w="1400"/>
        <w:gridCol w:w="2199"/>
        <w:gridCol w:w="1601"/>
        <w:gridCol w:w="2488"/>
      </w:tblGrid>
      <w:tr>
        <w:trPr/>
        <w:tc>
          <w:tcPr>
            <w:tcW w:w="11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Fuente</w:t>
            </w:r>
          </w:p>
        </w:tc>
        <w:tc>
          <w:tcPr>
            <w:tcW w:w="1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Campo origen</w:t>
            </w:r>
          </w:p>
        </w:tc>
        <w:tc>
          <w:tcPr>
            <w:tcW w:w="21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Tabla destino (MySQL)</w:t>
            </w:r>
          </w:p>
        </w:tc>
        <w:tc>
          <w:tcPr>
            <w:tcW w:w="16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Campo destino</w:t>
            </w:r>
          </w:p>
        </w:tc>
        <w:tc>
          <w:tcPr>
            <w:tcW w:w="24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Transformación</w:t>
            </w:r>
          </w:p>
        </w:tc>
      </w:tr>
      <w:tr>
        <w:trPr/>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lat, lon</w:t>
            </w:r>
          </w:p>
        </w:tc>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dim_grilla</w:t>
            </w:r>
          </w:p>
        </w:tc>
        <w:tc>
          <w:tcPr>
            <w:tcW w:w="1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lat_centro, lon_centro</w:t>
            </w:r>
          </w:p>
        </w:tc>
        <w:tc>
          <w:tcPr>
            <w:tcW w:w="2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FLOOR/0,25</w:t>
            </w:r>
          </w:p>
        </w:tc>
      </w:tr>
      <w:tr>
        <w:trPr/>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FIRMS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brightness</w:t>
            </w:r>
          </w:p>
        </w:tc>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fact_incendios_diario</w:t>
            </w:r>
          </w:p>
        </w:tc>
        <w:tc>
          <w:tcPr>
            <w:tcW w:w="1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brightness_prom</w:t>
            </w:r>
          </w:p>
        </w:tc>
        <w:tc>
          <w:tcPr>
            <w:tcW w:w="2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w:t>
            </w:r>
          </w:p>
        </w:tc>
      </w:tr>
      <w:tr>
        <w:trPr/>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FIRMS</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frp</w:t>
            </w:r>
          </w:p>
        </w:tc>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fact_incendios_diario</w:t>
            </w:r>
          </w:p>
        </w:tc>
        <w:tc>
          <w:tcPr>
            <w:tcW w:w="1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frp_promedio_mw, frp_max_mw</w:t>
            </w:r>
          </w:p>
        </w:tc>
        <w:tc>
          <w:tcPr>
            <w:tcW w:w="2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 / MAX</w:t>
            </w:r>
          </w:p>
        </w:tc>
      </w:tr>
      <w:tr>
        <w:trPr/>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FIRMS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COUNT(*)</w:t>
            </w:r>
          </w:p>
        </w:tc>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fact_incendios_diario</w:t>
            </w:r>
          </w:p>
        </w:tc>
        <w:tc>
          <w:tcPr>
            <w:tcW w:w="1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cantidad_focos</w:t>
            </w:r>
          </w:p>
        </w:tc>
        <w:tc>
          <w:tcPr>
            <w:tcW w:w="2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COUNT por celda-día</w:t>
            </w:r>
          </w:p>
        </w:tc>
      </w:tr>
      <w:tr>
        <w:trPr/>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Open-Meteo</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temperature_2m</w:t>
            </w:r>
          </w:p>
        </w:tc>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fact_meteorologia_diaria</w:t>
            </w:r>
          </w:p>
        </w:tc>
        <w:tc>
          <w:tcPr>
            <w:tcW w:w="1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temp_prom / min / max</w:t>
            </w:r>
          </w:p>
        </w:tc>
        <w:tc>
          <w:tcPr>
            <w:tcW w:w="2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 / MIN / MAX</w:t>
            </w:r>
          </w:p>
        </w:tc>
      </w:tr>
      <w:tr>
        <w:trPr/>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CAMS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pm2_5</w:t>
            </w:r>
          </w:p>
        </w:tc>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fact_calidad_aire_diaria</w:t>
            </w:r>
          </w:p>
        </w:tc>
        <w:tc>
          <w:tcPr>
            <w:tcW w:w="1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pm25_promedio</w:t>
            </w:r>
          </w:p>
        </w:tc>
        <w:tc>
          <w:tcPr>
            <w:tcW w:w="2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w:t>
            </w:r>
          </w:p>
        </w:tc>
      </w:tr>
      <w:tr>
        <w:trPr/>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aod</w:t>
            </w:r>
          </w:p>
        </w:tc>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fact_calidad_aire_diaria</w:t>
            </w:r>
          </w:p>
        </w:tc>
        <w:tc>
          <w:tcPr>
            <w:tcW w:w="1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aod_promedio</w:t>
            </w:r>
          </w:p>
        </w:tc>
        <w:tc>
          <w:tcPr>
            <w:tcW w:w="2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AVG</w:t>
            </w:r>
          </w:p>
        </w:tc>
      </w:tr>
      <w:tr>
        <w:trPr/>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CHIRPS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pixel_value</w:t>
            </w:r>
          </w:p>
        </w:tc>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fact_precipitacion_mensual</w:t>
            </w:r>
          </w:p>
        </w:tc>
        <w:tc>
          <w:tcPr>
            <w:tcW w:w="1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precipitacion_mm</w:t>
            </w:r>
          </w:p>
        </w:tc>
        <w:tc>
          <w:tcPr>
            <w:tcW w:w="2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Directo</w:t>
            </w:r>
          </w:p>
        </w:tc>
      </w:tr>
      <w:tr>
        <w:trPr/>
        <w:tc>
          <w:tcPr>
            <w:tcW w:w="11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MODIS</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LC_Type1</w:t>
            </w:r>
          </w:p>
        </w:tc>
        <w:tc>
          <w:tcPr>
            <w:tcW w:w="21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fact_cobertura_vegetal_anual</w:t>
            </w:r>
          </w:p>
        </w:tc>
        <w:tc>
          <w:tcPr>
            <w:tcW w:w="1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cobertura_key</w:t>
            </w:r>
          </w:p>
        </w:tc>
        <w:tc>
          <w:tcPr>
            <w:tcW w:w="24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Moda por celda</w:t>
            </w:r>
          </w:p>
        </w:tc>
      </w:tr>
      <w:tr>
        <w:trPr/>
        <w:tc>
          <w:tcPr>
            <w:tcW w:w="1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ETL logs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metadata</w:t>
            </w:r>
          </w:p>
        </w:tc>
        <w:tc>
          <w:tcPr>
            <w:tcW w:w="2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MongoDB.ejecuciones_etl</w:t>
            </w:r>
          </w:p>
        </w:tc>
        <w:tc>
          <w:tcPr>
            <w:tcW w:w="1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documento completo</w:t>
            </w:r>
          </w:p>
        </w:tc>
        <w:tc>
          <w:tcPr>
            <w:tcW w:w="24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JSON</w:t>
            </w:r>
          </w:p>
        </w:tc>
      </w:tr>
    </w:tbl>
    <w:p>
      <w:pPr>
        <w:pStyle w:val="Normal"/>
        <w:spacing w:before="0" w:after="240"/>
        <w:jc w:val="center"/>
        <w:rPr/>
      </w:pPr>
      <w:r>
        <w:rPr>
          <w:rFonts w:eastAsia="Arial" w:cs="Arial"/>
          <w:i/>
          <w:iCs/>
          <w:color w:val="555555"/>
          <w:sz w:val="20"/>
          <w:szCs w:val="20"/>
        </w:rPr>
        <w:t>Tabla 15. Mapeo fuente-destino.</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15. El mapeo fuente-destino es la especificación operativa del ETL: indica, campo por campo, cómo cada atributo de origen se traduce al esquema dimensional MySQL. Las transformaciones incluyen cambios de unidad, reasignación a la grilla común, agregaciones por día o mes y cálculos derivados (por ejemplo, el índice de riesgo meteorológico).</w:t>
      </w:r>
    </w:p>
    <w:tbl>
      <w:tblPr>
        <w:tblW w:w="8788" w:type="dxa"/>
        <w:jc w:val="start"/>
        <w:tblInd w:w="0" w:type="dxa"/>
        <w:tblLayout w:type="fixed"/>
        <w:tblCellMar>
          <w:top w:w="60" w:type="dxa"/>
          <w:start w:w="100" w:type="dxa"/>
          <w:bottom w:w="60" w:type="dxa"/>
          <w:end w:w="100" w:type="dxa"/>
        </w:tblCellMar>
      </w:tblPr>
      <w:tblGrid>
        <w:gridCol w:w="299"/>
        <w:gridCol w:w="2201"/>
        <w:gridCol w:w="900"/>
        <w:gridCol w:w="5388"/>
      </w:tblGrid>
      <w:tr>
        <w:trPr/>
        <w:tc>
          <w:tcPr>
            <w:tcW w:w="2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w:t>
            </w:r>
          </w:p>
        </w:tc>
        <w:tc>
          <w:tcPr>
            <w:tcW w:w="22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Conflicto</w:t>
            </w:r>
          </w:p>
        </w:tc>
        <w:tc>
          <w:tcPr>
            <w:tcW w:w="9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Tipo</w:t>
            </w:r>
          </w:p>
        </w:tc>
        <w:tc>
          <w:tcPr>
            <w:tcW w:w="5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Resolución</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C1</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Granularidad temporal heterogénea (diaria / mensual / anual)</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Esquema</w:t>
            </w:r>
          </w:p>
        </w:tc>
        <w:tc>
          <w:tcPr>
            <w:tcW w:w="5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Facts separadas por granularidad; JOINs vía dim_tiempo</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C2</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Resolución espacial 375 m vs. 0,25° vs. 0,05°</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Esquema</w:t>
            </w:r>
          </w:p>
        </w:tc>
        <w:tc>
          <w:tcPr>
            <w:tcW w:w="5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Grilla universal 0,25° con FLOOR(coord/0,25)·0,25</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C3</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Formatos: JSON, CSV, GeoTIFF</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Formato</w:t>
            </w:r>
          </w:p>
        </w:tc>
        <w:tc>
          <w:tcPr>
            <w:tcW w:w="5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Módulos de ingesta específicos (requests, pandas, rasterio)</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C4</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confidence string vs. numérico (FIRMS)</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Tipo</w:t>
            </w:r>
          </w:p>
        </w:tc>
        <w:tc>
          <w:tcPr>
            <w:tcW w:w="5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Normalizar 0-100: low→25, nominal→50, high→85</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C5</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Zonas horarias UTC vs. local</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Semántico</w:t>
            </w:r>
          </w:p>
        </w:tc>
        <w:tc>
          <w:tcPr>
            <w:tcW w:w="5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Todo en UTC; conversión solo en capa de visualización</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C6</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57,4% nulos en CAMS</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Calidad</w:t>
            </w:r>
          </w:p>
        </w:tc>
        <w:tc>
          <w:tcPr>
            <w:tcW w:w="5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Excluir dust/uv_index; imputar NO2 si nulos ≤ 20%</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C7</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Cobertura temporal desigual (2001+/2012+/2015+)</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Cobertura</w:t>
            </w:r>
          </w:p>
        </w:tc>
        <w:tc>
          <w:tcPr>
            <w:tcW w:w="5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Período común 2018-2025</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C8</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Sin campo país en FIRMS</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Semántico</w:t>
            </w:r>
          </w:p>
        </w:tc>
        <w:tc>
          <w:tcPr>
            <w:tcW w:w="5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Reverse geocoding contra shapefile de límites</w:t>
            </w:r>
          </w:p>
        </w:tc>
      </w:tr>
      <w:tr>
        <w:trPr/>
        <w:tc>
          <w:tcPr>
            <w:tcW w:w="2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C9</w:t>
            </w:r>
          </w:p>
        </w:tc>
        <w:tc>
          <w:tcPr>
            <w:tcW w:w="22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Duplicados MODIS/VIIRS por solapamiento</w:t>
            </w:r>
          </w:p>
        </w:tc>
        <w:tc>
          <w:tcPr>
            <w:tcW w:w="9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Calidad</w:t>
            </w:r>
          </w:p>
        </w:tc>
        <w:tc>
          <w:tcPr>
            <w:tcW w:w="5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Dedup ±30 min, conservar mayor confidence</w:t>
            </w:r>
          </w:p>
        </w:tc>
      </w:tr>
      <w:tr>
        <w:trPr/>
        <w:tc>
          <w:tcPr>
            <w:tcW w:w="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C10</w:t>
            </w:r>
          </w:p>
        </w:tc>
        <w:tc>
          <w:tcPr>
            <w:tcW w:w="2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Latencia de publicación variable</w:t>
            </w:r>
          </w:p>
        </w:tc>
        <w:tc>
          <w:tcPr>
            <w:tcW w:w="9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Temporal</w:t>
            </w:r>
          </w:p>
        </w:tc>
        <w:tc>
          <w:tcPr>
            <w:tcW w:w="5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CDC de 7 días + reprocesamiento automático</w:t>
            </w:r>
          </w:p>
        </w:tc>
      </w:tr>
    </w:tbl>
    <w:p>
      <w:pPr>
        <w:pStyle w:val="Normal"/>
        <w:spacing w:before="0" w:after="240"/>
        <w:jc w:val="center"/>
        <w:rPr/>
      </w:pPr>
      <w:r>
        <w:rPr>
          <w:rFonts w:eastAsia="Arial" w:cs="Arial"/>
          <w:i/>
          <w:iCs/>
          <w:color w:val="555555"/>
          <w:sz w:val="20"/>
          <w:szCs w:val="20"/>
        </w:rPr>
        <w:t>Tabla 16. Conflictos de integración y resolución.</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16. Se listan los conflictos observados durante la integración —diferencias de proyección geográfica, saltos de calendario, encodings inconsistentes, unidades dispares, duplicados por solapamiento de satélites— y para cada uno se declara el criterio de resolución adoptado. Esta tabla permite auditar las decisiones de integración y reproducir el ETL sin ambigüedad.</w:t>
      </w:r>
    </w:p>
    <w:p>
      <w:pPr>
        <w:pStyle w:val="Normal"/>
        <w:spacing w:lineRule="auto" w:line="360" w:before="0" w:after="120"/>
        <w:jc w:val="both"/>
        <w:rPr/>
      </w:pPr>
      <w:r>
        <w:rPr>
          <w:rFonts w:eastAsia="Arial" w:cs="Arial"/>
          <w:sz w:val="22"/>
          <w:szCs w:val="22"/>
        </w:rPr>
        <w:t>La Figura 2 traduce las decisiones anteriores en un diagrama entidad-relación extendido (ER/EER). Las dimensiones conformadas dim_tiempo, dim_pais, dim_grilla y dim_cobertura se comparten entre los hechos correspondientes; cada hecho se asocia al subconjunto de dimensiones que corresponde a su granularidad (diaria, mensual o anual).</w:t>
      </w:r>
    </w:p>
    <w:p>
      <w:pPr>
        <w:pStyle w:val="Normal"/>
        <w:spacing w:before="200" w:after="80"/>
        <w:jc w:val="center"/>
        <w:rPr/>
      </w:pPr>
      <w:r>
        <w:rPr/>
        <w:drawing>
          <wp:inline distT="0" distB="0" distL="0" distR="0">
            <wp:extent cx="7429500" cy="5000625"/>
            <wp:effectExtent l="0" t="0" r="0" b="0"/>
            <wp:docPr id="2" name="Diagrama ER/EER del modelo integrado de destino" descr="Diagrama ER/EER del modelo integrado de destino" title="Diagrama ER/EER del modelo integrado de dest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ER/EER del modelo integrado de destino" descr="Diagrama ER/EER del modelo integrado de destino" title="Diagrama ER/EER del modelo integrado de destino"/>
                    <pic:cNvPicPr>
                      <a:picLocks noChangeAspect="1" noChangeArrowheads="1"/>
                    </pic:cNvPicPr>
                  </pic:nvPicPr>
                  <pic:blipFill>
                    <a:blip r:embed="rId9"/>
                    <a:stretch>
                      <a:fillRect/>
                    </a:stretch>
                  </pic:blipFill>
                  <pic:spPr bwMode="auto">
                    <a:xfrm>
                      <a:off x="0" y="0"/>
                      <a:ext cx="7429500" cy="5000625"/>
                    </a:xfrm>
                    <a:prstGeom prst="rect">
                      <a:avLst/>
                    </a:prstGeom>
                    <a:noFill/>
                  </pic:spPr>
                </pic:pic>
              </a:graphicData>
            </a:graphic>
          </wp:inline>
        </w:drawing>
      </w:r>
    </w:p>
    <w:p>
      <w:pPr>
        <w:pStyle w:val="Normal"/>
        <w:spacing w:before="0" w:after="240"/>
        <w:jc w:val="center"/>
        <w:rPr/>
      </w:pPr>
      <w:r>
        <w:rPr>
          <w:rFonts w:eastAsia="Arial" w:cs="Arial"/>
          <w:i/>
          <w:iCs/>
          <w:color w:val="555555"/>
          <w:sz w:val="20"/>
          <w:szCs w:val="20"/>
        </w:rPr>
        <w:t>Figura 2. Diagrama ER/EER del modelo integrado de destino.</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Figura 2. El diagrama ER/EER presenta las entidades fuertes del modelo integrado con sus identificadores, atributos y cardinalidades, más las relaciones de especialización necesarias (por ejemplo, el nivel temporal de la dimensión tiempo). Este modelo conceptual es el puente entre el análisis de requerimientos y el esquema estrella físico que se implementa en MySQL.</w:t>
      </w:r>
    </w:p>
    <w:p>
      <w:pPr>
        <w:pStyle w:val="Heading3"/>
        <w:spacing w:lineRule="auto" w:line="360" w:before="240" w:after="120"/>
        <w:rPr/>
      </w:pPr>
      <w:r>
        <w:rPr>
          <w:rFonts w:eastAsia="Arial" w:cs="Arial" w:ascii="Arial" w:hAnsi="Arial"/>
          <w:b/>
          <w:bCs/>
          <w:color w:val="404040"/>
          <w:sz w:val="24"/>
          <w:szCs w:val="24"/>
        </w:rPr>
        <w:t>4.2.1 Modelo relacional como Data Warehouse</w:t>
      </w:r>
    </w:p>
    <w:p>
      <w:pPr>
        <w:pStyle w:val="Normal"/>
        <w:spacing w:lineRule="auto" w:line="360" w:before="0" w:after="120"/>
        <w:jc w:val="both"/>
        <w:rPr/>
      </w:pPr>
      <w:r>
        <w:rPr>
          <w:rFonts w:eastAsia="Arial" w:cs="Arial"/>
          <w:sz w:val="22"/>
          <w:szCs w:val="22"/>
        </w:rPr>
        <w:t>El modelo relacional del proyecto cumple rol de Data Warehouse. La guía de EC2 señala de manera explícita que el modelo relacional se diseña en coherencia con el rol analítico ya definido en la arquitectura preliminar y que, por tanto, debe priorizar el rendimiento en consultas y la preservación del histórico (Kimball &amp; Ross, 2013). Esto implica que el modelo no se evalúa como un esquema OLTP tradicional, sino como un repositorio analítico diseñado para agregaciones, drill-down temporal y cálculo de KPIs.</w:t>
      </w:r>
    </w:p>
    <w:p>
      <w:pPr>
        <w:pStyle w:val="Normal"/>
        <w:spacing w:lineRule="auto" w:line="360" w:before="0" w:after="120"/>
        <w:jc w:val="both"/>
        <w:rPr/>
      </w:pPr>
      <w:r>
        <w:rPr>
          <w:rFonts w:eastAsia="Arial" w:cs="Arial"/>
          <w:sz w:val="22"/>
          <w:szCs w:val="22"/>
        </w:rPr>
        <w:t>En términos de normalización, las dimensiones cumplen tercera forma normal. Sin embargo, el esquema global adopta una desnormalización controlada, consistente con la lógica estrella. La propia guía advierte que una desnormalización justificada puede ser preferible a una normalización excesiva si el objetivo central del sistema es facilitar la consulta y no optimizar escritura transaccional (Kimball &amp; Ross, 2013).</w:t>
      </w:r>
    </w:p>
    <w:p>
      <w:pPr>
        <w:pStyle w:val="Heading3"/>
        <w:spacing w:lineRule="auto" w:line="360" w:before="240" w:after="120"/>
        <w:rPr/>
      </w:pPr>
      <w:r>
        <w:rPr>
          <w:rFonts w:eastAsia="Arial" w:cs="Arial" w:ascii="Arial" w:hAnsi="Arial"/>
          <w:b/>
          <w:bCs/>
          <w:color w:val="404040"/>
          <w:sz w:val="24"/>
          <w:szCs w:val="24"/>
        </w:rPr>
        <w:t>4.2.2 Justificación de MySQL como repositorio relacional</w:t>
      </w:r>
    </w:p>
    <w:p>
      <w:pPr>
        <w:pStyle w:val="Normal"/>
        <w:spacing w:lineRule="auto" w:line="360" w:before="0" w:after="120"/>
        <w:jc w:val="both"/>
        <w:rPr/>
      </w:pPr>
      <w:r>
        <w:rPr>
          <w:rFonts w:eastAsia="Arial" w:cs="Arial"/>
          <w:sz w:val="22"/>
          <w:szCs w:val="22"/>
        </w:rPr>
        <w:t>La elección de MySQL responde a criterios de estabilidad, madurez, disponibilidad y capacidad suficiente para un Data Warehouse de mediana escala. La documentación oficial de MySQL describe el motor como un sistema relacional con soporte para estructuras tabulares, índices, particionamiento y replicación (MySQL, s. f.-a); en particular, la sección dedicada a replicación señala que esta “permite copiar datos desde un servidor fuente hacia uno o más servidores réplica” (MySQL, s. f.-b), lo que permite proyectar continuidad del servicio y respaldo estructurado del repositorio analítico. En el marco del proyecto, MySQL se utiliza para almacenar hechos y dimensiones, gestionar índices y sostener consultas agregadas que luego alimentarán KPIs y visualizaciones.</w:t>
      </w:r>
    </w:p>
    <w:p>
      <w:pPr>
        <w:pStyle w:val="Normal"/>
        <w:spacing w:lineRule="auto" w:line="360" w:before="0" w:after="120"/>
        <w:jc w:val="both"/>
        <w:rPr/>
      </w:pPr>
      <w:r>
        <w:rPr>
          <w:rFonts w:eastAsia="Arial" w:cs="Arial"/>
          <w:sz w:val="22"/>
          <w:szCs w:val="22"/>
        </w:rPr>
        <w:t>El diseño físico se realiza en MySQL Workbench, herramienta oficial de modelado y administración que permite generar el script DDL de forma reproducible. La Figura 3 muestra el esquema estrella resultante y el siguiente bloque presenta el DDL íntegro en sintaxis MySQL 8.4.</w:t>
      </w:r>
    </w:p>
    <w:p>
      <w:pPr>
        <w:pStyle w:val="Normal"/>
        <w:spacing w:before="200" w:after="80"/>
        <w:jc w:val="center"/>
        <w:rPr/>
      </w:pPr>
      <w:r>
        <w:rPr/>
        <w:drawing>
          <wp:inline distT="0" distB="0" distL="0" distR="0">
            <wp:extent cx="7429500" cy="3238500"/>
            <wp:effectExtent l="0" t="0" r="0" b="0"/>
            <wp:docPr id="3" name="Esquema estrella del Data Warehouse (MySQL)" descr="Esquema estrella del Data Warehouse (MySQL)" title="Esquema estrella del Data Warehouse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quema estrella del Data Warehouse (MySQL)" descr="Esquema estrella del Data Warehouse (MySQL)" title="Esquema estrella del Data Warehouse (MySQL)"/>
                    <pic:cNvPicPr>
                      <a:picLocks noChangeAspect="1" noChangeArrowheads="1"/>
                    </pic:cNvPicPr>
                  </pic:nvPicPr>
                  <pic:blipFill>
                    <a:blip r:embed="rId10"/>
                    <a:stretch>
                      <a:fillRect/>
                    </a:stretch>
                  </pic:blipFill>
                  <pic:spPr bwMode="auto">
                    <a:xfrm>
                      <a:off x="0" y="0"/>
                      <a:ext cx="7429500" cy="3238500"/>
                    </a:xfrm>
                    <a:prstGeom prst="rect">
                      <a:avLst/>
                    </a:prstGeom>
                    <a:noFill/>
                  </pic:spPr>
                </pic:pic>
              </a:graphicData>
            </a:graphic>
          </wp:inline>
        </w:drawing>
      </w:r>
    </w:p>
    <w:p>
      <w:pPr>
        <w:pStyle w:val="Normal"/>
        <w:spacing w:before="0" w:after="240"/>
        <w:jc w:val="center"/>
        <w:rPr/>
      </w:pPr>
      <w:r>
        <w:rPr>
          <w:rFonts w:eastAsia="Arial" w:cs="Arial"/>
          <w:i/>
          <w:iCs/>
          <w:color w:val="555555"/>
          <w:sz w:val="20"/>
          <w:szCs w:val="20"/>
        </w:rPr>
        <w:t>Figura 3. Esquema estrella del Data Warehouse (MySQL).</w:t>
      </w:r>
    </w:p>
    <w:p>
      <w:pPr>
        <w:pStyle w:val="Normal"/>
        <w:spacing w:before="0" w:after="200"/>
        <w:jc w:val="center"/>
        <w:rPr/>
      </w:pPr>
      <w:r>
        <w:rPr>
          <w:rFonts w:eastAsia="Arial" w:cs="Arial"/>
          <w:i/>
          <w:iCs/>
          <w:color w:val="777777"/>
          <w:sz w:val="18"/>
          <w:szCs w:val="18"/>
        </w:rPr>
        <w:t>Fuente: Elaboración propia con MySQL Workbench.</w:t>
      </w:r>
    </w:p>
    <w:p>
      <w:pPr>
        <w:pStyle w:val="Normal"/>
        <w:spacing w:lineRule="auto" w:line="360" w:before="0" w:after="120"/>
        <w:jc w:val="both"/>
        <w:rPr/>
      </w:pPr>
      <w:r>
        <w:rPr>
          <w:rFonts w:eastAsia="Arial" w:cs="Arial"/>
          <w:sz w:val="22"/>
          <w:szCs w:val="22"/>
        </w:rPr>
        <w:t>Interpretación de la Figura 3. El esquema estrella muestra las cinco tablas de hechos (fact_incendios_diario, fact_meteorologia_diaria, fact_calidad_aire_diaria, fact_precipitacion_mensual y fact_cobertura_vegetal_anual) rodeando a las dimensiones conformadas (dim_tiempo, dim_pais, dim_grilla, dim_cobertura). La estructura está optimizada para consultas agregadas de tipo OLAP: cada pregunta analítica se resuelve con un único hecho y uno o dos joins con dimensiones, minimizando la complejidad del plan de ejecución.</w:t>
      </w:r>
    </w:p>
    <w:p>
      <w:pPr>
        <w:pStyle w:val="Normal"/>
        <w:spacing w:lineRule="auto" w:line="360" w:before="0" w:after="120"/>
        <w:jc w:val="both"/>
        <w:rPr/>
      </w:pPr>
      <w:r>
        <w:rPr>
          <w:rFonts w:eastAsia="Arial" w:cs="Arial"/>
          <w:b/>
          <w:bCs/>
          <w:sz w:val="22"/>
          <w:szCs w:val="22"/>
        </w:rPr>
        <w:t xml:space="preserve">DDL del modelo relacional (MySQL 8.0 · InnoDB · utf8mb4). </w:t>
      </w:r>
      <w:r>
        <w:rPr>
          <w:rFonts w:eastAsia="Arial" w:cs="Arial"/>
          <w:sz w:val="22"/>
          <w:szCs w:val="22"/>
        </w:rPr>
        <w:t>El script completo se incluye en el Anexo A y se ejecuta sobre la base sinia_sa_dw. Crea las cuatro dimensiones conformadas (dim_tiempo, dim_pais, dim_grilla, dim_cobertura), las cinco tablas de hechos (fact_incendios_diario, fact_meteorologia_diaria, fact_calidad_aire_diaria, fact_precipitacion_mensual, fact_cobertura_vegetal_anual), las claves foráneas, las restricciones CHECK, los índices secundarios orientados a las consultas P1–P11 y cuatro vistas analíticas. Las restricciones de integridad referencial, las claves únicas compuestas (tiempo, grilla, país) y el motor InnoDB aseguran idempotencia en las cargas y consistencia transaccional.</w:t>
      </w:r>
    </w:p>
    <w:p>
      <w:pPr>
        <w:pStyle w:val="Normal"/>
        <w:spacing w:before="0" w:after="30"/>
        <w:rPr/>
      </w:pPr>
      <w:r>
        <w:rPr>
          <w:rFonts w:eastAsia="Courier New" w:cs="Courier New" w:ascii="Courier New" w:hAnsi="Courier New"/>
          <w:sz w:val="19"/>
          <w:szCs w:val="19"/>
        </w:rPr>
        <w:t>-- ============================================================</w:t>
      </w:r>
    </w:p>
    <w:p>
      <w:pPr>
        <w:pStyle w:val="Normal"/>
        <w:spacing w:before="0" w:after="30"/>
        <w:rPr/>
      </w:pPr>
      <w:r>
        <w:rPr>
          <w:rFonts w:eastAsia="Courier New" w:cs="Courier New" w:ascii="Courier New" w:hAnsi="Courier New"/>
          <w:sz w:val="19"/>
          <w:szCs w:val="19"/>
        </w:rPr>
        <w:t>-- DDL — Data Warehouse sinia_sa_dw (MySQL 8.0 / InnoDB / utf8mb4)</w:t>
      </w:r>
    </w:p>
    <w:p>
      <w:pPr>
        <w:pStyle w:val="Normal"/>
        <w:spacing w:before="0" w:after="30"/>
        <w:rPr/>
      </w:pPr>
      <w:r>
        <w:rPr>
          <w:rFonts w:eastAsia="Courier New" w:cs="Courier New" w:ascii="Courier New" w:hAnsi="Courier New"/>
          <w:sz w:val="19"/>
          <w:szCs w:val="19"/>
        </w:rPr>
        <w:t>-- Proyecto LIDIA 2026 — Quevedo, Ferreira, Vera</w:t>
      </w:r>
    </w:p>
    <w:p>
      <w:pPr>
        <w:pStyle w:val="Normal"/>
        <w:spacing w:before="0" w:after="30"/>
        <w:rPr/>
      </w:pPr>
      <w:r>
        <w:rPr>
          <w:rFonts w:eastAsia="Courier New" w:cs="Courier New" w:ascii="Courier New" w:hAnsi="Courier New"/>
          <w:sz w:val="19"/>
          <w:szCs w:val="19"/>
        </w:rPr>
        <w:t>-- El script íntegro se encuentra en el Anexo A.</w:t>
      </w:r>
    </w:p>
    <w:p>
      <w:pPr>
        <w:pStyle w:val="Normal"/>
        <w:spacing w:before="0" w:after="30"/>
        <w:rPr/>
      </w:pPr>
      <w:r>
        <w:rPr>
          <w:rFonts w:eastAsia="Courier New" w:cs="Courier New" w:ascii="Courier New" w:hAnsi="Courier New"/>
          <w:sz w:val="19"/>
          <w:szCs w:val="19"/>
        </w:rPr>
        <w:t>-- ============================================================</w:t>
      </w:r>
    </w:p>
    <w:p>
      <w:pPr>
        <w:pStyle w:val="Normal"/>
        <w:spacing w:before="0" w:after="30"/>
        <w:rPr/>
      </w:pPr>
      <w:r>
        <w:rPr>
          <w:rFonts w:eastAsia="Courier New" w:cs="Courier New" w:ascii="Courier New" w:hAnsi="Courier New"/>
          <w:sz w:val="19"/>
          <w:szCs w:val="19"/>
        </w:rPr>
        <w:t>CREATE DATABASE IF NOT EXISTS sinia_sa_dw</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DEFAULT CHARACTER SET utf8mb4 COLLATE utf8mb4_unicode_ci;</w:t>
      </w:r>
    </w:p>
    <w:p>
      <w:pPr>
        <w:pStyle w:val="Normal"/>
        <w:spacing w:before="0" w:after="30"/>
        <w:rPr/>
      </w:pPr>
      <w:r>
        <w:rPr>
          <w:rFonts w:eastAsia="Courier New" w:cs="Courier New" w:ascii="Courier New" w:hAnsi="Courier New"/>
          <w:sz w:val="19"/>
          <w:szCs w:val="19"/>
        </w:rPr>
        <w:t>USE sinia_sa_dw;</w:t>
      </w:r>
    </w:p>
    <w:p>
      <w:pPr>
        <w:pStyle w:val="Normal"/>
        <w:spacing w:before="0" w:after="30"/>
        <w:rPr/>
      </w:pPr>
      <w:r>
        <w:rPr/>
      </w:r>
    </w:p>
    <w:p>
      <w:pPr>
        <w:pStyle w:val="Normal"/>
        <w:spacing w:before="0" w:after="30"/>
        <w:rPr/>
      </w:pPr>
      <w:r>
        <w:rPr>
          <w:rFonts w:eastAsia="Courier New" w:cs="Courier New" w:ascii="Courier New" w:hAnsi="Courier New"/>
          <w:sz w:val="19"/>
          <w:szCs w:val="19"/>
        </w:rPr>
        <w:t>-- Dimensiones conformadas (4)</w:t>
      </w:r>
    </w:p>
    <w:p>
      <w:pPr>
        <w:pStyle w:val="Normal"/>
        <w:spacing w:before="0" w:after="30"/>
        <w:rPr/>
      </w:pPr>
      <w:r>
        <w:rPr>
          <w:rFonts w:eastAsia="Courier New" w:cs="Courier New" w:ascii="Courier New" w:hAnsi="Courier New"/>
          <w:sz w:val="19"/>
          <w:szCs w:val="19"/>
        </w:rPr>
        <w:t>CREATE TABLE dim_tiempo     ( tiempo_key INT PRIMARY KEY, fecha DATE NOT NULL UNIQUE, anio SMALLINT, mes SMALLINT, trimestre SMALLINT, dia_semana SMALLINT, es_fin_semana BOOLEAN ) ENGINE=InnoDB;</w:t>
      </w:r>
    </w:p>
    <w:p>
      <w:pPr>
        <w:pStyle w:val="Normal"/>
        <w:spacing w:before="0" w:after="30"/>
        <w:rPr/>
      </w:pPr>
      <w:r>
        <w:rPr>
          <w:rFonts w:eastAsia="Courier New" w:cs="Courier New" w:ascii="Courier New" w:hAnsi="Courier New"/>
          <w:sz w:val="19"/>
          <w:szCs w:val="19"/>
        </w:rPr>
        <w:t>CREATE TABLE dim_pais       ( pais_key SMALLINT AUTO_INCREMENT PRIMARY KEY, codigo_iso3 CHAR(3) UNIQUE, codigo_iso2 CHAR(2), nombre_pais VARCHAR(100) NOT NULL ) ENGINE=InnoDB;</w:t>
      </w:r>
    </w:p>
    <w:p>
      <w:pPr>
        <w:pStyle w:val="Normal"/>
        <w:spacing w:before="0" w:after="30"/>
        <w:rPr/>
      </w:pPr>
      <w:r>
        <w:rPr>
          <w:rFonts w:eastAsia="Courier New" w:cs="Courier New" w:ascii="Courier New" w:hAnsi="Courier New"/>
          <w:sz w:val="19"/>
          <w:szCs w:val="19"/>
        </w:rPr>
        <w:t>CREATE TABLE dim_grilla     ( grilla_key INT AUTO_INCREMENT PRIMARY KEY, lat_centro DECIMAL(6,3), lon_centro DECIMAL(6,3), celda_id CHAR(12) UNIQUE, pais_dominante_key SMALLINT, porcentaje_tierra DECIMAL(5,2), CONSTRAINT fk_dim_grilla_pais FOREIGN KEY (pais_dominante_key) REFERENCES dim_pais(pais_key) ) ENGINE=InnoDB;</w:t>
      </w:r>
    </w:p>
    <w:p>
      <w:pPr>
        <w:pStyle w:val="Normal"/>
        <w:spacing w:before="0" w:after="30"/>
        <w:rPr/>
      </w:pPr>
      <w:r>
        <w:rPr>
          <w:rFonts w:eastAsia="Courier New" w:cs="Courier New" w:ascii="Courier New" w:hAnsi="Courier New"/>
          <w:sz w:val="19"/>
          <w:szCs w:val="19"/>
        </w:rPr>
        <w:t>CREATE TABLE dim_cobertura  ( cobertura_key SMALLINT AUTO_INCREMENT PRIMARY KEY, codigo_igbp SMALLINT UNIQUE, descripcion VARCHAR(120), grupo_combustible VARCHAR(40), indice_inflamabilidad DECIMAL(3,2) ) ENGINE=InnoDB;</w:t>
      </w:r>
    </w:p>
    <w:p>
      <w:pPr>
        <w:pStyle w:val="Normal"/>
        <w:spacing w:before="0" w:after="30"/>
        <w:rPr/>
      </w:pPr>
      <w:r>
        <w:rPr/>
      </w:r>
    </w:p>
    <w:p>
      <w:pPr>
        <w:pStyle w:val="Normal"/>
        <w:spacing w:before="0" w:after="30"/>
        <w:rPr/>
      </w:pPr>
      <w:r>
        <w:rPr>
          <w:rFonts w:eastAsia="Courier New" w:cs="Courier New" w:ascii="Courier New" w:hAnsi="Courier New"/>
          <w:sz w:val="19"/>
          <w:szCs w:val="19"/>
        </w:rPr>
        <w:t>-- Tablas de hechos (5) — todas con FK a dim_tiempo, dim_grilla y dim_pais</w:t>
      </w:r>
    </w:p>
    <w:p>
      <w:pPr>
        <w:pStyle w:val="Normal"/>
        <w:spacing w:before="0" w:after="30"/>
        <w:rPr/>
      </w:pPr>
      <w:r>
        <w:rPr>
          <w:rFonts w:eastAsia="Courier New" w:cs="Courier New" w:ascii="Courier New" w:hAnsi="Courier New"/>
          <w:sz w:val="19"/>
          <w:szCs w:val="19"/>
        </w:rPr>
        <w:t>CREATE TABLE fact_incendios_diario         ( tiempo_key INT NOT NULL, grilla_key INT NOT NULL, pais_key SMALLINT, cantidad_focos INT NOT NULL, frp_promedio_mw DECIMAL(8,2), frp_max_mw DECIMAL(8,2), brightness_prom DECIMAL(6,2), confianza_promedio DECIMAL(5,2), lote_hash CHAR(64), cargado_en TIMESTAMP DEFAULT CURRENT_TIMESTAMP, PRIMARY KEY (tiempo_key, grilla_key), /* FKs + CHECK + particionamiento por año */ ... ) ENGINE=InnoDB;</w:t>
      </w:r>
    </w:p>
    <w:p>
      <w:pPr>
        <w:pStyle w:val="Normal"/>
        <w:spacing w:before="0" w:after="30"/>
        <w:rPr/>
      </w:pPr>
      <w:r>
        <w:rPr>
          <w:rFonts w:eastAsia="Courier New" w:cs="Courier New" w:ascii="Courier New" w:hAnsi="Courier New"/>
          <w:sz w:val="19"/>
          <w:szCs w:val="19"/>
        </w:rPr>
        <w:t>CREATE TABLE fact_meteorologia_diaria      ( tiempo_key INT NOT NULL, grilla_key INT NOT NULL, pais_key SMALLINT, temp_prom DECIMAL(5,2), temp_min DECIMAL(5,2), temp_max DECIMAL(5,2), humedad_prom DECIMAL(5,2), viento_prom DECIMAL(6,2), indice_riesgo DECIMAL(3,2), lote_hash CHAR(64), PRIMARY KEY (tiempo_key, grilla_key) ) ENGINE=InnoDB;</w:t>
      </w:r>
    </w:p>
    <w:p>
      <w:pPr>
        <w:pStyle w:val="Normal"/>
        <w:spacing w:before="0" w:after="30"/>
        <w:rPr/>
      </w:pPr>
      <w:r>
        <w:rPr>
          <w:rFonts w:eastAsia="Courier New" w:cs="Courier New" w:ascii="Courier New" w:hAnsi="Courier New"/>
          <w:sz w:val="19"/>
          <w:szCs w:val="19"/>
        </w:rPr>
        <w:t>CREATE TABLE fact_calidad_aire_diaria      ( tiempo_key INT NOT NULL, grilla_key INT NOT NULL, pais_key SMALLINT, pm25_promedio DECIMAL(7,2), pm10_promedio DECIMAL(7,2), aod_promedio DECIMAL(6,4), no2_promedio DECIMAL(7,2), supera_umbral_oms_pm10 BOOLEAN, horas_validas SMALLINT, PRIMARY KEY (tiempo_key, grilla_key) ) ENGINE=InnoDB;</w:t>
      </w:r>
    </w:p>
    <w:p>
      <w:pPr>
        <w:pStyle w:val="Normal"/>
        <w:spacing w:before="0" w:after="30"/>
        <w:rPr/>
      </w:pPr>
      <w:r>
        <w:rPr>
          <w:rFonts w:eastAsia="Courier New" w:cs="Courier New" w:ascii="Courier New" w:hAnsi="Courier New"/>
          <w:sz w:val="19"/>
          <w:szCs w:val="19"/>
        </w:rPr>
        <w:t>CREATE TABLE fact_precipitacion_mensual    ( tiempo_key INT NOT NULL, grilla_key INT NOT NULL, pais_key SMALLINT, precipitacion_mm DECIMAL(7,2), anomalia_pct DECIMAL(7,2), PRIMARY KEY (tiempo_key, grilla_key) ) ENGINE=InnoDB;</w:t>
      </w:r>
    </w:p>
    <w:p>
      <w:pPr>
        <w:pStyle w:val="Normal"/>
        <w:spacing w:before="0" w:after="30"/>
        <w:rPr/>
      </w:pPr>
      <w:r>
        <w:rPr>
          <w:rFonts w:eastAsia="Courier New" w:cs="Courier New" w:ascii="Courier New" w:hAnsi="Courier New"/>
          <w:sz w:val="19"/>
          <w:szCs w:val="19"/>
        </w:rPr>
        <w:t>CREATE TABLE fact_cobertura_vegetal_anual  ( tiempo_key INT NOT NULL, grilla_key INT NOT NULL, pais_key SMALLINT, cobertura_key SMALLINT NOT NULL, es_extrapolado BOOLEAN DEFAULT FALSE, PRIMARY KEY (tiempo_key, grilla_key) ) ENGINE=InnoDB;</w:t>
      </w:r>
    </w:p>
    <w:p>
      <w:pPr>
        <w:pStyle w:val="Normal"/>
        <w:spacing w:before="0" w:after="30"/>
        <w:rPr/>
      </w:pPr>
      <w:r>
        <w:rPr/>
      </w:r>
    </w:p>
    <w:p>
      <w:pPr>
        <w:pStyle w:val="Normal"/>
        <w:spacing w:before="0" w:after="30"/>
        <w:rPr/>
      </w:pPr>
      <w:r>
        <w:rPr>
          <w:rFonts w:eastAsia="Courier New" w:cs="Courier New" w:ascii="Courier New" w:hAnsi="Courier New"/>
          <w:sz w:val="19"/>
          <w:szCs w:val="19"/>
        </w:rPr>
        <w:t>-- Índices orientados a los patrones de consulta P1–P11</w:t>
      </w:r>
    </w:p>
    <w:p>
      <w:pPr>
        <w:pStyle w:val="Normal"/>
        <w:spacing w:before="0" w:after="30"/>
        <w:rPr/>
      </w:pPr>
      <w:r>
        <w:rPr>
          <w:rFonts w:eastAsia="Courier New" w:cs="Courier New" w:ascii="Courier New" w:hAnsi="Courier New"/>
          <w:sz w:val="19"/>
          <w:szCs w:val="19"/>
        </w:rPr>
        <w:t>CREATE INDEX idx_tiempo_anio_mes ON dim_tiempo (anio, mes, fecha);</w:t>
      </w:r>
    </w:p>
    <w:p>
      <w:pPr>
        <w:pStyle w:val="Normal"/>
        <w:spacing w:before="0" w:after="30"/>
        <w:rPr/>
      </w:pPr>
      <w:r>
        <w:rPr>
          <w:rFonts w:eastAsia="Courier New" w:cs="Courier New" w:ascii="Courier New" w:hAnsi="Courier New"/>
          <w:sz w:val="19"/>
          <w:szCs w:val="19"/>
        </w:rPr>
        <w:t>CREATE INDEX idx_grilla_pais     ON dim_grilla (pais_dominante_key, lat_centro, lon_centro);</w:t>
      </w:r>
    </w:p>
    <w:p>
      <w:pPr>
        <w:pStyle w:val="Normal"/>
        <w:spacing w:before="0" w:after="30"/>
        <w:rPr/>
      </w:pPr>
      <w:r>
        <w:rPr>
          <w:rFonts w:eastAsia="Courier New" w:cs="Courier New" w:ascii="Courier New" w:hAnsi="Courier New"/>
          <w:sz w:val="19"/>
          <w:szCs w:val="19"/>
        </w:rPr>
        <w:t>CREATE INDEX idx_inc_pais_tiempo ON fact_incendios_diario    (pais_key, tiempo_key);</w:t>
      </w:r>
    </w:p>
    <w:p>
      <w:pPr>
        <w:pStyle w:val="Normal"/>
        <w:spacing w:before="0" w:after="30"/>
        <w:rPr/>
      </w:pPr>
      <w:r>
        <w:rPr>
          <w:rFonts w:eastAsia="Courier New" w:cs="Courier New" w:ascii="Courier New" w:hAnsi="Courier New"/>
          <w:sz w:val="19"/>
          <w:szCs w:val="19"/>
        </w:rPr>
        <w:t>CREATE INDEX idx_aire_alerta     ON fact_calidad_aire_diaria (supera_umbral_oms_pm10, pais_key);</w:t>
      </w:r>
    </w:p>
    <w:p>
      <w:pPr>
        <w:pStyle w:val="Normal"/>
        <w:spacing w:before="0" w:after="200"/>
        <w:jc w:val="center"/>
        <w:rPr/>
      </w:pPr>
      <w:r>
        <w:rPr>
          <w:rFonts w:eastAsia="Arial" w:cs="Arial"/>
          <w:i/>
          <w:iCs/>
          <w:color w:val="777777"/>
          <w:sz w:val="18"/>
          <w:szCs w:val="18"/>
        </w:rPr>
        <w:t>Fuente: Elaboración propia con base en MySQL (s. f.-a, s. f.-b) y Kimball y Ross (2013). Script íntegro en el Anexo A.</w:t>
      </w:r>
    </w:p>
    <w:p>
      <w:pPr>
        <w:pStyle w:val="Heading2"/>
        <w:spacing w:lineRule="auto" w:line="360" w:before="320" w:after="160"/>
        <w:rPr/>
      </w:pPr>
      <w:r>
        <w:rPr>
          <w:rFonts w:eastAsia="Arial" w:cs="Arial" w:ascii="Arial" w:hAnsi="Arial"/>
          <w:b/>
          <w:bCs/>
          <w:color w:val="2E75B6"/>
          <w:sz w:val="26"/>
          <w:szCs w:val="26"/>
        </w:rPr>
        <w:t>4.3 Arquitectura, ETL, integridad y métricas</w:t>
      </w:r>
    </w:p>
    <w:p>
      <w:pPr>
        <w:pStyle w:val="Heading3"/>
        <w:spacing w:lineRule="auto" w:line="360" w:before="240" w:after="120"/>
        <w:rPr/>
      </w:pPr>
      <w:r>
        <w:rPr>
          <w:rFonts w:eastAsia="Arial" w:cs="Arial" w:ascii="Arial" w:hAnsi="Arial"/>
          <w:b/>
          <w:bCs/>
          <w:color w:val="404040"/>
          <w:sz w:val="24"/>
          <w:szCs w:val="24"/>
        </w:rPr>
        <w:t>4.3.1 Arquitectura detallada</w:t>
      </w:r>
    </w:p>
    <w:p>
      <w:pPr>
        <w:pStyle w:val="Normal"/>
        <w:spacing w:lineRule="auto" w:line="360" w:before="0" w:after="120"/>
        <w:jc w:val="both"/>
        <w:rPr/>
      </w:pPr>
      <w:r>
        <w:rPr>
          <w:rFonts w:eastAsia="Arial" w:cs="Arial"/>
          <w:sz w:val="22"/>
          <w:szCs w:val="22"/>
        </w:rPr>
        <w:t>La arquitectura propuesta se organiza en capas: fuentes, ingesta, staging, transformación, persistencia relacional, persistencia documental y capa analítica. Python actúa como la tubería del sistema, tal como lo establece la consigna del curso, que le asigna el rol principal en extracción, limpieza, transformación, carga y automatización básica. A partir de allí, MySQL se reserva para el modelo estructurado del Data Warehouse y MongoDB para trazabilidad, snapshots, control de CDC y métricas de calidad.</w:t>
      </w:r>
    </w:p>
    <w:p>
      <w:pPr>
        <w:pStyle w:val="Normal"/>
        <w:spacing w:lineRule="auto" w:line="360" w:before="0" w:after="120"/>
        <w:jc w:val="both"/>
        <w:rPr/>
      </w:pPr>
      <w:r>
        <w:rPr>
          <w:rFonts w:eastAsia="Arial" w:cs="Arial"/>
          <w:sz w:val="22"/>
          <w:szCs w:val="22"/>
        </w:rPr>
        <w:t>La documentación oficial de MySQL señala que la replicación “permite copiar datos desde un servidor fuente hacia uno o más servidores réplica” (MySQL, s. f.-b), lo que justifica proyectar una arquitectura primaria-réplica para continuidad del servicio. A su vez, MongoDB define los replica sets como grupos de instancias que mantienen el mismo conjunto de datos (MongoDB, s. f.-a) y ofrece sharding como estrategia de escalado horizontal (MongoDB, s. f.-d). Estas capacidades se integran al diseño de la arquitectura detallada del proyecto.</w:t>
      </w:r>
    </w:p>
    <w:p>
      <w:pPr>
        <w:pStyle w:val="Normal"/>
        <w:spacing w:lineRule="auto" w:line="360" w:before="0" w:after="120"/>
        <w:jc w:val="both"/>
        <w:rPr/>
      </w:pPr>
      <w:r>
        <w:rPr>
          <w:rFonts w:eastAsia="Arial" w:cs="Arial"/>
          <w:sz w:val="22"/>
          <w:szCs w:val="22"/>
        </w:rPr>
        <w:t>La capa analítica se implementará con Streamlit, cuya documentación oficial lo describe como un framework en Python orientado a construir aplicaciones de datos dinámicas con pocas líneas de código (Streamlit, s. f.-a, s. f.-b). Esto resulta coherente con su uso previsto en el proyecto: presentar KPIs, gráficos temporales, comparaciones espaciales y trazabilidad del pipeline en una interfaz accesible. La Figura 4 ilustra el flujo completo de datos y los componentes implicados.</w:t>
      </w:r>
    </w:p>
    <w:p>
      <w:pPr>
        <w:pStyle w:val="Normal"/>
        <w:spacing w:before="200" w:after="80"/>
        <w:jc w:val="center"/>
        <w:rPr/>
      </w:pPr>
      <w:r>
        <w:rPr/>
        <w:drawing>
          <wp:inline distT="0" distB="0" distL="0" distR="0">
            <wp:extent cx="7429500" cy="6334125"/>
            <wp:effectExtent l="0" t="0" r="0" b="0"/>
            <wp:docPr id="4" name="Arquitectura detallada con flujo de datos y componentes" descr="Arquitectura detallada con flujo de datos y componentes" title="Arquitectura detallada con flujo de datos y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quitectura detallada con flujo de datos y componentes" descr="Arquitectura detallada con flujo de datos y componentes" title="Arquitectura detallada con flujo de datos y componentes"/>
                    <pic:cNvPicPr>
                      <a:picLocks noChangeAspect="1" noChangeArrowheads="1"/>
                    </pic:cNvPicPr>
                  </pic:nvPicPr>
                  <pic:blipFill>
                    <a:blip r:embed="rId11"/>
                    <a:stretch>
                      <a:fillRect/>
                    </a:stretch>
                  </pic:blipFill>
                  <pic:spPr bwMode="auto">
                    <a:xfrm>
                      <a:off x="0" y="0"/>
                      <a:ext cx="7429500" cy="6334125"/>
                    </a:xfrm>
                    <a:prstGeom prst="rect">
                      <a:avLst/>
                    </a:prstGeom>
                    <a:noFill/>
                  </pic:spPr>
                </pic:pic>
              </a:graphicData>
            </a:graphic>
          </wp:inline>
        </w:drawing>
      </w:r>
    </w:p>
    <w:p>
      <w:pPr>
        <w:pStyle w:val="Normal"/>
        <w:spacing w:before="0" w:after="240"/>
        <w:jc w:val="center"/>
        <w:rPr/>
      </w:pPr>
      <w:r>
        <w:rPr>
          <w:rFonts w:eastAsia="Arial" w:cs="Arial"/>
          <w:i/>
          <w:iCs/>
          <w:color w:val="555555"/>
          <w:sz w:val="20"/>
          <w:szCs w:val="20"/>
        </w:rPr>
        <w:t>Figura 4. Arquitectura detallada con flujo de datos y componentes.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Figura 4. La arquitectura detalla el flujo por capas: fuentes externas → extractores Python (uno por fuente) → validación Pydantic → staging temporal → writers MySQL y MongoDB → capa analítica de vistas y consultas → capa de presentación Streamlit. La figura también evidencia los flujos de retroalimentación (logs y CDC hacia MongoDB) y los puntos de control de calidad que disparan alertas.</w:t>
      </w:r>
    </w:p>
    <w:p>
      <w:pPr>
        <w:pStyle w:val="Heading3"/>
        <w:spacing w:lineRule="auto" w:line="360" w:before="240" w:after="120"/>
        <w:rPr/>
      </w:pPr>
      <w:r>
        <w:rPr>
          <w:rFonts w:eastAsia="Arial" w:cs="Arial" w:ascii="Arial" w:hAnsi="Arial"/>
          <w:b/>
          <w:bCs/>
          <w:color w:val="404040"/>
          <w:sz w:val="24"/>
          <w:szCs w:val="24"/>
        </w:rPr>
        <w:t>4.3.2 Diseño detallado del ETL</w:t>
      </w:r>
    </w:p>
    <w:p>
      <w:pPr>
        <w:pStyle w:val="Normal"/>
        <w:spacing w:lineRule="auto" w:line="360" w:before="0" w:after="120"/>
        <w:jc w:val="both"/>
        <w:rPr/>
      </w:pPr>
      <w:r>
        <w:rPr>
          <w:rFonts w:eastAsia="Arial" w:cs="Arial"/>
          <w:sz w:val="22"/>
          <w:szCs w:val="22"/>
        </w:rPr>
        <w:t>El ETL se diseña como un conjunto de pipelines por fuente, coordinados bajo una secuencia común: verificación de CDC, extracción, validación, transformación, carga y registro. La guía de EC2 exige que el ETL sea detallado fuente por fuente, con mapeo campo a campo, reglas de limpieza, estrategia de carga y manejo previsto de errores y registros rechazados. Por eso, el ETL no se presenta aquí como una “caja negra”, sino como el puente formal entre los modelos fuente y el modelo de destino.</w:t>
      </w:r>
    </w:p>
    <w:p>
      <w:pPr>
        <w:pStyle w:val="Normal"/>
        <w:spacing w:lineRule="auto" w:line="360" w:before="0" w:after="120"/>
        <w:jc w:val="both"/>
        <w:rPr/>
      </w:pPr>
      <w:r>
        <w:rPr>
          <w:rFonts w:eastAsia="Arial" w:cs="Arial"/>
          <w:sz w:val="22"/>
          <w:szCs w:val="22"/>
        </w:rPr>
        <w:t>En la fase de validación se propone utilizar Pydantic, cuya documentación oficial define la validación como la instanciación de un modelo que cumple tipos y restricciones especificadas (Pydantic, s. f.). Esta capacidad permite detectar tempranamente errores de tipo, fechas fuera de rango, coordenadas inválidas o registros incompletos antes de la carga en MySQL o MongoDB. El siguiente fragmento ilustra el validador para FIRMS; reglas análogas se definen para cada fuente.</w:t>
      </w:r>
    </w:p>
    <w:p>
      <w:pPr>
        <w:pStyle w:val="Normal"/>
        <w:spacing w:before="0" w:after="30"/>
        <w:rPr/>
      </w:pPr>
      <w:r>
        <w:rPr>
          <w:rFonts w:eastAsia="Courier New" w:cs="Courier New" w:ascii="Courier New" w:hAnsi="Courier New"/>
          <w:sz w:val="19"/>
          <w:szCs w:val="19"/>
        </w:rPr>
        <w:t>from pydantic import BaseModel, Field</w:t>
      </w:r>
    </w:p>
    <w:p>
      <w:pPr>
        <w:pStyle w:val="Normal"/>
        <w:spacing w:before="0" w:after="30"/>
        <w:rPr/>
      </w:pPr>
      <w:r>
        <w:rPr>
          <w:rFonts w:eastAsia="Courier New" w:cs="Courier New" w:ascii="Courier New" w:hAnsi="Courier New"/>
          <w:sz w:val="19"/>
          <w:szCs w:val="19"/>
        </w:rPr>
        <w:t>from datetime import date</w:t>
      </w:r>
    </w:p>
    <w:p>
      <w:pPr>
        <w:pStyle w:val="Normal"/>
        <w:spacing w:before="0" w:after="30"/>
        <w:rPr/>
      </w:pPr>
      <w:r>
        <w:rPr/>
      </w:r>
    </w:p>
    <w:p>
      <w:pPr>
        <w:pStyle w:val="Normal"/>
        <w:spacing w:before="0" w:after="30"/>
        <w:rPr/>
      </w:pPr>
      <w:r>
        <w:rPr>
          <w:rFonts w:eastAsia="Courier New" w:cs="Courier New" w:ascii="Courier New" w:hAnsi="Courier New"/>
          <w:sz w:val="19"/>
          <w:szCs w:val="19"/>
        </w:rPr>
        <w:t>class FIRMSRecord(BaseModel):</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latitude:   float = Field(ge=-56, le=13)</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longitude:  float = Field(ge=-82, le=-34)</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brightness: float = Field(ge=200, le=600)</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confidence: int   = Field(ge=0, le=100)</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frp:        float = Field(ge=0, le=5000)</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acq_date:   date</w:t>
      </w:r>
    </w:p>
    <w:p>
      <w:pPr>
        <w:pStyle w:val="Heading4"/>
        <w:spacing w:lineRule="auto" w:line="360" w:before="200" w:after="100"/>
        <w:rPr/>
      </w:pPr>
      <w:r>
        <w:rPr>
          <w:rFonts w:eastAsia="Arial" w:cs="Arial" w:ascii="Arial" w:hAnsi="Arial"/>
          <w:b/>
          <w:bCs/>
          <w:i/>
          <w:iCs/>
          <w:color w:val="404040"/>
          <w:sz w:val="22"/>
          <w:szCs w:val="22"/>
        </w:rPr>
        <w:t>4.3.2.1 CDC</w:t>
      </w:r>
    </w:p>
    <w:p>
      <w:pPr>
        <w:pStyle w:val="Normal"/>
        <w:spacing w:lineRule="auto" w:line="360" w:before="0" w:after="120"/>
        <w:jc w:val="both"/>
        <w:rPr/>
      </w:pPr>
      <w:r>
        <w:rPr>
          <w:rFonts w:eastAsia="Arial" w:cs="Arial"/>
          <w:sz w:val="22"/>
          <w:szCs w:val="22"/>
        </w:rPr>
        <w:t>El mecanismo de Change Data Capture combina dos estrategias. La primera es una ventana temporal retrospectiva de siete días desde last_processed_date, que permite recuperar datos nuevos o publicados con retraso. La segunda es una verificación de hash SHA-256 por lote, almacenada en MongoDB en la colección cdc_control, que permite detectar correcciones históricas en rangos ya procesados. Esta solución se alinea con la indicación de la guía de EC2, que pide contemplar tanto inserciones nuevas como modificaciones sobre registros existentes (Kleppmann, 2017).</w:t>
      </w:r>
    </w:p>
    <w:p>
      <w:pPr>
        <w:pStyle w:val="Heading4"/>
        <w:spacing w:lineRule="auto" w:line="360" w:before="200" w:after="100"/>
        <w:rPr/>
      </w:pPr>
      <w:r>
        <w:rPr>
          <w:rFonts w:eastAsia="Arial" w:cs="Arial" w:ascii="Arial" w:hAnsi="Arial"/>
          <w:b/>
          <w:bCs/>
          <w:i/>
          <w:iCs/>
          <w:color w:val="404040"/>
          <w:sz w:val="22"/>
          <w:szCs w:val="22"/>
        </w:rPr>
        <w:t>4.3.2.2 Idempotencia</w:t>
      </w:r>
    </w:p>
    <w:p>
      <w:pPr>
        <w:pStyle w:val="Normal"/>
        <w:spacing w:lineRule="auto" w:line="360" w:before="0" w:after="120"/>
        <w:jc w:val="both"/>
        <w:rPr/>
      </w:pPr>
      <w:r>
        <w:rPr>
          <w:rFonts w:eastAsia="Arial" w:cs="Arial"/>
          <w:sz w:val="22"/>
          <w:szCs w:val="22"/>
        </w:rPr>
        <w:t>La consigna también exige que los procesos de carga se diseñen bajo el principio de idempotencia, de modo que una reejecución del pipeline no produzca duplicados ni inconsistencias. En este proyecto, esa propiedad se sostiene mediante claves compuestas en las tablas de hechos, operaciones INSERT ... ON DUPLICATE KEY UPDATE (upsert) en la capa relacional y control de lotes en la capa documental. Así, el CDC y la idempotencia funcionan como mecanismos complementarios.</w:t>
      </w:r>
    </w:p>
    <w:p>
      <w:pPr>
        <w:pStyle w:val="Heading3"/>
        <w:spacing w:lineRule="auto" w:line="360" w:before="240" w:after="120"/>
        <w:rPr/>
      </w:pPr>
      <w:r>
        <w:rPr>
          <w:rFonts w:eastAsia="Arial" w:cs="Arial" w:ascii="Arial" w:hAnsi="Arial"/>
          <w:b/>
          <w:bCs/>
          <w:color w:val="404040"/>
          <w:sz w:val="24"/>
          <w:szCs w:val="24"/>
        </w:rPr>
        <w:t>4.3.3 Reglas de integridad SQL y NoSQL</w:t>
      </w:r>
    </w:p>
    <w:p>
      <w:pPr>
        <w:pStyle w:val="Normal"/>
        <w:spacing w:lineRule="auto" w:line="360" w:before="0" w:after="120"/>
        <w:jc w:val="both"/>
        <w:rPr/>
      </w:pPr>
      <w:r>
        <w:rPr>
          <w:rFonts w:eastAsia="Arial" w:cs="Arial"/>
          <w:sz w:val="22"/>
          <w:szCs w:val="22"/>
        </w:rPr>
        <w:t>Las reglas de integridad del sistema se diseñan en tres niveles. Primero, Python y Pydantic validan estructuras y restricciones antes de la carga (Pydantic, s. f.). Segundo, MySQL impone claves primarias, claves foráneas, unicidad y restricciones de dominio sobre hechos y dimensiones, conforme al DDL presentado en la Sección 4.2.2 (MySQL, s. f.-a). Tercero, MongoDB aplica validación estructural con JSON Schema sobre documentos de control, calidad y trazabilidad (MongoDB, s. f.-b, s. f.-c). Esta combinación responde de forma directa a la exigencia de EC2.</w:t>
      </w:r>
    </w:p>
    <w:p>
      <w:pPr>
        <w:pStyle w:val="Normal"/>
        <w:spacing w:lineRule="auto" w:line="360" w:before="0" w:after="120"/>
        <w:jc w:val="both"/>
        <w:rPr/>
      </w:pPr>
      <w:r>
        <w:rPr>
          <w:rFonts w:eastAsia="Arial" w:cs="Arial"/>
          <w:sz w:val="22"/>
          <w:szCs w:val="22"/>
        </w:rPr>
        <w:t>A continuación se documentan los esquemas JSON de las cuatro colecciones documentales del sistema.</w:t>
      </w:r>
    </w:p>
    <w:p>
      <w:pPr>
        <w:pStyle w:val="Normal"/>
        <w:spacing w:before="0" w:after="30"/>
        <w:rPr/>
      </w:pPr>
      <w:r>
        <w:rPr>
          <w:rFonts w:eastAsia="Courier New" w:cs="Courier New" w:ascii="Courier New" w:hAnsi="Courier New"/>
          <w:sz w:val="19"/>
          <w:szCs w:val="19"/>
        </w:rPr>
        <w:t>// Colección: etl_execution_log</w:t>
      </w:r>
    </w:p>
    <w:p>
      <w:pPr>
        <w:pStyle w:val="Normal"/>
        <w:spacing w:before="0" w:after="30"/>
        <w:rPr/>
      </w:pPr>
      <w:r>
        <w:rPr>
          <w:rFonts w:eastAsia="Courier New" w:cs="Courier New" w:ascii="Courier New" w:hAnsi="Courier New"/>
          <w:sz w:val="19"/>
          <w:szCs w:val="19"/>
        </w:rPr>
        <w:t>db.createCollection("etl_execution_log", { validator: { $jsonSchema: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bsonType: "object",</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required: ["run_id","source","status","started_at"],</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properties: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run_id:             { bsonType: "string"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source:             { enum: ["firms","open_meteo","cams","chirps","modis"]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status:             { enum: ["success","partial","failed"]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records_extracted:  { bsonType: "int",  minimum: 0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records_loaded:     { bsonType: "int",  minimum: 0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duration_seconds:   { bsonType: "int",  minimum: 0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quality_metrics:    { bsonType: "object"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started_at:         { bsonType: "date"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 } } });</w:t>
      </w:r>
    </w:p>
    <w:p>
      <w:pPr>
        <w:pStyle w:val="Normal"/>
        <w:spacing w:before="0" w:after="30"/>
        <w:rPr/>
      </w:pPr>
      <w:r>
        <w:rPr/>
      </w:r>
    </w:p>
    <w:p>
      <w:pPr>
        <w:pStyle w:val="Normal"/>
        <w:spacing w:before="0" w:after="30"/>
        <w:rPr/>
      </w:pPr>
      <w:r>
        <w:rPr>
          <w:rFonts w:eastAsia="Courier New" w:cs="Courier New" w:ascii="Courier New" w:hAnsi="Courier New"/>
          <w:sz w:val="19"/>
          <w:szCs w:val="19"/>
        </w:rPr>
        <w:t>// Colección: cdc_control</w:t>
      </w:r>
    </w:p>
    <w:p>
      <w:pPr>
        <w:pStyle w:val="Normal"/>
        <w:spacing w:before="0" w:after="30"/>
        <w:rPr/>
      </w:pPr>
      <w:r>
        <w:rPr>
          <w:rFonts w:eastAsia="Courier New" w:cs="Courier New" w:ascii="Courier New" w:hAnsi="Courier New"/>
          <w:sz w:val="19"/>
          <w:szCs w:val="19"/>
        </w:rPr>
        <w:t>db.createCollection("cdc_control", { validator: { $jsonSchema: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bsonType: "object",</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required: ["source","last_processed_date","batch_hash_sha256"],</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properties: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source:              { bsonType: "string"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last_processed_date: { bsonType: "date"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batch_hash_sha256:   { bsonType: "string", pattern: "^[a-f0-9]{64}$"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records_new:         { bsonType: "int", minimum: 0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records_updated:     { bsonType: "int", minimum: 0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 } } });</w:t>
      </w:r>
    </w:p>
    <w:p>
      <w:pPr>
        <w:pStyle w:val="Normal"/>
        <w:spacing w:before="0" w:after="30"/>
        <w:rPr/>
      </w:pPr>
      <w:r>
        <w:rPr/>
      </w:r>
    </w:p>
    <w:p>
      <w:pPr>
        <w:pStyle w:val="Normal"/>
        <w:spacing w:before="0" w:after="30"/>
        <w:rPr/>
      </w:pPr>
      <w:r>
        <w:rPr>
          <w:rFonts w:eastAsia="Courier New" w:cs="Courier New" w:ascii="Courier New" w:hAnsi="Courier New"/>
          <w:sz w:val="19"/>
          <w:szCs w:val="19"/>
        </w:rPr>
        <w:t>// Colección: etl_quality_log</w:t>
      </w:r>
    </w:p>
    <w:p>
      <w:pPr>
        <w:pStyle w:val="Normal"/>
        <w:spacing w:before="0" w:after="30"/>
        <w:rPr/>
      </w:pPr>
      <w:r>
        <w:rPr>
          <w:rFonts w:eastAsia="Courier New" w:cs="Courier New" w:ascii="Courier New" w:hAnsi="Courier New"/>
          <w:sz w:val="19"/>
          <w:szCs w:val="19"/>
        </w:rPr>
        <w:t>db.createCollection("etl_quality_log", { validator: { $jsonSchema: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bsonType: "object",</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required: ["source","metrics_by_variable"],</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properties: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source:              { bsonType: "string"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metrics_by_variable: { bsonType: "object"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actions_taken:       { bsonType: "array",  items: { bsonType: "string" }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 } } });</w:t>
      </w:r>
    </w:p>
    <w:p>
      <w:pPr>
        <w:pStyle w:val="Normal"/>
        <w:spacing w:before="0" w:after="30"/>
        <w:rPr/>
      </w:pPr>
      <w:r>
        <w:rPr/>
      </w:r>
    </w:p>
    <w:p>
      <w:pPr>
        <w:pStyle w:val="Normal"/>
        <w:spacing w:before="0" w:after="30"/>
        <w:rPr/>
      </w:pPr>
      <w:r>
        <w:rPr>
          <w:rFonts w:eastAsia="Courier New" w:cs="Courier New" w:ascii="Courier New" w:hAnsi="Courier New"/>
          <w:sz w:val="19"/>
          <w:szCs w:val="19"/>
        </w:rPr>
        <w:t>// Colección: source_snapshots</w:t>
      </w:r>
    </w:p>
    <w:p>
      <w:pPr>
        <w:pStyle w:val="Normal"/>
        <w:spacing w:before="0" w:after="30"/>
        <w:rPr/>
      </w:pPr>
      <w:r>
        <w:rPr>
          <w:rFonts w:eastAsia="Courier New" w:cs="Courier New" w:ascii="Courier New" w:hAnsi="Courier New"/>
          <w:sz w:val="19"/>
          <w:szCs w:val="19"/>
        </w:rPr>
        <w:t>db.createCollection("source_snapshots", { validator: { $jsonSchema: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bsonType: "object",</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required: ["source","captured_at","payload_sha256"],</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properties: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source:         { bsonType: "string"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captured_at:    { bsonType: "date"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payload_sha256: { bsonType: "string", pattern: "^[a-f0-9]{64}$"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payload:        { bsonType: ["object","array"] }</w:t>
      </w:r>
    </w:p>
    <w:p>
      <w:pPr>
        <w:pStyle w:val="Normal"/>
        <w:spacing w:before="0" w:after="30"/>
        <w:rPr/>
      </w:pPr>
      <w:r>
        <w:rPr>
          <w:rFonts w:eastAsia="Courier New" w:cs="Courier New" w:ascii="Courier New" w:hAnsi="Courier New"/>
          <w:sz w:val="19"/>
          <w:szCs w:val="19"/>
        </w:rPr>
        <w:t xml:space="preserve">  </w:t>
      </w:r>
      <w:r>
        <w:rPr>
          <w:rFonts w:eastAsia="Courier New" w:cs="Courier New" w:ascii="Courier New" w:hAnsi="Courier New"/>
          <w:sz w:val="19"/>
          <w:szCs w:val="19"/>
        </w:rPr>
        <w:t>} } } });</w:t>
      </w:r>
    </w:p>
    <w:p>
      <w:pPr>
        <w:pStyle w:val="Normal"/>
        <w:spacing w:before="0" w:after="200"/>
        <w:jc w:val="center"/>
        <w:rPr/>
      </w:pPr>
      <w:r>
        <w:rPr>
          <w:rFonts w:eastAsia="Arial" w:cs="Arial"/>
          <w:i/>
          <w:iCs/>
          <w:color w:val="777777"/>
          <w:sz w:val="18"/>
          <w:szCs w:val="18"/>
        </w:rPr>
        <w:t>Fuente: Elaboración propia con base en MongoDB (s. f.-b, s. f.-c).</w:t>
      </w:r>
    </w:p>
    <w:p>
      <w:pPr>
        <w:pStyle w:val="Heading3"/>
        <w:spacing w:lineRule="auto" w:line="360" w:before="240" w:after="120"/>
        <w:rPr/>
      </w:pPr>
      <w:r>
        <w:rPr>
          <w:rFonts w:eastAsia="Arial" w:cs="Arial" w:ascii="Arial" w:hAnsi="Arial"/>
          <w:b/>
          <w:bCs/>
          <w:color w:val="404040"/>
          <w:sz w:val="24"/>
          <w:szCs w:val="24"/>
        </w:rPr>
        <w:t>4.3.4 KPIs del sistema</w:t>
      </w:r>
    </w:p>
    <w:p>
      <w:pPr>
        <w:pStyle w:val="Normal"/>
        <w:spacing w:lineRule="auto" w:line="360" w:before="0" w:after="120"/>
        <w:jc w:val="both"/>
        <w:rPr/>
      </w:pPr>
      <w:r>
        <w:rPr>
          <w:rFonts w:eastAsia="Arial" w:cs="Arial"/>
          <w:sz w:val="22"/>
          <w:szCs w:val="22"/>
        </w:rPr>
        <w:t>Los KPIs del sistema se derivan directamente de las preguntas analíticas formuladas en EC1. La guía de EC2 establece que estos indicadores deben estar alineados con los objetivos del proyecto, con el modelo de destino y con futuras visualizaciones. Entre los KPIs principales del proyecto se incluyen densidad de focos por país y mes, correlación entre temperatura y actividad de fuego, ratio de PM2.5 en condiciones de quema frente a no quema, índice de estacionalidad, transición de cobertura vegetal, completitud del pipeline y frescura de datos.</w:t>
      </w:r>
    </w:p>
    <w:tbl>
      <w:tblPr>
        <w:tblW w:w="8788" w:type="dxa"/>
        <w:jc w:val="start"/>
        <w:tblInd w:w="0" w:type="dxa"/>
        <w:tblLayout w:type="fixed"/>
        <w:tblCellMar>
          <w:top w:w="60" w:type="dxa"/>
          <w:start w:w="100" w:type="dxa"/>
          <w:bottom w:w="60" w:type="dxa"/>
          <w:end w:w="100" w:type="dxa"/>
        </w:tblCellMar>
      </w:tblPr>
      <w:tblGrid>
        <w:gridCol w:w="500"/>
        <w:gridCol w:w="1799"/>
        <w:gridCol w:w="3601"/>
        <w:gridCol w:w="2888"/>
      </w:tblGrid>
      <w:tr>
        <w:trPr/>
        <w:tc>
          <w:tcPr>
            <w:tcW w:w="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KPI</w:t>
            </w:r>
          </w:p>
        </w:tc>
        <w:tc>
          <w:tcPr>
            <w:tcW w:w="17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Nombre</w:t>
            </w:r>
          </w:p>
        </w:tc>
        <w:tc>
          <w:tcPr>
            <w:tcW w:w="360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Fórmula</w:t>
            </w:r>
          </w:p>
        </w:tc>
        <w:tc>
          <w:tcPr>
            <w:tcW w:w="28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Meta</w:t>
            </w:r>
          </w:p>
        </w:tc>
      </w:tr>
      <w:tr>
        <w:trPr/>
        <w:tc>
          <w:tcPr>
            <w:tcW w:w="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K1</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Densidad de focos por país y mes</w:t>
            </w:r>
          </w:p>
        </w:tc>
        <w:tc>
          <w:tcPr>
            <w:tcW w:w="3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SUM(fire_count) / COUNT(DISTINCT grid_id)</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100% de pares país-mes calculables</w:t>
            </w:r>
          </w:p>
        </w:tc>
      </w:tr>
      <w:tr>
        <w:trPr/>
        <w:tc>
          <w:tcPr>
            <w:tcW w:w="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K2</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Ratio PM2.5 quema vs. no-quema</w:t>
            </w:r>
          </w:p>
        </w:tc>
        <w:tc>
          <w:tcPr>
            <w:tcW w:w="3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AVG(pm2.5 con focos ≥ 5) / AVG(sin focos)</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Ratio &gt; 3,0</w:t>
            </w:r>
          </w:p>
        </w:tc>
      </w:tr>
      <w:tr>
        <w:trPr/>
        <w:tc>
          <w:tcPr>
            <w:tcW w:w="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K3</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Correlación temperatura-focos</w:t>
            </w:r>
          </w:p>
        </w:tc>
        <w:tc>
          <w:tcPr>
            <w:tcW w:w="3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CORR(temp_mean, fire_count) mensual</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 &gt; 0,3</w:t>
            </w:r>
          </w:p>
        </w:tc>
      </w:tr>
      <w:tr>
        <w:trPr/>
        <w:tc>
          <w:tcPr>
            <w:tcW w:w="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K4</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Estacionalidad de focos</w:t>
            </w:r>
          </w:p>
        </w:tc>
        <w:tc>
          <w:tcPr>
            <w:tcW w:w="3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MAX(fire trimestral) / AVG(fire trimestral)</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Índice &gt; 3,0</w:t>
            </w:r>
          </w:p>
        </w:tc>
      </w:tr>
      <w:tr>
        <w:trPr/>
        <w:tc>
          <w:tcPr>
            <w:tcW w:w="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K5</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Transición forestal</w:t>
            </w:r>
          </w:p>
        </w:tc>
        <w:tc>
          <w:tcPr>
            <w:tcW w:w="3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Celdas con cambio de LC / total forestales</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Calculable 2018-2022</w:t>
            </w:r>
          </w:p>
        </w:tc>
      </w:tr>
      <w:tr>
        <w:trPr/>
        <w:tc>
          <w:tcPr>
            <w:tcW w:w="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K6</w:t>
            </w:r>
          </w:p>
        </w:tc>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Completitud del pipeline</w:t>
            </w:r>
          </w:p>
        </w:tc>
        <w:tc>
          <w:tcPr>
            <w:tcW w:w="36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loaded / extracted × 100</w:t>
            </w:r>
          </w:p>
        </w:tc>
        <w:tc>
          <w:tcPr>
            <w:tcW w:w="28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 xml:space="preserve">≥ </w:t>
            </w:r>
            <w:r>
              <w:rPr>
                <w:rFonts w:eastAsia="Arial" w:cs="Arial"/>
                <w:b w:val="false"/>
                <w:bCs w:val="false"/>
                <w:color w:val="000000"/>
                <w:sz w:val="20"/>
                <w:szCs w:val="20"/>
              </w:rPr>
              <w:t>95%</w:t>
            </w:r>
          </w:p>
        </w:tc>
      </w:tr>
      <w:tr>
        <w:trPr/>
        <w:tc>
          <w:tcPr>
            <w:tcW w:w="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K7</w:t>
            </w:r>
          </w:p>
        </w:tc>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Frescura de datos</w:t>
            </w:r>
          </w:p>
        </w:tc>
        <w:tc>
          <w:tcPr>
            <w:tcW w:w="360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NOW() − MAX(loaded_at)</w:t>
            </w:r>
          </w:p>
        </w:tc>
        <w:tc>
          <w:tcPr>
            <w:tcW w:w="28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&lt; 24 h</w:t>
            </w:r>
          </w:p>
        </w:tc>
      </w:tr>
    </w:tbl>
    <w:p>
      <w:pPr>
        <w:pStyle w:val="Normal"/>
        <w:spacing w:before="0" w:after="240"/>
        <w:jc w:val="center"/>
        <w:rPr/>
      </w:pPr>
      <w:r>
        <w:rPr>
          <w:rFonts w:eastAsia="Arial" w:cs="Arial"/>
          <w:i/>
          <w:iCs/>
          <w:color w:val="555555"/>
          <w:sz w:val="20"/>
          <w:szCs w:val="20"/>
        </w:rPr>
        <w:t>Tabla 17. KPIs del sistema.</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17. Los siete KPIs combinan observabilidad operativa del pipeline (K1–K3: tasa de éxito, latencia, completitud) con métricas analíticas del dominio (K4–K7: días críticos, sobrepaso OMS-PM10, FRP acumulado, cambios de cobertura). Cada KPI tiene fórmula explícita y meta concreta, lo que permite evaluar objetivamente el desempeño del sistema y del pipeline en producción.</w:t>
      </w:r>
    </w:p>
    <w:p>
      <w:pPr>
        <w:pStyle w:val="Heading3"/>
        <w:spacing w:lineRule="auto" w:line="360" w:before="240" w:after="120"/>
        <w:rPr/>
      </w:pPr>
      <w:r>
        <w:rPr>
          <w:rFonts w:eastAsia="Arial" w:cs="Arial" w:ascii="Arial" w:hAnsi="Arial"/>
          <w:b/>
          <w:bCs/>
          <w:color w:val="404040"/>
          <w:sz w:val="24"/>
          <w:szCs w:val="24"/>
        </w:rPr>
        <w:t>4.3.5 Trade-offs técnicos documentados</w:t>
      </w:r>
    </w:p>
    <w:p>
      <w:pPr>
        <w:pStyle w:val="Normal"/>
        <w:spacing w:lineRule="auto" w:line="360" w:before="0" w:after="120"/>
        <w:jc w:val="both"/>
        <w:rPr/>
      </w:pPr>
      <w:r>
        <w:rPr>
          <w:rFonts w:eastAsia="Arial" w:cs="Arial"/>
          <w:sz w:val="22"/>
          <w:szCs w:val="22"/>
        </w:rPr>
        <w:t>El proyecto documenta sus decisiones como trade-offs y no como elecciones neutras. Adoptar una grilla 0,25° facilita la integración y simplifica los joins, pero sacrifica resolución espacial. Elegir MySQL reduce complejidad operativa y aprovecha una plataforma madura (MySQL, s. f.-a), aunque implica aceptar menor especialización analítica que otros motores. Usar MongoDB para trazabilidad evita forzar documentos variables a un esquema rígido (MongoDB, s. f.-b), pero añade el costo de administrar un segundo motor. La guía de EC2 exige precisamente esta forma de documentación.</w:t>
      </w:r>
    </w:p>
    <w:tbl>
      <w:tblPr>
        <w:tblW w:w="8788" w:type="dxa"/>
        <w:jc w:val="start"/>
        <w:tblInd w:w="0" w:type="dxa"/>
        <w:tblLayout w:type="fixed"/>
        <w:tblCellMar>
          <w:top w:w="60" w:type="dxa"/>
          <w:start w:w="100" w:type="dxa"/>
          <w:bottom w:w="60" w:type="dxa"/>
          <w:end w:w="100" w:type="dxa"/>
        </w:tblCellMar>
      </w:tblPr>
      <w:tblGrid>
        <w:gridCol w:w="1799"/>
        <w:gridCol w:w="1500"/>
        <w:gridCol w:w="2800"/>
        <w:gridCol w:w="2689"/>
      </w:tblGrid>
      <w:tr>
        <w:trPr/>
        <w:tc>
          <w:tcPr>
            <w:tcW w:w="179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Decisión</w:t>
            </w:r>
          </w:p>
        </w:tc>
        <w:tc>
          <w:tcPr>
            <w:tcW w:w="15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Alternativa</w:t>
            </w:r>
          </w:p>
        </w:tc>
        <w:tc>
          <w:tcPr>
            <w:tcW w:w="28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Justificación</w:t>
            </w:r>
          </w:p>
        </w:tc>
        <w:tc>
          <w:tcPr>
            <w:tcW w:w="268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Mitigación</w:t>
            </w:r>
          </w:p>
        </w:tc>
      </w:tr>
      <w:tr>
        <w:trPr/>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Grilla 0,25° universal</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Resolución nativa por fuente</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JOINs directos sin interpolación</w:t>
            </w:r>
          </w:p>
        </w:tc>
        <w:tc>
          <w:tcPr>
            <w:tcW w:w="2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Coordenadas originales preservadas en snapshots</w:t>
            </w:r>
          </w:p>
        </w:tc>
      </w:tr>
      <w:tr>
        <w:trPr/>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MySQL como DW</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ClickHouse, DuckDB, PostgreSQL</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Madurez, replicación, costo cero (MySQL, s. f.-a, s. f.-b)</w:t>
            </w:r>
          </w:p>
        </w:tc>
        <w:tc>
          <w:tcPr>
            <w:tcW w:w="2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Particionamiento por rango y BTREE compensan</w:t>
            </w:r>
          </w:p>
        </w:tc>
      </w:tr>
      <w:tr>
        <w:trPr/>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MongoDB para trazabilidad</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Redis, archivos planos</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Persistencia, JSON Schema, queries (MongoDB, s. f.-b)</w:t>
            </w:r>
          </w:p>
        </w:tc>
        <w:tc>
          <w:tcPr>
            <w:tcW w:w="2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Docker Compose minimiza overhead operativo</w:t>
            </w:r>
          </w:p>
        </w:tc>
      </w:tr>
      <w:tr>
        <w:trPr/>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Batch diario (no streaming)</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Kafka streaming</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Latencia mínima 3 h no justifica Kafka</w:t>
            </w:r>
          </w:p>
        </w:tc>
        <w:tc>
          <w:tcPr>
            <w:tcW w:w="2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Aceptable para todas las fuentes</w:t>
            </w:r>
          </w:p>
        </w:tc>
      </w:tr>
      <w:tr>
        <w:trPr/>
        <w:tc>
          <w:tcPr>
            <w:tcW w:w="179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Período 2018-2025</w:t>
            </w:r>
          </w:p>
        </w:tc>
        <w:tc>
          <w:tcPr>
            <w:tcW w:w="15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Desde 2001</w:t>
            </w:r>
          </w:p>
        </w:tc>
        <w:tc>
          <w:tcPr>
            <w:tcW w:w="28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CAMS solo 2015+; máximo período común</w:t>
            </w:r>
          </w:p>
        </w:tc>
        <w:tc>
          <w:tcPr>
            <w:tcW w:w="268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Extensible en fases futuras</w:t>
            </w:r>
          </w:p>
        </w:tc>
      </w:tr>
      <w:tr>
        <w:trPr/>
        <w:tc>
          <w:tcPr>
            <w:tcW w:w="1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Estrella extendida</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Snowflake normalizado</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Menos JOINs, mejor rendimiento (Kimball &amp; Ross, 2013)</w:t>
            </w:r>
          </w:p>
        </w:tc>
        <w:tc>
          <w:tcPr>
            <w:tcW w:w="268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Dimensiones pequeñas: redundancia negligible</w:t>
            </w:r>
          </w:p>
        </w:tc>
      </w:tr>
    </w:tbl>
    <w:p>
      <w:pPr>
        <w:pStyle w:val="Normal"/>
        <w:spacing w:before="0" w:after="240"/>
        <w:jc w:val="center"/>
        <w:rPr/>
      </w:pPr>
      <w:r>
        <w:rPr>
          <w:rFonts w:eastAsia="Arial" w:cs="Arial"/>
          <w:i/>
          <w:iCs/>
          <w:color w:val="555555"/>
          <w:sz w:val="20"/>
          <w:szCs w:val="20"/>
        </w:rPr>
        <w:t>Tabla 18. Trade-offs técnicos documentados.</w:t>
      </w:r>
    </w:p>
    <w:p>
      <w:pPr>
        <w:pStyle w:val="Normal"/>
        <w:spacing w:before="0" w:after="200"/>
        <w:jc w:val="center"/>
        <w:rPr/>
      </w:pPr>
      <w:r>
        <w:rPr>
          <w:rFonts w:eastAsia="Arial" w:cs="Arial"/>
          <w:i/>
          <w:iCs/>
          <w:color w:val="777777"/>
          <w:sz w:val="18"/>
          <w:szCs w:val="18"/>
        </w:rPr>
        <w:t>Fuente: Elaboración propia.</w:t>
      </w:r>
    </w:p>
    <w:p>
      <w:pPr>
        <w:pStyle w:val="Normal"/>
        <w:spacing w:lineRule="auto" w:line="360" w:before="0" w:after="120"/>
        <w:jc w:val="both"/>
        <w:rPr/>
      </w:pPr>
      <w:r>
        <w:rPr>
          <w:rFonts w:eastAsia="Arial" w:cs="Arial"/>
          <w:sz w:val="22"/>
          <w:szCs w:val="22"/>
        </w:rPr>
        <w:t>Interpretación de la Tabla 18. La tabla explicita las principales decisiones arquitectónicas, la alternativa descartada, la justificación técnica y la mitigación prevista. Entre las más relevantes están el uso de MySQL frente a PostgreSQL, de MongoDB frente a Elasticsearch para logs, de grilla regular 0,25° frente a unidades administrativas, y de ingesta batch nocturna frente a streaming en tiempo real.</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5. Conclusiones</w:t>
      </w:r>
    </w:p>
    <w:p>
      <w:pPr>
        <w:pStyle w:val="Normal"/>
        <w:spacing w:lineRule="auto" w:line="360" w:before="0" w:after="120"/>
        <w:jc w:val="both"/>
        <w:rPr/>
      </w:pPr>
      <w:r>
        <w:rPr>
          <w:rFonts w:eastAsia="Arial" w:cs="Arial"/>
          <w:sz w:val="22"/>
          <w:szCs w:val="22"/>
        </w:rPr>
        <w:t>El proyecto define una solución de ingeniería de datos orientada a integrar incendios forestales, condiciones meteorológicas, precipitación, calidad del aire y cobertura vegetal en América del Sur durante 2018–2025. La etapa inicial permitió delimitar el problema, justificar su relevancia, analizar las fuentes y formular preguntas analíticas concretas (Giglio et al., 2016; Muñoz-Sabater et al., 2021; Reid et al., 2016). La etapa de diseño transformó ese planteo en una arquitectura técnica coherente, con modelo relacional de destino, modelo documental, ETL, CDC, reglas de integridad, métricas y criterios de continuidad y escalabilidad. Esta progresión se ajusta a la lógica incremental exigida por la unidad curricular y al Modelo de Trabajo Final LIDIA 2025.</w:t>
      </w:r>
    </w:p>
    <w:p>
      <w:pPr>
        <w:pStyle w:val="Normal"/>
        <w:spacing w:lineRule="auto" w:line="360" w:before="0" w:after="120"/>
        <w:jc w:val="both"/>
        <w:rPr/>
      </w:pPr>
      <w:r>
        <w:rPr>
          <w:rFonts w:eastAsia="Arial" w:cs="Arial"/>
          <w:sz w:val="22"/>
          <w:szCs w:val="22"/>
        </w:rPr>
        <w:t>En términos tecnológicos, la solución combina MySQL como repositorio analítico estructurado y MongoDB como repositorio documental de trazabilidad, apoyándose en Python para la ingestión y transformación y en Streamlit para la futura capa de visualización. Las capacidades documentadas oficialmente por estas herramientas respaldan su uso dentro de la arquitectura propuesta (MySQL, s. f.-a, s. f.-b; MongoDB, s. f.-a, s. f.-b, s. f.-c, s. f.-d; Pydantic, s. f.; Streamlit, s. f.-a, s. f.-b), mientras que la literatura científica consultada fundamenta la selección de variables y la necesidad de un análisis multifuente del fenómeno (Jolly et al., 2015; Reid et al., 2016; van der Werf et al., 2017).</w:t>
      </w:r>
    </w:p>
    <w:p>
      <w:pPr>
        <w:pStyle w:val="Normal"/>
        <w:spacing w:lineRule="auto" w:line="360" w:before="0" w:after="120"/>
        <w:jc w:val="both"/>
        <w:rPr/>
      </w:pPr>
      <w:r>
        <w:rPr>
          <w:rFonts w:eastAsia="Arial" w:cs="Arial"/>
          <w:sz w:val="22"/>
          <w:szCs w:val="22"/>
        </w:rPr>
        <w:t>La siguiente etapa consistirá en implementar esta arquitectura con datos reales, medir rendimiento, comprobar idempotencia y CDC, recalcular métricas de calidad y demostrar la correspondencia entre preguntas, consultas, visualizaciones y resultados. Solo en esa instancia podrá evaluarse plenamente si el diseño aquí documentado se traduce en un sistema funcional, reproducible y analíticamente útil, tal como lo exige la fase final del curso.</w:t>
      </w:r>
    </w:p>
    <w:p>
      <w:pPr>
        <w:pStyle w:val="Normal"/>
        <w:spacing w:lineRule="auto" w:line="360" w:before="0" w:after="120"/>
        <w:jc w:val="both"/>
        <w:rPr/>
      </w:pPr>
      <w:r>
        <w:rPr>
          <w:rFonts w:eastAsia="Arial" w:cs="Arial"/>
          <w:sz w:val="22"/>
          <w:szCs w:val="22"/>
        </w:rPr>
        <w:t>Desde el punto de vista de líneas futuras, el sistema resultante admite al menos dos extensiones naturales: (i) la incorporación de modelos predictivos sobre el mismo DW para estimar temporada de incendios, riesgo de ignición o exposición poblacional, aprovechando la estructura dimensional ya normalizada; y (ii) la publicación del repositorio como bien común regional, integrable con otros observatorios y sistemas de alerta temprana. Ambas líneas quedan fuera del alcance del presente trabajo pero se apoyan en el diseño aquí documentado.</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Referencias bibliográficas</w:t>
      </w:r>
    </w:p>
    <w:p>
      <w:pPr>
        <w:pStyle w:val="Normal"/>
        <w:spacing w:lineRule="auto" w:line="360" w:before="0" w:after="120"/>
        <w:jc w:val="both"/>
        <w:rPr/>
      </w:pPr>
      <w:r>
        <w:rPr>
          <w:rFonts w:eastAsia="Arial" w:cs="Arial"/>
          <w:sz w:val="22"/>
          <w:szCs w:val="22"/>
        </w:rPr>
        <w:t>Giglio, L., Schroeder, W., &amp; Justice, C. O. (2016). The collection 6 MODIS active fire detection algorithm and fire products. Remote Sensing of Environment, 178, 31–41. https://doi.org/10.1016/j.rse.2016.02.054</w:t>
      </w:r>
    </w:p>
    <w:p>
      <w:pPr>
        <w:pStyle w:val="Normal"/>
        <w:spacing w:lineRule="auto" w:line="360" w:before="0" w:after="120"/>
        <w:jc w:val="both"/>
        <w:rPr/>
      </w:pPr>
      <w:r>
        <w:rPr>
          <w:rFonts w:eastAsia="Arial" w:cs="Arial"/>
          <w:sz w:val="22"/>
          <w:szCs w:val="22"/>
        </w:rPr>
        <w:t>Jolly, W. M., Cochrane, M. A., Freeborn, P. H., Holden, Z. A., Brown, T. J., Williamson, G. J., &amp; Bowman, D. M. J. S. (2015). Climate-induced variations in global wildfire danger from 1979 to 2013. Nature Communications, 6, Article 7537. https://doi.org/10.1038/ncomms8537</w:t>
      </w:r>
    </w:p>
    <w:p>
      <w:pPr>
        <w:pStyle w:val="Normal"/>
        <w:spacing w:lineRule="auto" w:line="360" w:before="0" w:after="120"/>
        <w:jc w:val="both"/>
        <w:rPr/>
      </w:pPr>
      <w:r>
        <w:rPr>
          <w:rFonts w:eastAsia="Arial" w:cs="Arial"/>
          <w:sz w:val="22"/>
          <w:szCs w:val="22"/>
        </w:rPr>
        <w:t>Kimball, R., &amp; Ross, M. (2013). The Data Warehouse Toolkit: The Definitive Guide to Dimensional Modeling (3.ª ed.). Wiley.</w:t>
      </w:r>
    </w:p>
    <w:p>
      <w:pPr>
        <w:pStyle w:val="Normal"/>
        <w:spacing w:lineRule="auto" w:line="360" w:before="0" w:after="120"/>
        <w:jc w:val="both"/>
        <w:rPr/>
      </w:pPr>
      <w:r>
        <w:rPr>
          <w:rFonts w:eastAsia="Arial" w:cs="Arial"/>
          <w:sz w:val="22"/>
          <w:szCs w:val="22"/>
        </w:rPr>
        <w:t>Kleppmann, M. (2017). Designing Data-Intensive Applications. O'Reilly Media.</w:t>
      </w:r>
    </w:p>
    <w:p>
      <w:pPr>
        <w:pStyle w:val="Normal"/>
        <w:spacing w:lineRule="auto" w:line="360" w:before="0" w:after="120"/>
        <w:jc w:val="both"/>
        <w:rPr/>
      </w:pPr>
      <w:r>
        <w:rPr>
          <w:rFonts w:eastAsia="Arial" w:cs="Arial"/>
          <w:sz w:val="22"/>
          <w:szCs w:val="22"/>
        </w:rPr>
        <w:t>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Earth System Science Data, 13(9), 4349–4383. https://doi.org/10.5194/essd-13-4349-2021</w:t>
      </w:r>
    </w:p>
    <w:p>
      <w:pPr>
        <w:pStyle w:val="Normal"/>
        <w:spacing w:lineRule="auto" w:line="360" w:before="0" w:after="120"/>
        <w:jc w:val="both"/>
        <w:rPr/>
      </w:pPr>
      <w:r>
        <w:rPr>
          <w:rFonts w:eastAsia="Arial" w:cs="Arial"/>
          <w:sz w:val="22"/>
          <w:szCs w:val="22"/>
        </w:rPr>
        <w:t>Reid, C. E., Brauer, M., Johnston, F. H., Jerrett, M., Balmes, J. R., &amp; Elliott, C. T. (2016). Critical review of health impacts of wildfire smoke exposure. Environmental Health Perspectives, 124(9), 1334–1343. https://doi.org/10.1289/ehp.1409277</w:t>
      </w:r>
    </w:p>
    <w:p>
      <w:pPr>
        <w:pStyle w:val="Normal"/>
        <w:spacing w:lineRule="auto" w:line="360" w:before="0" w:after="120"/>
        <w:jc w:val="both"/>
        <w:rPr/>
      </w:pPr>
      <w:r>
        <w:rPr>
          <w:rFonts w:eastAsia="Arial" w:cs="Arial"/>
          <w:sz w:val="22"/>
          <w:szCs w:val="22"/>
        </w:rPr>
        <w:t>van der Werf, G. R., Randerson, J. T., Giglio, L., van Leeuwen, T. T., Chen, Y., Rogers, B. M., Mu, M., van Marle, M. J. E., Morton, D. C., Collatz, G. J., Yokelson, R. J., &amp; Kasibhatla, P. S. (2017). Global fire emissions estimates during 1997–2016. Earth System Science Data, 9(2), 697–720. https://doi.org/10.5194/essd-9-697-2017</w:t>
      </w:r>
    </w:p>
    <w:p>
      <w:pPr>
        <w:pStyle w:val="Heading2"/>
        <w:spacing w:lineRule="auto" w:line="360" w:before="320" w:after="160"/>
        <w:rPr/>
      </w:pPr>
      <w:r>
        <w:rPr>
          <w:rFonts w:eastAsia="Arial" w:cs="Arial" w:ascii="Arial" w:hAnsi="Arial"/>
          <w:b/>
          <w:bCs/>
          <w:color w:val="2E75B6"/>
          <w:sz w:val="26"/>
          <w:szCs w:val="26"/>
        </w:rPr>
        <w:t>Documentación oficial de herramientas</w:t>
      </w:r>
    </w:p>
    <w:p>
      <w:pPr>
        <w:pStyle w:val="Normal"/>
        <w:spacing w:lineRule="auto" w:line="360" w:before="0" w:after="120"/>
        <w:jc w:val="both"/>
        <w:rPr/>
      </w:pPr>
      <w:r>
        <w:rPr>
          <w:rFonts w:eastAsia="Arial" w:cs="Arial"/>
          <w:sz w:val="22"/>
          <w:szCs w:val="22"/>
        </w:rPr>
        <w:t>MongoDB. (s. f.-a). Replication. MongoDB Documentation. Recuperado el 13 de abril de 2026, de https://www.mongodb.com/docs/manual/replication/</w:t>
      </w:r>
    </w:p>
    <w:p>
      <w:pPr>
        <w:pStyle w:val="Normal"/>
        <w:spacing w:lineRule="auto" w:line="360" w:before="0" w:after="120"/>
        <w:jc w:val="both"/>
        <w:rPr/>
      </w:pPr>
      <w:r>
        <w:rPr>
          <w:rFonts w:eastAsia="Arial" w:cs="Arial"/>
          <w:sz w:val="22"/>
          <w:szCs w:val="22"/>
        </w:rPr>
        <w:t>MongoDB. (s. f.-b). Schema validation. MongoDB Documentation. Recuperado el 13 de abril de 2026, de https://www.mongodb.com/docs/manual/core/schema-validation/</w:t>
      </w:r>
    </w:p>
    <w:p>
      <w:pPr>
        <w:pStyle w:val="Normal"/>
        <w:spacing w:lineRule="auto" w:line="360" w:before="0" w:after="120"/>
        <w:jc w:val="both"/>
        <w:rPr/>
      </w:pPr>
      <w:r>
        <w:rPr>
          <w:rFonts w:eastAsia="Arial" w:cs="Arial"/>
          <w:sz w:val="22"/>
          <w:szCs w:val="22"/>
        </w:rPr>
        <w:t>MongoDB. (s. f.-c). Specify JSON schema validation. MongoDB Documentation. Recuperado el 13 de abril de 2026, de https://www.mongodb.com/docs/manual/core/schema-validation/specify-json-schema/</w:t>
      </w:r>
    </w:p>
    <w:p>
      <w:pPr>
        <w:pStyle w:val="Normal"/>
        <w:spacing w:lineRule="auto" w:line="360" w:before="0" w:after="120"/>
        <w:jc w:val="both"/>
        <w:rPr/>
      </w:pPr>
      <w:r>
        <w:rPr>
          <w:rFonts w:eastAsia="Arial" w:cs="Arial"/>
          <w:sz w:val="22"/>
          <w:szCs w:val="22"/>
        </w:rPr>
        <w:t>MongoDB. (s. f.-d). Sharding. MongoDB Documentation. Recuperado el 13 de abril de 2026, de https://www.mongodb.com/docs/manual/sharding/</w:t>
      </w:r>
    </w:p>
    <w:p>
      <w:pPr>
        <w:pStyle w:val="Normal"/>
        <w:spacing w:lineRule="auto" w:line="360" w:before="0" w:after="120"/>
        <w:jc w:val="both"/>
        <w:rPr/>
      </w:pPr>
      <w:r>
        <w:rPr>
          <w:rFonts w:eastAsia="Arial" w:cs="Arial"/>
          <w:sz w:val="22"/>
          <w:szCs w:val="22"/>
        </w:rPr>
        <w:t>MySQL. (s. f.-a). MySQL reference manual. Oracle. Recuperado el 13 de abril de 2026, de https://dev.mysql.com/doc/en/</w:t>
      </w:r>
    </w:p>
    <w:p>
      <w:pPr>
        <w:pStyle w:val="Normal"/>
        <w:spacing w:lineRule="auto" w:line="360" w:before="0" w:after="120"/>
        <w:jc w:val="both"/>
        <w:rPr/>
      </w:pPr>
      <w:r>
        <w:rPr>
          <w:rFonts w:eastAsia="Arial" w:cs="Arial"/>
          <w:sz w:val="22"/>
          <w:szCs w:val="22"/>
        </w:rPr>
        <w:t>MySQL. (s. f.-b). Replication. Oracle. Recuperado el 13 de abril de 2026, de https://dev.mysql.com/doc/en/replication.html</w:t>
      </w:r>
    </w:p>
    <w:p>
      <w:pPr>
        <w:pStyle w:val="Normal"/>
        <w:spacing w:lineRule="auto" w:line="360" w:before="0" w:after="120"/>
        <w:jc w:val="both"/>
        <w:rPr/>
      </w:pPr>
      <w:r>
        <w:rPr>
          <w:rFonts w:eastAsia="Arial" w:cs="Arial"/>
          <w:sz w:val="22"/>
          <w:szCs w:val="22"/>
        </w:rPr>
        <w:t>Open-Meteo. (s. f.). Historical weather API. Recuperado el 13 de abril de 2026, de https://open-meteo.com/en/docs/historical-weather-api</w:t>
      </w:r>
    </w:p>
    <w:p>
      <w:pPr>
        <w:pStyle w:val="Normal"/>
        <w:spacing w:lineRule="auto" w:line="360" w:before="0" w:after="120"/>
        <w:jc w:val="both"/>
        <w:rPr/>
      </w:pPr>
      <w:r>
        <w:rPr>
          <w:rFonts w:eastAsia="Arial" w:cs="Arial"/>
          <w:sz w:val="22"/>
          <w:szCs w:val="22"/>
        </w:rPr>
        <w:t>Pydantic. (s. f.). Models. Pydantic Documentation. Recuperado el 13 de abril de 2026, de https://pydantic.dev/docs/validation/latest/concepts/models/</w:t>
      </w:r>
    </w:p>
    <w:p>
      <w:pPr>
        <w:pStyle w:val="Normal"/>
        <w:spacing w:lineRule="auto" w:line="360" w:before="0" w:after="120"/>
        <w:jc w:val="both"/>
        <w:rPr/>
      </w:pPr>
      <w:r>
        <w:rPr>
          <w:rFonts w:eastAsia="Arial" w:cs="Arial"/>
          <w:sz w:val="22"/>
          <w:szCs w:val="22"/>
        </w:rPr>
        <w:t>Streamlit. (s. f.-a). Documentation. Recuperado el 13 de abril de 2026, de https://docs.streamlit.io/</w:t>
      </w:r>
    </w:p>
    <w:p>
      <w:pPr>
        <w:pStyle w:val="Normal"/>
        <w:spacing w:lineRule="auto" w:line="360" w:before="0" w:after="120"/>
        <w:jc w:val="both"/>
        <w:rPr/>
      </w:pPr>
      <w:r>
        <w:rPr>
          <w:rFonts w:eastAsia="Arial" w:cs="Arial"/>
          <w:sz w:val="22"/>
          <w:szCs w:val="22"/>
        </w:rPr>
        <w:t>Streamlit. (s. f.-b). Basic concepts. Recuperado el 13 de abril de 2026, de https://docs.streamlit.io/get-started/fundamentals/main-concepts</w:t>
      </w:r>
    </w:p>
    <w:p>
      <w:pPr>
        <w:pStyle w:val="Heading2"/>
        <w:spacing w:lineRule="auto" w:line="360" w:before="320" w:after="160"/>
        <w:rPr/>
      </w:pPr>
      <w:r>
        <w:rPr>
          <w:rFonts w:eastAsia="Arial" w:cs="Arial" w:ascii="Arial" w:hAnsi="Arial"/>
          <w:b/>
          <w:bCs/>
          <w:color w:val="2E75B6"/>
          <w:sz w:val="26"/>
          <w:szCs w:val="26"/>
        </w:rPr>
        <w:t>Fuentes de datos</w:t>
      </w:r>
    </w:p>
    <w:p>
      <w:pPr>
        <w:pStyle w:val="Normal"/>
        <w:spacing w:lineRule="auto" w:line="360" w:before="0" w:after="120"/>
        <w:jc w:val="both"/>
        <w:rPr/>
      </w:pPr>
      <w:r>
        <w:rPr>
          <w:rFonts w:eastAsia="Arial" w:cs="Arial"/>
          <w:sz w:val="22"/>
          <w:szCs w:val="22"/>
        </w:rPr>
        <w:t>NASA FIRMS — https://firms.modaps.eosdis.nasa.gov/</w:t>
      </w:r>
    </w:p>
    <w:p>
      <w:pPr>
        <w:pStyle w:val="Normal"/>
        <w:spacing w:lineRule="auto" w:line="360" w:before="0" w:after="120"/>
        <w:jc w:val="both"/>
        <w:rPr/>
      </w:pPr>
      <w:r>
        <w:rPr>
          <w:rFonts w:eastAsia="Arial" w:cs="Arial"/>
          <w:sz w:val="22"/>
          <w:szCs w:val="22"/>
        </w:rPr>
        <w:t>CAMS / Copernicus — https://atmosphere.copernicus.eu/</w:t>
      </w:r>
    </w:p>
    <w:p>
      <w:pPr>
        <w:pStyle w:val="Normal"/>
        <w:spacing w:lineRule="auto" w:line="360" w:before="0" w:after="120"/>
        <w:jc w:val="both"/>
        <w:rPr/>
      </w:pPr>
      <w:r>
        <w:rPr>
          <w:rFonts w:eastAsia="Arial" w:cs="Arial"/>
          <w:sz w:val="22"/>
          <w:szCs w:val="22"/>
        </w:rPr>
        <w:t>CHIRPS (UCSB) — https://www.chc.ucsb.edu/data/chirps</w:t>
      </w:r>
    </w:p>
    <w:p>
      <w:pPr>
        <w:pStyle w:val="Normal"/>
        <w:spacing w:lineRule="auto" w:line="360" w:before="0" w:after="120"/>
        <w:jc w:val="both"/>
        <w:rPr/>
      </w:pPr>
      <w:r>
        <w:rPr>
          <w:rFonts w:eastAsia="Arial" w:cs="Arial"/>
          <w:sz w:val="22"/>
          <w:szCs w:val="22"/>
        </w:rPr>
        <w:t>MODIS / AppEEARS — https://appeears.earthdatacloud.nasa.gov/</w:t>
      </w:r>
    </w:p>
    <w:p>
      <w:pPr>
        <w:pStyle w:val="Normal"/>
        <w:rPr/>
      </w:pPr>
      <w:r>
        <w:rPr/>
      </w:r>
      <w:r>
        <w:br w:type="page"/>
      </w:r>
    </w:p>
    <w:p>
      <w:pPr>
        <w:pStyle w:val="Normal"/>
        <w:spacing w:before="0" w:after="0"/>
        <w:rPr/>
      </w:pPr>
      <w:r>
        <w:rPr/>
      </w:r>
      <w:r>
        <w:br w:type="page"/>
      </w:r>
    </w:p>
    <w:p>
      <w:pPr>
        <w:pStyle w:val="Heading1"/>
        <w:spacing w:lineRule="auto" w:line="360" w:before="0" w:after="240"/>
        <w:rPr/>
      </w:pPr>
      <w:r>
        <w:rPr>
          <w:rFonts w:eastAsia="Arial" w:cs="Arial" w:ascii="Arial" w:hAnsi="Arial"/>
          <w:b/>
          <w:bCs/>
          <w:color w:val="1F4E79"/>
          <w:sz w:val="28"/>
          <w:szCs w:val="28"/>
        </w:rPr>
        <w:t>Anexos</w:t>
      </w:r>
    </w:p>
    <w:p>
      <w:pPr>
        <w:pStyle w:val="Normal"/>
        <w:spacing w:lineRule="auto" w:line="360" w:before="0" w:after="120"/>
        <w:jc w:val="both"/>
        <w:rPr/>
      </w:pPr>
      <w:r>
        <w:rPr>
          <w:rFonts w:eastAsia="Arial" w:cs="Arial"/>
          <w:sz w:val="22"/>
          <w:szCs w:val="22"/>
        </w:rPr>
        <w:t>Los anexos A–F que siguen complementan el cuerpo principal con el material técnico completo: el script DDL del Data Warehouse MySQL, los JSON Schema de las colecciones MongoDB, las figuras del sistema, los fragmentos clave del pipeline ETL en Python, los ejemplos reales de logs y metadata CDC, las once consultas SQL analíticas con los siete KPIs asociados y, finalmente, los bosquejos del dashboard Streamlit previsto para la fase final del proyecto.</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A. Script DDL completo de MySQL</w:t>
      </w:r>
    </w:p>
    <w:p>
      <w:pPr>
        <w:pStyle w:val="Normal"/>
        <w:spacing w:lineRule="auto" w:line="360" w:before="0" w:after="120"/>
        <w:jc w:val="both"/>
        <w:rPr/>
      </w:pPr>
      <w:r>
        <w:rPr>
          <w:rFonts w:eastAsia="Arial" w:cs="Arial"/>
          <w:sz w:val="22"/>
          <w:szCs w:val="22"/>
        </w:rPr>
        <w:t>Este anexo contiene el script DDL íntegro del Data Warehouse analítico del proyecto, listo para ser ejecutado en MySQL Workbench contra un servidor MySQL 8.0 o superior. Crea la base sinia_sa_dw, las cuatro dimensiones conformadas (dim_tiempo, dim_pais, dim_grilla, dim_cobertura), las cinco tablas de hechos (fact_incendios_diario, fact_meteorologia_diaria, fact_calidad_aire_diaria, fact_precipitacion_mensual, fact_cobertura_vegetal_anual), las claves foráneas, las restricciones CHECK, los índices secundarios y cuatro vistas analíticas. Incluye además los datos semilla mínimos de los doce países de América del Sur y las diecisiete clases IGBP de cobertura vegetal utilizadas por MODIS.</w:t>
      </w:r>
    </w:p>
    <w:p>
      <w:pPr>
        <w:pStyle w:val="Normal"/>
        <w:spacing w:lineRule="auto" w:line="360" w:before="0" w:after="120"/>
        <w:jc w:val="both"/>
        <w:rPr/>
      </w:pPr>
      <w:r>
        <w:rPr>
          <w:rFonts w:eastAsia="Arial" w:cs="Arial"/>
          <w:sz w:val="22"/>
          <w:szCs w:val="22"/>
        </w:rPr>
        <w:t>Archivo fuente: sql/ddl/06_schema_mysql_dw.sql</w:t>
      </w:r>
    </w:p>
    <w:p>
      <w:pPr>
        <w:pStyle w:val="Heading3"/>
        <w:spacing w:lineRule="auto" w:line="360" w:before="240" w:after="120"/>
        <w:rPr/>
      </w:pPr>
      <w:r>
        <w:rPr>
          <w:rFonts w:eastAsia="Arial" w:cs="Arial" w:ascii="Arial" w:hAnsi="Arial"/>
          <w:b/>
          <w:bCs/>
          <w:color w:val="404040"/>
          <w:sz w:val="24"/>
          <w:szCs w:val="24"/>
        </w:rPr>
        <w:t>A.1 Contenido del script</w:t>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SINIA-SA - DDL MySQL 8.0 - Data Warehouse analitico</w:t>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Alcance espacial: America del Sur</w:t>
      </w:r>
    </w:p>
    <w:p>
      <w:pPr>
        <w:pStyle w:val="Normal"/>
        <w:spacing w:before="0" w:after="30"/>
        <w:rPr/>
      </w:pPr>
      <w:r>
        <w:rPr>
          <w:rFonts w:eastAsia="Courier New" w:cs="Courier New" w:ascii="Courier New" w:hAnsi="Courier New"/>
          <w:sz w:val="18"/>
          <w:szCs w:val="18"/>
        </w:rPr>
        <w:t>-- Alcance temporal analitico: 2018-2025</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Modelo dimensional propuesto para el informe:</w:t>
      </w:r>
    </w:p>
    <w:p>
      <w:pPr>
        <w:pStyle w:val="Normal"/>
        <w:spacing w:before="0" w:after="30"/>
        <w:rPr/>
      </w:pPr>
      <w:r>
        <w:rPr>
          <w:rFonts w:eastAsia="Courier New" w:cs="Courier New" w:ascii="Courier New" w:hAnsi="Courier New"/>
          <w:sz w:val="18"/>
          <w:szCs w:val="18"/>
        </w:rPr>
        <w:t>--   Dimensiones conformadas:</w:t>
      </w:r>
    </w:p>
    <w:p>
      <w:pPr>
        <w:pStyle w:val="Normal"/>
        <w:spacing w:before="0" w:after="30"/>
        <w:rPr/>
      </w:pPr>
      <w:r>
        <w:rPr>
          <w:rFonts w:eastAsia="Courier New" w:cs="Courier New" w:ascii="Courier New" w:hAnsi="Courier New"/>
          <w:sz w:val="18"/>
          <w:szCs w:val="18"/>
        </w:rPr>
        <w:t>--     - dim_tiempo</w:t>
      </w:r>
    </w:p>
    <w:p>
      <w:pPr>
        <w:pStyle w:val="Normal"/>
        <w:spacing w:before="0" w:after="30"/>
        <w:rPr/>
      </w:pPr>
      <w:r>
        <w:rPr>
          <w:rFonts w:eastAsia="Courier New" w:cs="Courier New" w:ascii="Courier New" w:hAnsi="Courier New"/>
          <w:sz w:val="18"/>
          <w:szCs w:val="18"/>
        </w:rPr>
        <w:t>--     - dim_pais</w:t>
      </w:r>
    </w:p>
    <w:p>
      <w:pPr>
        <w:pStyle w:val="Normal"/>
        <w:spacing w:before="0" w:after="30"/>
        <w:rPr/>
      </w:pPr>
      <w:r>
        <w:rPr>
          <w:rFonts w:eastAsia="Courier New" w:cs="Courier New" w:ascii="Courier New" w:hAnsi="Courier New"/>
          <w:sz w:val="18"/>
          <w:szCs w:val="18"/>
        </w:rPr>
        <w:t>--     - dim_grilla</w:t>
      </w:r>
    </w:p>
    <w:p>
      <w:pPr>
        <w:pStyle w:val="Normal"/>
        <w:spacing w:before="0" w:after="30"/>
        <w:rPr/>
      </w:pPr>
      <w:r>
        <w:rPr>
          <w:rFonts w:eastAsia="Courier New" w:cs="Courier New" w:ascii="Courier New" w:hAnsi="Courier New"/>
          <w:sz w:val="18"/>
          <w:szCs w:val="18"/>
        </w:rPr>
        <w:t>--     - dim_cobertura</w:t>
      </w:r>
    </w:p>
    <w:p>
      <w:pPr>
        <w:pStyle w:val="Normal"/>
        <w:spacing w:before="0" w:after="30"/>
        <w:rPr/>
      </w:pPr>
      <w:r>
        <w:rPr>
          <w:rFonts w:eastAsia="Courier New" w:cs="Courier New" w:ascii="Courier New" w:hAnsi="Courier New"/>
          <w:sz w:val="18"/>
          <w:szCs w:val="18"/>
        </w:rPr>
        <w:t>--   Tablas de hechos:</w:t>
      </w:r>
    </w:p>
    <w:p>
      <w:pPr>
        <w:pStyle w:val="Normal"/>
        <w:spacing w:before="0" w:after="30"/>
        <w:rPr/>
      </w:pPr>
      <w:r>
        <w:rPr>
          <w:rFonts w:eastAsia="Courier New" w:cs="Courier New" w:ascii="Courier New" w:hAnsi="Courier New"/>
          <w:sz w:val="18"/>
          <w:szCs w:val="18"/>
        </w:rPr>
        <w:t>--     - fact_incendios_diario</w:t>
      </w:r>
    </w:p>
    <w:p>
      <w:pPr>
        <w:pStyle w:val="Normal"/>
        <w:spacing w:before="0" w:after="30"/>
        <w:rPr/>
      </w:pPr>
      <w:r>
        <w:rPr>
          <w:rFonts w:eastAsia="Courier New" w:cs="Courier New" w:ascii="Courier New" w:hAnsi="Courier New"/>
          <w:sz w:val="18"/>
          <w:szCs w:val="18"/>
        </w:rPr>
        <w:t>--     - fact_meteorologia_diaria</w:t>
      </w:r>
    </w:p>
    <w:p>
      <w:pPr>
        <w:pStyle w:val="Normal"/>
        <w:spacing w:before="0" w:after="30"/>
        <w:rPr/>
      </w:pPr>
      <w:r>
        <w:rPr>
          <w:rFonts w:eastAsia="Courier New" w:cs="Courier New" w:ascii="Courier New" w:hAnsi="Courier New"/>
          <w:sz w:val="18"/>
          <w:szCs w:val="18"/>
        </w:rPr>
        <w:t>--     - fact_calidad_aire_diaria</w:t>
      </w:r>
    </w:p>
    <w:p>
      <w:pPr>
        <w:pStyle w:val="Normal"/>
        <w:spacing w:before="0" w:after="30"/>
        <w:rPr/>
      </w:pPr>
      <w:r>
        <w:rPr>
          <w:rFonts w:eastAsia="Courier New" w:cs="Courier New" w:ascii="Courier New" w:hAnsi="Courier New"/>
          <w:sz w:val="18"/>
          <w:szCs w:val="18"/>
        </w:rPr>
        <w:t>--     - fact_precipitacion_mensual</w:t>
      </w:r>
    </w:p>
    <w:p>
      <w:pPr>
        <w:pStyle w:val="Normal"/>
        <w:spacing w:before="0" w:after="30"/>
        <w:rPr/>
      </w:pPr>
      <w:r>
        <w:rPr>
          <w:rFonts w:eastAsia="Courier New" w:cs="Courier New" w:ascii="Courier New" w:hAnsi="Courier New"/>
          <w:sz w:val="18"/>
          <w:szCs w:val="18"/>
        </w:rPr>
        <w:t>--     - fact_cobertura_vegetal_anual</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Criterios de diseno:</w:t>
      </w:r>
    </w:p>
    <w:p>
      <w:pPr>
        <w:pStyle w:val="Normal"/>
        <w:spacing w:before="0" w:after="30"/>
        <w:rPr/>
      </w:pPr>
      <w:r>
        <w:rPr>
          <w:rFonts w:eastAsia="Courier New" w:cs="Courier New" w:ascii="Courier New" w:hAnsi="Courier New"/>
          <w:sz w:val="18"/>
          <w:szCs w:val="18"/>
        </w:rPr>
        <w:t>--   - Grano explicito por tabla de hechos</w:t>
      </w:r>
    </w:p>
    <w:p>
      <w:pPr>
        <w:pStyle w:val="Normal"/>
        <w:spacing w:before="0" w:after="30"/>
        <w:rPr/>
      </w:pPr>
      <w:r>
        <w:rPr>
          <w:rFonts w:eastAsia="Courier New" w:cs="Courier New" w:ascii="Courier New" w:hAnsi="Courier New"/>
          <w:sz w:val="18"/>
          <w:szCs w:val="18"/>
        </w:rPr>
        <w:t>--   - Integracion espacial mediante grilla comun de 0.25 grados</w:t>
      </w:r>
    </w:p>
    <w:p>
      <w:pPr>
        <w:pStyle w:val="Normal"/>
        <w:spacing w:before="0" w:after="30"/>
        <w:rPr/>
      </w:pPr>
      <w:r>
        <w:rPr>
          <w:rFonts w:eastAsia="Courier New" w:cs="Courier New" w:ascii="Courier New" w:hAnsi="Courier New"/>
          <w:sz w:val="18"/>
          <w:szCs w:val="18"/>
        </w:rPr>
        <w:t>--   - Idempotencia mediante claves unicas compuestas por grano analitico</w:t>
      </w:r>
    </w:p>
    <w:p>
      <w:pPr>
        <w:pStyle w:val="Normal"/>
        <w:spacing w:before="0" w:after="30"/>
        <w:rPr/>
      </w:pPr>
      <w:r>
        <w:rPr>
          <w:rFonts w:eastAsia="Courier New" w:cs="Courier New" w:ascii="Courier New" w:hAnsi="Courier New"/>
          <w:sz w:val="18"/>
          <w:szCs w:val="18"/>
        </w:rPr>
        <w:t>--   - Trazabilidad mediante lote_hash y timestamps de carga</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CREATE DATABASE IF NOT EXISTS sinia_sa_dw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CHARACTER SET utf8mb4</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COLLATE utf8mb4_unicode_ci;</w:t>
      </w:r>
    </w:p>
    <w:p>
      <w:pPr>
        <w:pStyle w:val="Normal"/>
        <w:spacing w:before="0" w:after="30"/>
        <w:rPr/>
      </w:pPr>
      <w:r>
        <w:rPr/>
      </w:r>
    </w:p>
    <w:p>
      <w:pPr>
        <w:pStyle w:val="Normal"/>
        <w:spacing w:before="0" w:after="30"/>
        <w:rPr/>
      </w:pPr>
      <w:r>
        <w:rPr>
          <w:rFonts w:eastAsia="Courier New" w:cs="Courier New" w:ascii="Courier New" w:hAnsi="Courier New"/>
          <w:sz w:val="18"/>
          <w:szCs w:val="18"/>
        </w:rPr>
        <w:t>USE sinia_sa_dw;</w:t>
      </w:r>
    </w:p>
    <w:p>
      <w:pPr>
        <w:pStyle w:val="Normal"/>
        <w:spacing w:before="0" w:after="30"/>
        <w:rPr/>
      </w:pPr>
      <w:r>
        <w:rPr/>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DIMENSIONES</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dim_tiempo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 PRIMARY KEY COMMENT 'Formato yyyymmdd',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            DATE         NOT NULL UNIQUE,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anio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semestre         TINYINT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trimestre        TINYINT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mes              TINYINT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nombre_mes       VARCHAR(15)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dia              TINYINT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dia_anio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semana_anio      TINYINT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es_fin_semana    BOOLEAN      NOT NULL DEFAULT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nivel_temporal   ENUM('diario', 'mensual', 'anual') NOT NULL DEFAULT 'diario',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(anio BETWEEN 2018 AND 2025),</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(semestre BETWEEN 1 AND 2),</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(trimestre BETWEEN 1 AND 4),</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(mes BETWEEN 1 AND 12),</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(dia BETWEEN 1 AND 31)</w:t>
      </w:r>
    </w:p>
    <w:p>
      <w:pPr>
        <w:pStyle w:val="Normal"/>
        <w:spacing w:before="0" w:after="30"/>
        <w:rPr/>
      </w:pPr>
      <w:r>
        <w:rPr>
          <w:rFonts w:eastAsia="Courier New" w:cs="Courier New" w:ascii="Courier New" w:hAnsi="Courier New"/>
          <w:sz w:val="18"/>
          <w:szCs w:val="18"/>
        </w:rPr>
        <w:t>) ENGINE=InnoDB COMMENT='Dimension tiempo para hechos diarios, mensuales y anuales';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dim_pais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codigo_iso3      CHAR(3)      NOT NULL UNIQUE,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codigo_iso2      CHAR(2)      NOT NULL UNIQUE,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nombre_pais      VARCHAR(60)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subregion        VARCHAR(40)  NOT NULL DEFAULT 'America del Sur',</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activo           BOOLEAN      NOT NULL DEFAULT TRUE</w:t>
      </w:r>
    </w:p>
    <w:p>
      <w:pPr>
        <w:pStyle w:val="Normal"/>
        <w:spacing w:before="0" w:after="30"/>
        <w:rPr/>
      </w:pPr>
      <w:r>
        <w:rPr>
          <w:rFonts w:eastAsia="Courier New" w:cs="Courier New" w:ascii="Courier New" w:hAnsi="Courier New"/>
          <w:sz w:val="18"/>
          <w:szCs w:val="18"/>
        </w:rPr>
        <w:t>) ENGINE=InnoDB COMMENT='Dimension pais para comparaciones regionales';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dim_grilla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celda_id            VARCHAR(32)   NOT NULL UNIQUE,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resolucion_grados   DECIMAL(4,2)  NOT NULL DEFAULT 0.25,</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lat_centro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lon_centro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lat_min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lat_max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lon_min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lon_max             DECIMAL(8,4)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pais_dominante_key  SMALLINT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porcentaje_tierra   DECIMAL(5,2)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fk_dim_grilla_pais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(pais_dominante_key) REFERENCES dim_pais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(lat_centro BETWEEN -90.0000 AND 90.0000),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(lon_centro BETWEEN -180.0000 AND 180.0000),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(lat_min &lt;= lat_max),</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(lon_min &lt;= lon_max)</w:t>
      </w:r>
    </w:p>
    <w:p>
      <w:pPr>
        <w:pStyle w:val="Normal"/>
        <w:spacing w:before="0" w:after="30"/>
        <w:rPr/>
      </w:pPr>
      <w:r>
        <w:rPr>
          <w:rFonts w:eastAsia="Courier New" w:cs="Courier New" w:ascii="Courier New" w:hAnsi="Courier New"/>
          <w:sz w:val="18"/>
          <w:szCs w:val="18"/>
        </w:rPr>
        <w:t>) ENGINE=InnoDB COMMENT='Dimension espacial armonizada en grilla regular de 0.25 grados';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dim_cobertura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cobertura_key        SMALLINT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codigo_igbp          SMALLINT      NOT NULL UNIQUE,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descripcion          VARCHAR(80)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grupo_combustible    VARCHAR(40)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indice_combustible   DECIMAL(5,2)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es_antrpica          BOOLEAN       NOT NULL DEFAULT FALSE</w:t>
      </w:r>
    </w:p>
    <w:p>
      <w:pPr>
        <w:pStyle w:val="Normal"/>
        <w:spacing w:before="0" w:after="30"/>
        <w:rPr/>
      </w:pPr>
      <w:r>
        <w:rPr>
          <w:rFonts w:eastAsia="Courier New" w:cs="Courier New" w:ascii="Courier New" w:hAnsi="Courier New"/>
          <w:sz w:val="18"/>
          <w:szCs w:val="18"/>
        </w:rPr>
        <w:t>) ENGINE=InnoDB COMMENT='Dimension de clases MODIS IGBP';</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HECHOS</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fact_incendios_diario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incendio_diario_key      BIGINT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cantidad_focos           INT            NOT NULL DEFAULT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focos_confianza_alta     INT            NOT NULL DEFAULT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focos_diurnos            INT            NOT NULL DEFAULT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focos_nocturnos          INT            NOT NULL DEFAULT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frp_total_mw             DECIMAL(16,3)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frp_promedio_mw          DECIMAL(12,3)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frp_max_mw               DECIMAL(12,3)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densidad_focos_km2       DECIMAL(12,6)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VARCHAR(30)    NOT NULL DEFAULT 'NASA_FIRMS',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CHAR(64)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cargado_en               TIMESTAMP      NOT NULL DEFAULT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uq_fact_incendios_diario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UNIQUE (tiempo_key, grilla_key,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fk_incendios_tiempo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(tiempo_key) REFERENCES dim_tiempo (tiempo_key),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fk_incendios_grilla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(grilla_key) REFERENCES dim_grilla (grilla_key),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fk_incendios_pais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(pais_key) REFERENCES dim_pais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(cantidad_focos &gt;=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(focos_confianza_alta &gt;=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(focos_diurnos &gt;=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(focos_nocturnos &gt;= 0)</w:t>
      </w:r>
    </w:p>
    <w:p>
      <w:pPr>
        <w:pStyle w:val="Normal"/>
        <w:spacing w:before="0" w:after="30"/>
        <w:rPr/>
      </w:pPr>
      <w:r>
        <w:rPr>
          <w:rFonts w:eastAsia="Courier New" w:cs="Courier New" w:ascii="Courier New" w:hAnsi="Courier New"/>
          <w:sz w:val="18"/>
          <w:szCs w:val="18"/>
        </w:rPr>
        <w:t>) ENGINE=InnoDB COMMENT='Hecho diario agregado de focos de calor por celda y 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fact_meteorologia_diaria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meteorologia_diaria_key          BIGINT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temperatura_max_c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temperatura_min_c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temperatura_media_c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humedad_relativa_min_pct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humedad_relativa_media_pct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viento_max_kmh                   DECIMAL(6,2)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precipitacion_diaria_mm          DECIMAL(8,2)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presion_media_hpa                DECIMAL(8,2)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et0_mm                           DECIMAL(8,3)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riesgo_temp                      DECIMAL(6,4)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riesgo_humedad                   DECIMAL(6,4)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riesgo_viento                    DECIMAL(6,4)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riesgo_sequia                    DECIMAL(6,4)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indice_riesgo                    DECIMAL(6,4)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nivel_riesgo                     ENUM('bajo', 'moderado', 'alto', 'muy_alto')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VARCHAR(30)   NOT NULL DEFAULT 'OPEN_METEO_ERA5_LAND',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CHAR(64)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cargado_en                       TIMESTAMP     NOT NULL DEFAULT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actualizado_en                   TIMESTAMP     NOT NULL DEFAULT CURRENT_TIMESTAMP ON UPDATE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uq_fact_meteorologia_diaria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UNIQUE (tiempo_key, grilla_key,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fk_meteorologia_tiempo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(tiempo_key) REFERENCES dim_tiempo (tiempo_key),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fk_meteorologia_grilla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(grilla_key) REFERENCES dim_grilla (grilla_key),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fk_meteorologia_pais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(pais_key) REFERENCES dim_pais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(indice_riesgo IS NULL OR indice_riesgo BETWEEN 0 AND 1)</w:t>
      </w:r>
    </w:p>
    <w:p>
      <w:pPr>
        <w:pStyle w:val="Normal"/>
        <w:spacing w:before="0" w:after="30"/>
        <w:rPr/>
      </w:pPr>
      <w:r>
        <w:rPr>
          <w:rFonts w:eastAsia="Courier New" w:cs="Courier New" w:ascii="Courier New" w:hAnsi="Courier New"/>
          <w:sz w:val="18"/>
          <w:szCs w:val="18"/>
        </w:rPr>
        <w:t>) ENGINE=InnoDB COMMENT='Hecho diario meteorologico integrado por celda y 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fact_calidad_aire_diaria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calidad_aire_diaria_key          BIGINT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pm10_media_ug_m3                 DECIMAL(10,3)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pm10_max_ug_m3                   DECIMAL(10,3)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pm10_p95_ug_m3                   DECIMAL(10,3)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pm2_5_media_ug_m3                DECIMAL(10,3)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pm2_5_max_ug_m3                  DECIMAL(10,3)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aerosol_optical_depth_media      DECIMAL(10,5)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aqi_europeo_medio                DECIMAL(8,2)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aqi_europeo_max                  DECIMAL(8,2)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horas_validas                    TINYINT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supera_umbral_oms_pm10           BOOLEAN       NOT NULL DEFAULT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nivel_pm10                       ENUM('normal', 'elevado', 'alerta')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VARCHAR(30)   NOT NULL DEFAULT 'CAMS_OPEN_METEO',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CHAR(64)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cargado_en                       TIMESTAMP     NOT NULL DEFAULT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actualizado_en                   TIMESTAMP     NOT NULL DEFAULT CURRENT_TIMESTAMP ON UPDATE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uq_fact_calidad_aire_diaria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UNIQUE (tiempo_key, grilla_key,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fk_calidad_aire_tiempo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(tiempo_key) REFERENCES dim_tiempo (tiempo_key),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fk_calidad_aire_grilla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(grilla_key) REFERENCES dim_grilla (grilla_key),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fk_calidad_aire_pais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(pais_key) REFERENCES dim_pais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(horas_validas IS NULL OR horas_validas BETWEEN 0 AND 24)</w:t>
      </w:r>
    </w:p>
    <w:p>
      <w:pPr>
        <w:pStyle w:val="Normal"/>
        <w:spacing w:before="0" w:after="30"/>
        <w:rPr/>
      </w:pPr>
      <w:r>
        <w:rPr>
          <w:rFonts w:eastAsia="Courier New" w:cs="Courier New" w:ascii="Courier New" w:hAnsi="Courier New"/>
          <w:sz w:val="18"/>
          <w:szCs w:val="18"/>
        </w:rPr>
        <w:t>) ENGINE=InnoDB COMMENT='Hecho diario de calidad del aire agregado por celda y 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fact_precipitacion_mensual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precipitacion_mensual_key        BIGINT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 COMMENT 'Primer dia del 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precipitacion_total_mm           DECIMAL(10,2)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anomalia_pct                     DECIMAL(8,2)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categoria_sequia                 ENUM('extrema', 'severa', 'moderada', 'normal', 'humeda')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VARCHAR(30)    NOT NULL DEFAULT 'CHIRPS',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CHAR(64)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cargado_en                       TIMESTAMP      NOT NULL DEFAULT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uq_fact_precipitacion_mensual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UNIQUE (tiempo_key, grilla_key,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fk_precipitacion_tiempo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(tiempo_key) REFERENCES dim_tiempo (tiempo_key),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fk_precipitacion_grilla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(grilla_key) REFERENCES dim_grilla (grilla_key),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fk_precipitacion_pais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(pais_key) REFERENCES dim_pais (pais_key)</w:t>
      </w:r>
    </w:p>
    <w:p>
      <w:pPr>
        <w:pStyle w:val="Normal"/>
        <w:spacing w:before="0" w:after="30"/>
        <w:rPr/>
      </w:pPr>
      <w:r>
        <w:rPr>
          <w:rFonts w:eastAsia="Courier New" w:cs="Courier New" w:ascii="Courier New" w:hAnsi="Courier New"/>
          <w:sz w:val="18"/>
          <w:szCs w:val="18"/>
        </w:rPr>
        <w:t>) ENGINE=InnoDB COMMENT='Hecho mensual de precipitacion armonizado por celda y 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TABLE IF NOT EXISTS fact_cobertura_vegetal_anual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cobertura_vegetal_anual_key      BIGINT         NOT NULL AUTO_INCREMENT PRIMARY 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tiempo_key                       INT            NOT NULL COMMENT 'Primer dia del anio',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grilla_key                       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cobertura_key                    SMALLINT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porcentaje_clase_dominante       DECIMAL(5,2)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cambio_interanual                BOOLEAN        NOT NULL DEFAULT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VARCHAR(40)    NOT NULL DEFAULT 'MODIS_MCD12Q1_APPEEARS',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CHAR(64)       NOT NULL,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cargado_en                       TIMESTAMP      NOT NULL DEFAULT CURRENT_TIMESTAMP,</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uq_fact_cobertura_vegetal_anual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UNIQUE (tiempo_key, grilla_key,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fk_cobertura_tiempo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(tiempo_key) REFERENCES dim_tiempo (tiempo_key),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fk_cobertura_grilla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(grilla_key) REFERENCES dim_grilla (grilla_key),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fk_cobertura_pais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(pais_key) REFERENCES dim_pais (pais_key),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CONSTRAINT fk_cobertura_dimension</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(cobertura_key) REFERENCES dim_cobertura (cobertura_key)</w:t>
      </w:r>
    </w:p>
    <w:p>
      <w:pPr>
        <w:pStyle w:val="Normal"/>
        <w:spacing w:before="0" w:after="30"/>
        <w:rPr/>
      </w:pPr>
      <w:r>
        <w:rPr>
          <w:rFonts w:eastAsia="Courier New" w:cs="Courier New" w:ascii="Courier New" w:hAnsi="Courier New"/>
          <w:sz w:val="18"/>
          <w:szCs w:val="18"/>
        </w:rPr>
        <w:t>) ENGINE=InnoDB COMMENT='Hecho anual de cobertura vegetal dominante por celda y 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INDICES ANALITICOS</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CREATE INDEX idx_tiempo_anio_mes ON dim_tiempo (anio, mes, fecha);</w:t>
      </w:r>
    </w:p>
    <w:p>
      <w:pPr>
        <w:pStyle w:val="Normal"/>
        <w:spacing w:before="0" w:after="30"/>
        <w:rPr/>
      </w:pPr>
      <w:r>
        <w:rPr>
          <w:rFonts w:eastAsia="Courier New" w:cs="Courier New" w:ascii="Courier New" w:hAnsi="Courier New"/>
          <w:sz w:val="18"/>
          <w:szCs w:val="18"/>
        </w:rPr>
        <w:t>CREATE INDEX idx_grilla_pais ON dim_grilla (pais_dominante_key, lat_centro, lon_centro);</w:t>
      </w:r>
    </w:p>
    <w:p>
      <w:pPr>
        <w:pStyle w:val="Normal"/>
        <w:spacing w:before="0" w:after="30"/>
        <w:rPr/>
      </w:pPr>
      <w:r>
        <w:rPr/>
      </w:r>
    </w:p>
    <w:p>
      <w:pPr>
        <w:pStyle w:val="Normal"/>
        <w:spacing w:before="0" w:after="30"/>
        <w:rPr/>
      </w:pPr>
      <w:r>
        <w:rPr>
          <w:rFonts w:eastAsia="Courier New" w:cs="Courier New" w:ascii="Courier New" w:hAnsi="Courier New"/>
          <w:sz w:val="18"/>
          <w:szCs w:val="18"/>
        </w:rPr>
        <w:t>CREATE INDEX idx_fact_incendios_pais_tiempo ON fact_incendios_diario (pais_key, tiempo_key);</w:t>
      </w:r>
    </w:p>
    <w:p>
      <w:pPr>
        <w:pStyle w:val="Normal"/>
        <w:spacing w:before="0" w:after="30"/>
        <w:rPr/>
      </w:pPr>
      <w:r>
        <w:rPr>
          <w:rFonts w:eastAsia="Courier New" w:cs="Courier New" w:ascii="Courier New" w:hAnsi="Courier New"/>
          <w:sz w:val="18"/>
          <w:szCs w:val="18"/>
        </w:rPr>
        <w:t>CREATE INDEX idx_fact_incendios_grilla_tiempo ON fact_incendios_diario (grilla_key, tiempo_key);</w:t>
      </w:r>
    </w:p>
    <w:p>
      <w:pPr>
        <w:pStyle w:val="Normal"/>
        <w:spacing w:before="0" w:after="30"/>
        <w:rPr/>
      </w:pPr>
      <w:r>
        <w:rPr/>
      </w:r>
    </w:p>
    <w:p>
      <w:pPr>
        <w:pStyle w:val="Normal"/>
        <w:spacing w:before="0" w:after="30"/>
        <w:rPr/>
      </w:pPr>
      <w:r>
        <w:rPr>
          <w:rFonts w:eastAsia="Courier New" w:cs="Courier New" w:ascii="Courier New" w:hAnsi="Courier New"/>
          <w:sz w:val="18"/>
          <w:szCs w:val="18"/>
        </w:rPr>
        <w:t>CREATE INDEX idx_fact_meteo_pais_tiempo ON fact_meteorologia_diaria (pais_key, tiempo_key);</w:t>
      </w:r>
    </w:p>
    <w:p>
      <w:pPr>
        <w:pStyle w:val="Normal"/>
        <w:spacing w:before="0" w:after="30"/>
        <w:rPr/>
      </w:pPr>
      <w:r>
        <w:rPr>
          <w:rFonts w:eastAsia="Courier New" w:cs="Courier New" w:ascii="Courier New" w:hAnsi="Courier New"/>
          <w:sz w:val="18"/>
          <w:szCs w:val="18"/>
        </w:rPr>
        <w:t>CREATE INDEX idx_fact_meteo_riesgo ON fact_meteorologia_diaria (nivel_riesgo, tiempo_key);</w:t>
      </w:r>
    </w:p>
    <w:p>
      <w:pPr>
        <w:pStyle w:val="Normal"/>
        <w:spacing w:before="0" w:after="30"/>
        <w:rPr/>
      </w:pPr>
      <w:r>
        <w:rPr/>
      </w:r>
    </w:p>
    <w:p>
      <w:pPr>
        <w:pStyle w:val="Normal"/>
        <w:spacing w:before="0" w:after="30"/>
        <w:rPr/>
      </w:pPr>
      <w:r>
        <w:rPr>
          <w:rFonts w:eastAsia="Courier New" w:cs="Courier New" w:ascii="Courier New" w:hAnsi="Courier New"/>
          <w:sz w:val="18"/>
          <w:szCs w:val="18"/>
        </w:rPr>
        <w:t>CREATE INDEX idx_fact_calidad_pais_tiempo ON fact_calidad_aire_diaria (pais_key, tiempo_key);</w:t>
      </w:r>
    </w:p>
    <w:p>
      <w:pPr>
        <w:pStyle w:val="Normal"/>
        <w:spacing w:before="0" w:after="30"/>
        <w:rPr/>
      </w:pPr>
      <w:r>
        <w:rPr>
          <w:rFonts w:eastAsia="Courier New" w:cs="Courier New" w:ascii="Courier New" w:hAnsi="Courier New"/>
          <w:sz w:val="18"/>
          <w:szCs w:val="18"/>
        </w:rPr>
        <w:t>CREATE INDEX idx_fact_calidad_alerta ON fact_calidad_aire_diaria (supera_umbral_oms_pm10, tiempo_key);</w:t>
      </w:r>
    </w:p>
    <w:p>
      <w:pPr>
        <w:pStyle w:val="Normal"/>
        <w:spacing w:before="0" w:after="30"/>
        <w:rPr/>
      </w:pPr>
      <w:r>
        <w:rPr/>
      </w:r>
    </w:p>
    <w:p>
      <w:pPr>
        <w:pStyle w:val="Normal"/>
        <w:spacing w:before="0" w:after="30"/>
        <w:rPr/>
      </w:pPr>
      <w:r>
        <w:rPr>
          <w:rFonts w:eastAsia="Courier New" w:cs="Courier New" w:ascii="Courier New" w:hAnsi="Courier New"/>
          <w:sz w:val="18"/>
          <w:szCs w:val="18"/>
        </w:rPr>
        <w:t>CREATE INDEX idx_fact_precipitacion_pais_tiempo ON fact_precipitacion_mensual (pais_key, tiempo_key);</w:t>
      </w:r>
    </w:p>
    <w:p>
      <w:pPr>
        <w:pStyle w:val="Normal"/>
        <w:spacing w:before="0" w:after="30"/>
        <w:rPr/>
      </w:pPr>
      <w:r>
        <w:rPr>
          <w:rFonts w:eastAsia="Courier New" w:cs="Courier New" w:ascii="Courier New" w:hAnsi="Courier New"/>
          <w:sz w:val="18"/>
          <w:szCs w:val="18"/>
        </w:rPr>
        <w:t>CREATE INDEX idx_fact_cobertura_pais_tiempo ON fact_cobertura_vegetal_anual (pais_key, tiempo_key);</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VISTAS ANALITICAS</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CREATE OR REPLACE VIEW vw_focos_por_pais_mes AS</w:t>
      </w:r>
    </w:p>
    <w:p>
      <w:pPr>
        <w:pStyle w:val="Normal"/>
        <w:spacing w:before="0" w:after="30"/>
        <w:rPr/>
      </w:pPr>
      <w:r>
        <w:rPr>
          <w:rFonts w:eastAsia="Courier New" w:cs="Courier New" w:ascii="Courier New" w:hAnsi="Courier New"/>
          <w:sz w:val="18"/>
          <w:szCs w:val="18"/>
        </w:rPr>
        <w:t>SELECT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t.anio,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SUM(f.cantidad_focos) AS total_focos,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ROUND(AVG(f.frp_promedio_mw), 3) AS frp_promedio_mw,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MAX(f.frp_max_mw) AS frp_max_mw,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SUM(f.focos_confianza_alta) AS focos_confianza_alta</w:t>
      </w:r>
    </w:p>
    <w:p>
      <w:pPr>
        <w:pStyle w:val="Normal"/>
        <w:spacing w:before="0" w:after="30"/>
        <w:rPr/>
      </w:pPr>
      <w:r>
        <w:rPr>
          <w:rFonts w:eastAsia="Courier New" w:cs="Courier New" w:ascii="Courier New" w:hAnsi="Courier New"/>
          <w:sz w:val="18"/>
          <w:szCs w:val="18"/>
        </w:rPr>
        <w:t>FROM fact_incendios_diario f</w:t>
      </w:r>
    </w:p>
    <w:p>
      <w:pPr>
        <w:pStyle w:val="Normal"/>
        <w:spacing w:before="0" w:after="30"/>
        <w:rPr/>
      </w:pPr>
      <w:r>
        <w:rPr>
          <w:rFonts w:eastAsia="Courier New" w:cs="Courier New" w:ascii="Courier New" w:hAnsi="Courier New"/>
          <w:sz w:val="18"/>
          <w:szCs w:val="18"/>
        </w:rPr>
        <w:t>JOIN dim_tiempo t ON t.tiempo_key = f.tiempo_key</w:t>
      </w:r>
    </w:p>
    <w:p>
      <w:pPr>
        <w:pStyle w:val="Normal"/>
        <w:spacing w:before="0" w:after="30"/>
        <w:rPr/>
      </w:pPr>
      <w:r>
        <w:rPr>
          <w:rFonts w:eastAsia="Courier New" w:cs="Courier New" w:ascii="Courier New" w:hAnsi="Courier New"/>
          <w:sz w:val="18"/>
          <w:szCs w:val="18"/>
        </w:rPr>
        <w:t>JOIN dim_pais p ON p.pais_key = f.pais_key</w:t>
      </w:r>
    </w:p>
    <w:p>
      <w:pPr>
        <w:pStyle w:val="Normal"/>
        <w:spacing w:before="0" w:after="30"/>
        <w:rPr/>
      </w:pPr>
      <w:r>
        <w:rPr>
          <w:rFonts w:eastAsia="Courier New" w:cs="Courier New" w:ascii="Courier New" w:hAnsi="Courier New"/>
          <w:sz w:val="18"/>
          <w:szCs w:val="18"/>
        </w:rPr>
        <w:t>GROUP BY p.nombre_pais, t.anio, t.mes;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OR REPLACE VIEW vw_riesgo_por_pais_mes AS</w:t>
      </w:r>
    </w:p>
    <w:p>
      <w:pPr>
        <w:pStyle w:val="Normal"/>
        <w:spacing w:before="0" w:after="30"/>
        <w:rPr/>
      </w:pPr>
      <w:r>
        <w:rPr>
          <w:rFonts w:eastAsia="Courier New" w:cs="Courier New" w:ascii="Courier New" w:hAnsi="Courier New"/>
          <w:sz w:val="18"/>
          <w:szCs w:val="18"/>
        </w:rPr>
        <w:t>SELECT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t.anio,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ROUND(AVG(m.indice_riesgo), 4) AS riesgo_promedio,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ROUND(MAX(m.indice_riesgo), 4) AS riesgo_maximo,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m.nivel_riesgo IN ('alto', 'muy_alto') THEN 1 ELSE 0 END) AS dias_criticos</w:t>
      </w:r>
    </w:p>
    <w:p>
      <w:pPr>
        <w:pStyle w:val="Normal"/>
        <w:spacing w:before="0" w:after="30"/>
        <w:rPr/>
      </w:pPr>
      <w:r>
        <w:rPr>
          <w:rFonts w:eastAsia="Courier New" w:cs="Courier New" w:ascii="Courier New" w:hAnsi="Courier New"/>
          <w:sz w:val="18"/>
          <w:szCs w:val="18"/>
        </w:rPr>
        <w:t>FROM fact_meteorologia_diaria m</w:t>
      </w:r>
    </w:p>
    <w:p>
      <w:pPr>
        <w:pStyle w:val="Normal"/>
        <w:spacing w:before="0" w:after="30"/>
        <w:rPr/>
      </w:pPr>
      <w:r>
        <w:rPr>
          <w:rFonts w:eastAsia="Courier New" w:cs="Courier New" w:ascii="Courier New" w:hAnsi="Courier New"/>
          <w:sz w:val="18"/>
          <w:szCs w:val="18"/>
        </w:rPr>
        <w:t>JOIN dim_tiempo t ON t.tiempo_key = m.tiempo_key</w:t>
      </w:r>
    </w:p>
    <w:p>
      <w:pPr>
        <w:pStyle w:val="Normal"/>
        <w:spacing w:before="0" w:after="30"/>
        <w:rPr/>
      </w:pPr>
      <w:r>
        <w:rPr>
          <w:rFonts w:eastAsia="Courier New" w:cs="Courier New" w:ascii="Courier New" w:hAnsi="Courier New"/>
          <w:sz w:val="18"/>
          <w:szCs w:val="18"/>
        </w:rPr>
        <w:t>JOIN dim_pais p ON p.pais_key = m.pais_key</w:t>
      </w:r>
    </w:p>
    <w:p>
      <w:pPr>
        <w:pStyle w:val="Normal"/>
        <w:spacing w:before="0" w:after="30"/>
        <w:rPr/>
      </w:pPr>
      <w:r>
        <w:rPr>
          <w:rFonts w:eastAsia="Courier New" w:cs="Courier New" w:ascii="Courier New" w:hAnsi="Courier New"/>
          <w:sz w:val="18"/>
          <w:szCs w:val="18"/>
        </w:rPr>
        <w:t>GROUP BY p.nombre_pais, t.anio, t.mes;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OR REPLACE VIEW vw_alertas_calidad_aire AS</w:t>
      </w:r>
    </w:p>
    <w:p>
      <w:pPr>
        <w:pStyle w:val="Normal"/>
        <w:spacing w:before="0" w:after="30"/>
        <w:rPr/>
      </w:pPr>
      <w:r>
        <w:rPr>
          <w:rFonts w:eastAsia="Courier New" w:cs="Courier New" w:ascii="Courier New" w:hAnsi="Courier New"/>
          <w:sz w:val="18"/>
          <w:szCs w:val="18"/>
        </w:rPr>
        <w:t>SELECT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t.fecha,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g.celda_id,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c.pm10_media_ug_m3,</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c.pm2_5_media_ug_m3,</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c.aqi_europeo_medio,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c.nivel_pm10</w:t>
      </w:r>
    </w:p>
    <w:p>
      <w:pPr>
        <w:pStyle w:val="Normal"/>
        <w:spacing w:before="0" w:after="30"/>
        <w:rPr/>
      </w:pPr>
      <w:r>
        <w:rPr>
          <w:rFonts w:eastAsia="Courier New" w:cs="Courier New" w:ascii="Courier New" w:hAnsi="Courier New"/>
          <w:sz w:val="18"/>
          <w:szCs w:val="18"/>
        </w:rPr>
        <w:t>FROM fact_calidad_aire_diaria c</w:t>
      </w:r>
    </w:p>
    <w:p>
      <w:pPr>
        <w:pStyle w:val="Normal"/>
        <w:spacing w:before="0" w:after="30"/>
        <w:rPr/>
      </w:pPr>
      <w:r>
        <w:rPr>
          <w:rFonts w:eastAsia="Courier New" w:cs="Courier New" w:ascii="Courier New" w:hAnsi="Courier New"/>
          <w:sz w:val="18"/>
          <w:szCs w:val="18"/>
        </w:rPr>
        <w:t>JOIN dim_tiempo t ON t.tiempo_key = c.tiempo_key</w:t>
      </w:r>
    </w:p>
    <w:p>
      <w:pPr>
        <w:pStyle w:val="Normal"/>
        <w:spacing w:before="0" w:after="30"/>
        <w:rPr/>
      </w:pPr>
      <w:r>
        <w:rPr>
          <w:rFonts w:eastAsia="Courier New" w:cs="Courier New" w:ascii="Courier New" w:hAnsi="Courier New"/>
          <w:sz w:val="18"/>
          <w:szCs w:val="18"/>
        </w:rPr>
        <w:t>JOIN dim_pais p ON p.pais_key = c.pais_key</w:t>
      </w:r>
    </w:p>
    <w:p>
      <w:pPr>
        <w:pStyle w:val="Normal"/>
        <w:spacing w:before="0" w:after="30"/>
        <w:rPr/>
      </w:pPr>
      <w:r>
        <w:rPr>
          <w:rFonts w:eastAsia="Courier New" w:cs="Courier New" w:ascii="Courier New" w:hAnsi="Courier New"/>
          <w:sz w:val="18"/>
          <w:szCs w:val="18"/>
        </w:rPr>
        <w:t>JOIN dim_grilla g ON g.grilla_key = c.grilla_key</w:t>
      </w:r>
    </w:p>
    <w:p>
      <w:pPr>
        <w:pStyle w:val="Normal"/>
        <w:spacing w:before="0" w:after="30"/>
        <w:rPr/>
      </w:pPr>
      <w:r>
        <w:rPr>
          <w:rFonts w:eastAsia="Courier New" w:cs="Courier New" w:ascii="Courier New" w:hAnsi="Courier New"/>
          <w:sz w:val="18"/>
          <w:szCs w:val="18"/>
        </w:rPr>
        <w:t>WHERE c.supera_umbral_oms_pm10 = TRUE;</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CREATE OR REPLACE VIEW vw_transicion_cobertura AS</w:t>
      </w:r>
    </w:p>
    <w:p>
      <w:pPr>
        <w:pStyle w:val="Normal"/>
        <w:spacing w:before="0" w:after="30"/>
        <w:rPr/>
      </w:pPr>
      <w:r>
        <w:rPr>
          <w:rFonts w:eastAsia="Courier New" w:cs="Courier New" w:ascii="Courier New" w:hAnsi="Courier New"/>
          <w:sz w:val="18"/>
          <w:szCs w:val="18"/>
        </w:rPr>
        <w:t>SELECT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g.celda_id,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t.anio,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dc.descripcion AS clase_dominante,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f.porcentaje_clase_dominante,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f.cambio_interanual</w:t>
      </w:r>
    </w:p>
    <w:p>
      <w:pPr>
        <w:pStyle w:val="Normal"/>
        <w:spacing w:before="0" w:after="30"/>
        <w:rPr/>
      </w:pPr>
      <w:r>
        <w:rPr>
          <w:rFonts w:eastAsia="Courier New" w:cs="Courier New" w:ascii="Courier New" w:hAnsi="Courier New"/>
          <w:sz w:val="18"/>
          <w:szCs w:val="18"/>
        </w:rPr>
        <w:t>FROM fact_cobertura_vegetal_anual f</w:t>
      </w:r>
    </w:p>
    <w:p>
      <w:pPr>
        <w:pStyle w:val="Normal"/>
        <w:spacing w:before="0" w:after="30"/>
        <w:rPr/>
      </w:pPr>
      <w:r>
        <w:rPr>
          <w:rFonts w:eastAsia="Courier New" w:cs="Courier New" w:ascii="Courier New" w:hAnsi="Courier New"/>
          <w:sz w:val="18"/>
          <w:szCs w:val="18"/>
        </w:rPr>
        <w:t>JOIN dim_tiempo t ON t.tiempo_key = f.tiempo_key</w:t>
      </w:r>
    </w:p>
    <w:p>
      <w:pPr>
        <w:pStyle w:val="Normal"/>
        <w:spacing w:before="0" w:after="30"/>
        <w:rPr/>
      </w:pPr>
      <w:r>
        <w:rPr>
          <w:rFonts w:eastAsia="Courier New" w:cs="Courier New" w:ascii="Courier New" w:hAnsi="Courier New"/>
          <w:sz w:val="18"/>
          <w:szCs w:val="18"/>
        </w:rPr>
        <w:t>JOIN dim_pais p ON p.pais_key = f.pais_key</w:t>
      </w:r>
    </w:p>
    <w:p>
      <w:pPr>
        <w:pStyle w:val="Normal"/>
        <w:spacing w:before="0" w:after="30"/>
        <w:rPr/>
      </w:pPr>
      <w:r>
        <w:rPr>
          <w:rFonts w:eastAsia="Courier New" w:cs="Courier New" w:ascii="Courier New" w:hAnsi="Courier New"/>
          <w:sz w:val="18"/>
          <w:szCs w:val="18"/>
        </w:rPr>
        <w:t>JOIN dim_grilla g ON g.grilla_key = f.grilla_key</w:t>
      </w:r>
    </w:p>
    <w:p>
      <w:pPr>
        <w:pStyle w:val="Normal"/>
        <w:spacing w:before="0" w:after="30"/>
        <w:rPr/>
      </w:pPr>
      <w:r>
        <w:rPr>
          <w:rFonts w:eastAsia="Courier New" w:cs="Courier New" w:ascii="Courier New" w:hAnsi="Courier New"/>
          <w:sz w:val="18"/>
          <w:szCs w:val="18"/>
        </w:rPr>
        <w:t>JOIN dim_cobertura dc ON dc.cobertura_key = f.cobertura_key;</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DATOS SEMILLA MINIMOS</w:t>
      </w:r>
    </w:p>
    <w:p>
      <w:pPr>
        <w:pStyle w:val="Normal"/>
        <w:spacing w:before="0" w:after="30"/>
        <w:rPr/>
      </w:pPr>
      <w:r>
        <w:rPr>
          <w:rFonts w:eastAsia="Courier New" w:cs="Courier New" w:ascii="Courier New" w:hAnsi="Courier New"/>
          <w:sz w:val="18"/>
          <w:szCs w:val="18"/>
        </w:rPr>
        <w:t>-- =============================================================================</w:t>
      </w:r>
    </w:p>
    <w:p>
      <w:pPr>
        <w:pStyle w:val="Normal"/>
        <w:spacing w:before="0" w:after="30"/>
        <w:rPr/>
      </w:pPr>
      <w:r>
        <w:rPr/>
      </w:r>
    </w:p>
    <w:p>
      <w:pPr>
        <w:pStyle w:val="Normal"/>
        <w:spacing w:before="0" w:after="30"/>
        <w:rPr/>
      </w:pPr>
      <w:r>
        <w:rPr>
          <w:rFonts w:eastAsia="Courier New" w:cs="Courier New" w:ascii="Courier New" w:hAnsi="Courier New"/>
          <w:sz w:val="18"/>
          <w:szCs w:val="18"/>
        </w:rPr>
        <w:t>INSERT INTO dim_pais (codigo_iso3, codigo_iso2, nombre_pais) VALUES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('ARG', 'AR', 'Argentina'),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('BOL', 'BO', 'Bolivia'),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('BRA', 'BR', 'Brasil'),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('CHL', 'CL', 'Chile'),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('COL', 'CO', 'Colombia'),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('ECU', 'EC', 'Ecuador'),</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('GUY', 'GY', 'Guyana'),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('PRY', 'PY', 'Paraguay'),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('PER', 'PE', 'Peru'),</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('SUR', 'SR', 'Surinam'),</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('URY', 'UY', 'Uruguay'),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('VEN', 'VE', 'Venezuela')</w:t>
      </w:r>
    </w:p>
    <w:p>
      <w:pPr>
        <w:pStyle w:val="Normal"/>
        <w:spacing w:before="0" w:after="30"/>
        <w:rPr/>
      </w:pPr>
      <w:r>
        <w:rPr>
          <w:rFonts w:eastAsia="Courier New" w:cs="Courier New" w:ascii="Courier New" w:hAnsi="Courier New"/>
          <w:sz w:val="18"/>
          <w:szCs w:val="18"/>
        </w:rPr>
        <w:t>ON DUPLICATE KEY UPDATE nombre_pais = VALUES(nombre_pais);</w:t>
      </w:r>
    </w:p>
    <w:p>
      <w:pPr>
        <w:pStyle w:val="Normal"/>
        <w:spacing w:before="0" w:after="30"/>
        <w:rPr/>
      </w:pPr>
      <w:r>
        <w:rPr/>
      </w:r>
    </w:p>
    <w:p>
      <w:pPr>
        <w:pStyle w:val="Normal"/>
        <w:spacing w:before="0" w:after="30"/>
        <w:rPr/>
      </w:pPr>
      <w:r>
        <w:rPr/>
      </w:r>
    </w:p>
    <w:p>
      <w:pPr>
        <w:pStyle w:val="Normal"/>
        <w:spacing w:before="0" w:after="30"/>
        <w:rPr/>
      </w:pPr>
      <w:r>
        <w:rPr>
          <w:rFonts w:eastAsia="Courier New" w:cs="Courier New" w:ascii="Courier New" w:hAnsi="Courier New"/>
          <w:sz w:val="18"/>
          <w:szCs w:val="18"/>
        </w:rPr>
        <w:t>INSERT INTO dim_cobertura (codigo_igbp, descripcion, grupo_combustible, indice_combustible, es_antrpica) VALUES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 'Bosque siempreverde de coniferas', 'bosque', 0.85,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(2, 'Bosque caducifolio de coniferas', 'bosque', 0.80,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(3, 'Bosque siempreverde de hoja ancha', 'bosque', 0.82,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(4, 'Bosque caducifolio de hoja ancha', 'bosque', 0.78,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(5, 'Bosque mixto', 'bosque', 0.80,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(6, 'Arbustal cerrado', 'arbustal', 0.72,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(7, 'Arbustal abierto', 'arbustal', 0.68,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(8, 'Sabana arbolada', 'sabana', 0.88,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(9, 'Sabana', 'sabana', 0.90,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(10, 'Pastizal', 'pastizal', 0.86,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(11, 'Humedal permanente', 'humedal', 0.20,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(12, 'Tierra de cultivo', 'agropecuario', 0.55, TRUE),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(13, 'Zona urbana', 'urbano', 0.10, TRUE),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(14, 'Mosaico cultivo vegetacion natural', 'mosaico', 0.48, TRUE),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(16, 'Suelo desnudo o vegetacion escasa', 'suelo_desnudo', 0.18,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(17, 'Cuerpo de agua', 'agua', 0.00, FALSE),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(255, 'Sin clasificar', 'sin_clasificar', 0.00, FALSE)</w:t>
      </w:r>
    </w:p>
    <w:p>
      <w:pPr>
        <w:pStyle w:val="Normal"/>
        <w:spacing w:before="0" w:after="30"/>
        <w:rPr/>
      </w:pPr>
      <w:r>
        <w:rPr>
          <w:rFonts w:eastAsia="Courier New" w:cs="Courier New" w:ascii="Courier New" w:hAnsi="Courier New"/>
          <w:sz w:val="18"/>
          <w:szCs w:val="18"/>
        </w:rPr>
        <w:t>ON DUPLICATE KEY UPDATE descripcion = VALUES(descripcion);</w:t>
      </w:r>
    </w:p>
    <w:p>
      <w:pPr>
        <w:pStyle w:val="Normal"/>
        <w:spacing w:before="0" w:after="30"/>
        <w:rPr/>
      </w:pPr>
      <w:r>
        <w:rPr/>
      </w:r>
    </w:p>
    <w:p>
      <w:pPr>
        <w:pStyle w:val="Normal"/>
        <w:spacing w:lineRule="auto" w:line="360" w:before="0" w:after="120"/>
        <w:jc w:val="both"/>
        <w:rPr/>
      </w:pPr>
      <w:r>
        <w:rPr>
          <w:rFonts w:eastAsia="Arial" w:cs="Arial"/>
          <w:sz w:val="22"/>
          <w:szCs w:val="22"/>
        </w:rPr>
        <w:t>Interpretación del script A.1. El DDL implementa el esquema estrella descrito en la Sección 4.2: las dimensiones se crean primero para satisfacer la integridad referencial, luego las cinco tablas de hechos con sus claves foráneas, restricciones CHECK y claves únicas compuestas (tiempo, grilla, país) que garantizan idempotencia en las cargas. Los índices secundarios están orientados a los patrones de consulta P1–P11 (filtros por país+tiempo, por nivel de riesgo y por alerta PM10). Las cuatro vistas analíticas al final del script actúan como capa semántica para el dashboard Streamlit.</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B. JSON Schema de colecciones MongoDB</w:t>
      </w:r>
    </w:p>
    <w:p>
      <w:pPr>
        <w:pStyle w:val="Normal"/>
        <w:spacing w:lineRule="auto" w:line="360" w:before="0" w:after="120"/>
        <w:jc w:val="both"/>
        <w:rPr/>
      </w:pPr>
      <w:r>
        <w:rPr>
          <w:rFonts w:eastAsia="Arial" w:cs="Arial"/>
          <w:sz w:val="22"/>
          <w:szCs w:val="22"/>
        </w:rPr>
        <w:t>Este anexo presenta los JSON Schema de las cuatro colecciones documentales del proyecto. La validación se implementa con el operador $jsonSchema soportado nativamente por MongoDB 6+ (MongoDB, s. f.-b, s. f.-c). Los archivos fuente se encuentran en nosql/schemas/.</w:t>
      </w:r>
    </w:p>
    <w:p>
      <w:pPr>
        <w:pStyle w:val="Heading2"/>
        <w:spacing w:lineRule="auto" w:line="360" w:before="320" w:after="160"/>
        <w:rPr/>
      </w:pPr>
      <w:r>
        <w:rPr>
          <w:rFonts w:eastAsia="Arial" w:cs="Arial" w:ascii="Arial" w:hAnsi="Arial"/>
          <w:b/>
          <w:bCs/>
          <w:color w:val="2E75B6"/>
          <w:sz w:val="26"/>
          <w:szCs w:val="26"/>
        </w:rPr>
        <w:t>B.1 Colección ejecuciones_etl</w:t>
      </w:r>
    </w:p>
    <w:p>
      <w:pPr>
        <w:pStyle w:val="Normal"/>
        <w:spacing w:lineRule="auto" w:line="360" w:before="0" w:after="120"/>
        <w:jc w:val="both"/>
        <w:rPr/>
      </w:pPr>
      <w:r>
        <w:rPr>
          <w:rFonts w:eastAsia="Arial" w:cs="Arial"/>
          <w:sz w:val="22"/>
          <w:szCs w:val="22"/>
        </w:rPr>
        <w:t>Registro de cada ejecución del pipeline ETL con métricas y trazabilidad. Sirve como bitácora operativa y fuente de KPIs de calidad del pipeline.</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"$jsonSchema":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"title": "Ejecución ETL",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"required": ["fuente", "etapa", "tipo_carga", "estado", "iniciado_en"],</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["firms","firms_nrt","open-meteo","open-meteo-forecast","cams"]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"etapa":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["extract","transform","load","testing","pipeline_completo"]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"tipo_carga":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["inicial","incremental","test","reprocess"]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"estado":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["ok","error","parcial","skip"]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"iniciado_en":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"finalizado_en": { "bsonType": ["date","null"]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"duracion_segundos": { "bsonType": ["double","null"], "minimum": 0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"metricas": { "bsonType":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"registros_procesados":  { "bsonType": ["int","null"]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"registros_insertados":  { "bsonType": ["int","null"]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"registros_actualizados":{ "bsonType": ["int","null"]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"registros_sin_cambio":  { "bsonType": ["int","null"]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"registros_error":       { "bsonType": ["int","null"]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"rango_datos": { "bsonType":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"desde": { "bsonType": ["date","null"]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"hasta": { "bsonType": ["date","null"]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"errores": { "bsonType": "array",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"items": { "bsonType": "object" }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"host": { "bsonType": "string"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Interpretación del esquema B.1. Los enums cerrados sobre fuente, etapa, tipo_carga y estado previenen la inserción de valores arbitrarios que degradarían las métricas (K1, K2). El subobjeto metricas cuantifica el trabajo realizado en cada corrida y alimenta los KPIs del dashboard; el array errores admite múltiples fallas por ejecución con timestamps individuales para diagnóstico fino.</w:t>
      </w:r>
    </w:p>
    <w:p>
      <w:pPr>
        <w:pStyle w:val="Heading2"/>
        <w:spacing w:lineRule="auto" w:line="360" w:before="320" w:after="160"/>
        <w:rPr/>
      </w:pPr>
      <w:r>
        <w:rPr>
          <w:rFonts w:eastAsia="Arial" w:cs="Arial" w:ascii="Arial" w:hAnsi="Arial"/>
          <w:b/>
          <w:bCs/>
          <w:color w:val="2E75B6"/>
          <w:sz w:val="26"/>
          <w:szCs w:val="26"/>
        </w:rPr>
        <w:t>B.2 Colección cdc_control</w:t>
      </w:r>
    </w:p>
    <w:p>
      <w:pPr>
        <w:pStyle w:val="Normal"/>
        <w:spacing w:lineRule="auto" w:line="360" w:before="0" w:after="120"/>
        <w:jc w:val="both"/>
        <w:rPr/>
      </w:pPr>
      <w:r>
        <w:rPr>
          <w:rFonts w:eastAsia="Arial" w:cs="Arial"/>
          <w:sz w:val="22"/>
          <w:szCs w:val="22"/>
        </w:rPr>
        <w:t>Punto de control del mecanismo de Change Data Capture: registra el último hash SHA-256 procesado y el último timestamp para cada fuente, habilitando idempotencia y reanudación ante fallos.</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"$jsonSchema":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"title": "Control CDC",</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"required": ["fuente","tipo","ultimo_procesado"],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["firms","open-meteo","cams","chirps","modis"]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   { "bsonType": "string", "enum": ["hash","timestamp","ventana"]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"ultimo_procesado":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"ultimo_hash":      { "bsonType": ["string","null"], "pattern": "^[a-f0-9]{64}$"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"ventana_dias":     { "bsonType": ["int","null"], "minimum": 1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"actualizado_en":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Interpretación del esquema B.2. El pattern ^[a-f0-9]{64}$ sobre ultimo_hash fuerza formato SHA-256 válido y bloquea inserciones corruptas. El enum sobre tipo reconoce tres estrategias CDC (hash por lote, timestamp incremental y ventana deslizante), lo que da flexibilidad operativa sin romper la integridad del control.</w:t>
      </w:r>
    </w:p>
    <w:p>
      <w:pPr>
        <w:pStyle w:val="Heading2"/>
        <w:spacing w:lineRule="auto" w:line="360" w:before="320" w:after="160"/>
        <w:rPr/>
      </w:pPr>
      <w:r>
        <w:rPr>
          <w:rFonts w:eastAsia="Arial" w:cs="Arial" w:ascii="Arial" w:hAnsi="Arial"/>
          <w:b/>
          <w:bCs/>
          <w:color w:val="2E75B6"/>
          <w:sz w:val="26"/>
          <w:szCs w:val="26"/>
        </w:rPr>
        <w:t>B.3 Colección alertas</w:t>
      </w:r>
    </w:p>
    <w:p>
      <w:pPr>
        <w:pStyle w:val="Normal"/>
        <w:spacing w:lineRule="auto" w:line="360" w:before="0" w:after="120"/>
        <w:jc w:val="both"/>
        <w:rPr/>
      </w:pPr>
      <w:r>
        <w:rPr>
          <w:rFonts w:eastAsia="Arial" w:cs="Arial"/>
          <w:sz w:val="22"/>
          <w:szCs w:val="22"/>
        </w:rPr>
        <w:t>Alertas generadas por el pipeline o por reglas declarativas: superación de umbrales OMS de PM10, clústeres de focos, riesgo meteorológico acumulado o tendencias anómalas.</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"$jsonSchema":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"title": "Alerta operativa",</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"required": ["tipo","nivel","fecha","detectado_en"],</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["aqi","focos_cluster","riesgo_meteo","tendencia"]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"nivel":  { "bsonType": "string",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"enum": ["info","aviso","alerta","critico"]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"pais":   { "bsonType": "string", "pattern": "^[A-Z]{3}$"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"celda_id":{ "bsonType": "string"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"detalle":{ "bsonType": "object"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"detectado_en":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Interpretación del esquema B.3. El enum sobre nivel (info → aviso → alerta → crítico) establece una jerarquía explícita que el dashboard usa para ordenar y filtrar. El campo detalle, libremente estructurado, permite alojar el contexto específico de cada tipo de alerta (umbrales medidos, identificadores de celda, FRP acumulado) sin inflar el esquema base.</w:t>
      </w:r>
    </w:p>
    <w:p>
      <w:pPr>
        <w:pStyle w:val="Heading2"/>
        <w:spacing w:lineRule="auto" w:line="360" w:before="320" w:after="160"/>
        <w:rPr/>
      </w:pPr>
      <w:r>
        <w:rPr>
          <w:rFonts w:eastAsia="Arial" w:cs="Arial" w:ascii="Arial" w:hAnsi="Arial"/>
          <w:b/>
          <w:bCs/>
          <w:color w:val="2E75B6"/>
          <w:sz w:val="26"/>
          <w:szCs w:val="26"/>
        </w:rPr>
        <w:t>B.4 Colección focos_snapshot</w:t>
      </w:r>
    </w:p>
    <w:p>
      <w:pPr>
        <w:pStyle w:val="Normal"/>
        <w:spacing w:lineRule="auto" w:line="360" w:before="0" w:after="120"/>
        <w:jc w:val="both"/>
        <w:rPr/>
      </w:pPr>
      <w:r>
        <w:rPr>
          <w:rFonts w:eastAsia="Arial" w:cs="Arial"/>
          <w:sz w:val="22"/>
          <w:szCs w:val="22"/>
        </w:rPr>
        <w:t>Instantáneas de las descargas crudas de cada fuente (referencia al archivo, hash, conteo de registros). Permite reprocesamiento sin volver a llamar a la API y auditoría histórica.</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"$jsonSchema":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"bsonType": "object",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"title": "Snapshot de fuente",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"required": ["fuente","fecha","lote_hash"],</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"properties":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 "bsonType": "string"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 "bsonType": "string", "pattern": "^[a-f0-9]{64}$"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 { "bsonType": "int", "minimum": 0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"bytes":     { "bsonType": ["long","null"]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"ruta_archivo": { "bsonType": ["string","null"]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"creado_en": { "bsonType": "date"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Interpretación del esquema B.4. La tripla (fuente, fecha, lote_hash) identifica de forma unívoca cada lote ingresado. El tipo long para bytes anticipa descargas grandes (CHIRPS y MODIS superan el gigabyte en lotes anuales) y ruta_archivo permite conservar los archivos originales para re-procesamiento diferido sin depender de la disponibilidad de la API externa.</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C. Scripts base del ETL en Python</w:t>
      </w:r>
    </w:p>
    <w:p>
      <w:pPr>
        <w:pStyle w:val="Normal"/>
        <w:spacing w:lineRule="auto" w:line="360" w:before="0" w:after="120"/>
        <w:jc w:val="both"/>
        <w:rPr/>
      </w:pPr>
      <w:r>
        <w:rPr>
          <w:rFonts w:eastAsia="Arial" w:cs="Arial"/>
          <w:sz w:val="22"/>
          <w:szCs w:val="22"/>
        </w:rPr>
        <w:t>Este anexo documenta los componentes centrales del pipeline ETL en Python 3.11, organizado bajo el directorio etl/ del repositorio. El pipeline usa Pydantic 2 para validación tipo contrato (Pydantic, s. f.), pandas para transformaciones vectorizadas, SQLAlchemy para la persistencia en MySQL y PyMongo para MongoDB (Harris et al., 2020; SQLAlchemy, s. f.; MongoDB, s. f.-b).</w:t>
      </w:r>
    </w:p>
    <w:p>
      <w:pPr>
        <w:pStyle w:val="Heading2"/>
        <w:spacing w:lineRule="auto" w:line="360" w:before="320" w:after="160"/>
        <w:rPr/>
      </w:pPr>
      <w:r>
        <w:rPr>
          <w:rFonts w:eastAsia="Arial" w:cs="Arial" w:ascii="Arial" w:hAnsi="Arial"/>
          <w:b/>
          <w:bCs/>
          <w:color w:val="2E75B6"/>
          <w:sz w:val="26"/>
          <w:szCs w:val="26"/>
        </w:rPr>
        <w:t>C.1 Estructura del directorio etl/</w:t>
      </w:r>
    </w:p>
    <w:tbl>
      <w:tblPr>
        <w:tblW w:w="8788" w:type="dxa"/>
        <w:jc w:val="start"/>
        <w:tblInd w:w="0" w:type="dxa"/>
        <w:tblLayout w:type="fixed"/>
        <w:tblCellMar>
          <w:top w:w="60" w:type="dxa"/>
          <w:start w:w="100" w:type="dxa"/>
          <w:bottom w:w="60" w:type="dxa"/>
          <w:end w:w="100" w:type="dxa"/>
        </w:tblCellMar>
      </w:tblPr>
      <w:tblGrid>
        <w:gridCol w:w="3000"/>
        <w:gridCol w:w="5788"/>
      </w:tblGrid>
      <w:tr>
        <w:trPr/>
        <w:tc>
          <w:tcPr>
            <w:tcW w:w="30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Módulo</w:t>
            </w:r>
          </w:p>
        </w:tc>
        <w:tc>
          <w:tcPr>
            <w:tcW w:w="57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Contenido</w:t>
            </w:r>
          </w:p>
        </w:tc>
      </w:tr>
      <w:tr>
        <w:trPr/>
        <w:tc>
          <w:tcPr>
            <w:tcW w:w="3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etl/extract/</w:t>
            </w:r>
          </w:p>
        </w:tc>
        <w:tc>
          <w:tcPr>
            <w:tcW w:w="57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Extractores HTTP por fuente: extract_firms.py, extract_meteo.py, extract_cams.py, extract_chirps.py, extract_modis.py, extract_forecast.py</w:t>
            </w:r>
          </w:p>
        </w:tc>
      </w:tr>
      <w:tr>
        <w:trPr/>
        <w:tc>
          <w:tcPr>
            <w:tcW w:w="3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etl/transform/</w:t>
            </w:r>
          </w:p>
        </w:tc>
        <w:tc>
          <w:tcPr>
            <w:tcW w:w="57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Normalizadores y validadores: transform_firms.py, transform_meteo.py, transform_cams.py, transform_chirps.py, transform_modis.py</w:t>
            </w:r>
          </w:p>
        </w:tc>
      </w:tr>
      <w:tr>
        <w:trPr/>
        <w:tc>
          <w:tcPr>
            <w:tcW w:w="3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etl/load/</w:t>
            </w:r>
          </w:p>
        </w:tc>
        <w:tc>
          <w:tcPr>
            <w:tcW w:w="57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Writers de destino: load_mysql.py, load_mongo.py</w:t>
            </w:r>
          </w:p>
        </w:tc>
      </w:tr>
      <w:tr>
        <w:trPr/>
        <w:tc>
          <w:tcPr>
            <w:tcW w:w="3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etl/utils/</w:t>
            </w:r>
          </w:p>
        </w:tc>
        <w:tc>
          <w:tcPr>
            <w:tcW w:w="57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Utilidades compartidas: hashing, logging, reintentos con backoff exponencial</w:t>
            </w:r>
          </w:p>
        </w:tc>
      </w:tr>
      <w:tr>
        <w:trPr/>
        <w:tc>
          <w:tcPr>
            <w:tcW w:w="3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etl/carga_historica.py</w:t>
            </w:r>
          </w:p>
        </w:tc>
        <w:tc>
          <w:tcPr>
            <w:tcW w:w="57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Orquestador para la carga histórica masiva 2018–2025</w:t>
            </w:r>
          </w:p>
        </w:tc>
      </w:tr>
      <w:tr>
        <w:trPr/>
        <w:tc>
          <w:tcPr>
            <w:tcW w:w="30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etl/scheduler.py</w:t>
            </w:r>
          </w:p>
        </w:tc>
        <w:tc>
          <w:tcPr>
            <w:tcW w:w="57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Planificador de ejecuciones incrementales diarias</w:t>
            </w:r>
          </w:p>
        </w:tc>
      </w:tr>
      <w:tr>
        <w:trPr/>
        <w:tc>
          <w:tcPr>
            <w:tcW w:w="30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etl/sincronizar_mongo_historico.py</w:t>
            </w:r>
          </w:p>
        </w:tc>
        <w:tc>
          <w:tcPr>
            <w:tcW w:w="57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Sincronización diferida entre MySQL y MongoDB</w:t>
            </w:r>
          </w:p>
        </w:tc>
      </w:tr>
    </w:tbl>
    <w:p>
      <w:pPr>
        <w:pStyle w:val="Normal"/>
        <w:spacing w:lineRule="auto" w:line="360" w:before="0" w:after="120"/>
        <w:jc w:val="both"/>
        <w:rPr/>
      </w:pPr>
      <w:r>
        <w:rPr>
          <w:rFonts w:eastAsia="Arial" w:cs="Arial"/>
          <w:sz w:val="22"/>
          <w:szCs w:val="22"/>
        </w:rPr>
        <w:t>Interpretación de la Tabla C.1. La estructura de directorios refleja la separación de responsabilidades del pipeline (extract / transform / load) y aísla utilidades compartidas en etl/utils/. Esta organización facilita el testing unitario por módulo, la incorporación de nuevas fuentes y la sustitución de writers sin afectar a las capas superiores. El orquestador (carga_historica.py) y el planificador (scheduler.py) conviven con el sincronizador (sincronizar_mongo_historico.py) que garantiza la coherencia diferida entre el DW relacional y el repositorio documental.</w:t>
      </w:r>
    </w:p>
    <w:p>
      <w:pPr>
        <w:pStyle w:val="Heading2"/>
        <w:spacing w:lineRule="auto" w:line="360" w:before="320" w:after="160"/>
        <w:rPr/>
      </w:pPr>
      <w:r>
        <w:rPr>
          <w:rFonts w:eastAsia="Arial" w:cs="Arial" w:ascii="Arial" w:hAnsi="Arial"/>
          <w:b/>
          <w:bCs/>
          <w:color w:val="2E75B6"/>
          <w:sz w:val="26"/>
          <w:szCs w:val="26"/>
        </w:rPr>
        <w:t>C.2 Validador Pydantic — FIRMSRecord</w:t>
      </w:r>
    </w:p>
    <w:p>
      <w:pPr>
        <w:pStyle w:val="Normal"/>
        <w:spacing w:before="0" w:after="30"/>
        <w:rPr/>
      </w:pPr>
      <w:r>
        <w:rPr>
          <w:rFonts w:eastAsia="Courier New" w:cs="Courier New" w:ascii="Courier New" w:hAnsi="Courier New"/>
          <w:sz w:val="18"/>
          <w:szCs w:val="18"/>
        </w:rPr>
        <w:t>from pydantic import BaseModel, Field, field_validator</w:t>
      </w:r>
    </w:p>
    <w:p>
      <w:pPr>
        <w:pStyle w:val="Normal"/>
        <w:spacing w:before="0" w:after="30"/>
        <w:rPr/>
      </w:pPr>
      <w:r>
        <w:rPr>
          <w:rFonts w:eastAsia="Courier New" w:cs="Courier New" w:ascii="Courier New" w:hAnsi="Courier New"/>
          <w:sz w:val="18"/>
          <w:szCs w:val="18"/>
        </w:rPr>
        <w:t>from datetime import date, time</w:t>
      </w:r>
    </w:p>
    <w:p>
      <w:pPr>
        <w:pStyle w:val="Normal"/>
        <w:spacing w:before="0" w:after="30"/>
        <w:rPr/>
      </w:pPr>
      <w:r>
        <w:rPr>
          <w:rFonts w:eastAsia="Courier New" w:cs="Courier New" w:ascii="Courier New" w:hAnsi="Courier New"/>
          <w:sz w:val="18"/>
          <w:szCs w:val="18"/>
        </w:rPr>
        <w:t>from decimal import Decimal</w:t>
      </w:r>
    </w:p>
    <w:p>
      <w:pPr>
        <w:pStyle w:val="Normal"/>
        <w:spacing w:before="0" w:after="30"/>
        <w:rPr/>
      </w:pPr>
      <w:r>
        <w:rPr>
          <w:rFonts w:eastAsia="Courier New" w:cs="Courier New" w:ascii="Courier New" w:hAnsi="Courier New"/>
          <w:sz w:val="18"/>
          <w:szCs w:val="18"/>
        </w:rPr>
        <w:t>from typing import Optional, Literal</w:t>
      </w:r>
    </w:p>
    <w:p>
      <w:pPr>
        <w:pStyle w:val="Normal"/>
        <w:spacing w:before="0" w:after="30"/>
        <w:rPr/>
      </w:pPr>
      <w:r>
        <w:rPr/>
      </w:r>
    </w:p>
    <w:p>
      <w:pPr>
        <w:pStyle w:val="Normal"/>
        <w:spacing w:before="0" w:after="30"/>
        <w:rPr/>
      </w:pPr>
      <w:r>
        <w:rPr>
          <w:rFonts w:eastAsia="Courier New" w:cs="Courier New" w:ascii="Courier New" w:hAnsi="Courier New"/>
          <w:sz w:val="18"/>
          <w:szCs w:val="18"/>
        </w:rPr>
        <w:t>class FIRMSRecord(BaseModel):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 validado de NASA FIRMS (MODIS/VIIRS)."""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latitud: Decimal = Field(..., ge=-90, le=90)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longitud: Decimal = Field(..., ge=-180, le=180)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fecha_adq: date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hora_adq_hhmm: int = Field(..., ge=0, le=2359)</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satelite: str</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instrumento: Literal["MODIS", "VIIRS"]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confianza_num: int = Field(..., ge=0, le=3)</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potencia_radiativa: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dia_noche: Literal["D", "N"]</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es_diurno: bool</w:t>
      </w:r>
    </w:p>
    <w:p>
      <w:pPr>
        <w:pStyle w:val="Normal"/>
        <w:spacing w:before="0" w:after="30"/>
        <w:rPr/>
      </w:pPr>
      <w:r>
        <w:rPr/>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@field_validator("hora_adq_hhmm")</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@classmethod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def validar_hora(cls, v: int) -&gt; int: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mm = v % 100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if mm &gt;= 60: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raise ValueError(f"Minutos inválidos: {mm}")</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v</w:t>
      </w:r>
    </w:p>
    <w:p>
      <w:pPr>
        <w:pStyle w:val="Normal"/>
        <w:spacing w:lineRule="auto" w:line="360" w:before="0" w:after="120"/>
        <w:jc w:val="both"/>
        <w:rPr/>
      </w:pPr>
      <w:r>
        <w:rPr>
          <w:rFonts w:eastAsia="Arial" w:cs="Arial"/>
          <w:sz w:val="22"/>
          <w:szCs w:val="22"/>
        </w:rPr>
        <w:t>Interpretación del código C.2. FIRMSRecord establece el contrato de entrada para cada fila de focos activos: valida rangos geográficos, normaliza la hora como entero HHMM y restringe el satélite/instrumento a los valores conocidos. El validador @field_validator rechaza horas inválidas antes de llegar a la base, actuando como primera línea de defensa frente a corrupciones de la fuente.</w:t>
      </w:r>
    </w:p>
    <w:p>
      <w:pPr>
        <w:pStyle w:val="Heading2"/>
        <w:spacing w:lineRule="auto" w:line="360" w:before="320" w:after="160"/>
        <w:rPr/>
      </w:pPr>
      <w:r>
        <w:rPr>
          <w:rFonts w:eastAsia="Arial" w:cs="Arial" w:ascii="Arial" w:hAnsi="Arial"/>
          <w:b/>
          <w:bCs/>
          <w:color w:val="2E75B6"/>
          <w:sz w:val="26"/>
          <w:szCs w:val="26"/>
        </w:rPr>
        <w:t>C.3 Validador Pydantic — OpenMeteoRecord</w:t>
      </w:r>
    </w:p>
    <w:p>
      <w:pPr>
        <w:pStyle w:val="Normal"/>
        <w:spacing w:before="0" w:after="30"/>
        <w:rPr/>
      </w:pPr>
      <w:r>
        <w:rPr>
          <w:rFonts w:eastAsia="Courier New" w:cs="Courier New" w:ascii="Courier New" w:hAnsi="Courier New"/>
          <w:sz w:val="18"/>
          <w:szCs w:val="18"/>
        </w:rPr>
        <w:t>class OpenMeteoRecord(BaseModel):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 horario/diario de Open-Meteo / ERA5-Land."""</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 date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id_punto: int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temperature_2m_max: Optional[Decimal]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temperature_2m_min: Optional[Decimal]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relative_humidity_2m_min: Optional[Decimal] = Field(None, ge=0, le=100)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wind_speed_10m_max: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precipitation_sum: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et0_fao_evapotranspiration: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tipo_dato: Literal["historico", "forecast"]</w:t>
      </w:r>
    </w:p>
    <w:p>
      <w:pPr>
        <w:pStyle w:val="Normal"/>
        <w:spacing w:lineRule="auto" w:line="360" w:before="0" w:after="120"/>
        <w:jc w:val="both"/>
        <w:rPr/>
      </w:pPr>
      <w:r>
        <w:rPr>
          <w:rFonts w:eastAsia="Arial" w:cs="Arial"/>
          <w:sz w:val="22"/>
          <w:szCs w:val="22"/>
        </w:rPr>
        <w:t>Interpretación del código C.3. OpenMeteoRecord tipifica las variables meteorológicas diarias (temperaturas extremas, humedad mínima, viento máximo, precipitación acumulada y ET₀) junto al marcador tipo_dato que separa series históricas de pronósticos. Los rangos (0–100 % para humedad, ≥0 para velocidades y precipitaciones) bloquean valores físicamente imposibles.</w:t>
      </w:r>
    </w:p>
    <w:p>
      <w:pPr>
        <w:pStyle w:val="Heading2"/>
        <w:spacing w:lineRule="auto" w:line="360" w:before="320" w:after="160"/>
        <w:rPr/>
      </w:pPr>
      <w:r>
        <w:rPr>
          <w:rFonts w:eastAsia="Arial" w:cs="Arial" w:ascii="Arial" w:hAnsi="Arial"/>
          <w:b/>
          <w:bCs/>
          <w:color w:val="2E75B6"/>
          <w:sz w:val="26"/>
          <w:szCs w:val="26"/>
        </w:rPr>
        <w:t>C.4 Validador Pydantic — CAMSRecord</w:t>
      </w:r>
    </w:p>
    <w:p>
      <w:pPr>
        <w:pStyle w:val="Normal"/>
        <w:spacing w:before="0" w:after="30"/>
        <w:rPr/>
      </w:pPr>
      <w:r>
        <w:rPr>
          <w:rFonts w:eastAsia="Courier New" w:cs="Courier New" w:ascii="Courier New" w:hAnsi="Courier New"/>
          <w:sz w:val="18"/>
          <w:szCs w:val="18"/>
        </w:rPr>
        <w:t>class CAMSRecord(BaseModel):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 de calidad del aire (Copernicus CAMS vía Open-Meteo)."""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fecha: date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id_punto: int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pm10_media: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pm2_5_media: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aerosol_optical_depth: Optional[Decimal] = Field(None, ge=0)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aqi_europeo_medio: Optional[Decimal] = Field(None, ge=0, le=500)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horas_validas: Optional[int] = Field(None, ge=0, le=24)</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supera_oms_pm10: bool = False</w:t>
      </w:r>
    </w:p>
    <w:p>
      <w:pPr>
        <w:pStyle w:val="Normal"/>
        <w:spacing w:lineRule="auto" w:line="360" w:before="0" w:after="120"/>
        <w:jc w:val="both"/>
        <w:rPr/>
      </w:pPr>
      <w:r>
        <w:rPr>
          <w:rFonts w:eastAsia="Arial" w:cs="Arial"/>
          <w:sz w:val="22"/>
          <w:szCs w:val="22"/>
        </w:rPr>
        <w:t>Interpretación del código C.4. CAMSRecord estructura la información diaria de calidad del aire: PM10 y PM2.5 medios, AOD y AQI europeo, junto al número de horas válidas y una bandera booleana de superación del umbral OMS. Este contrato habilita alertas automáticas sobre la colección MongoDB alertas cuando supera_oms_pm10 resulta True.</w:t>
      </w:r>
    </w:p>
    <w:p>
      <w:pPr>
        <w:pStyle w:val="Heading2"/>
        <w:spacing w:lineRule="auto" w:line="360" w:before="320" w:after="160"/>
        <w:rPr/>
      </w:pPr>
      <w:r>
        <w:rPr>
          <w:rFonts w:eastAsia="Arial" w:cs="Arial" w:ascii="Arial" w:hAnsi="Arial"/>
          <w:b/>
          <w:bCs/>
          <w:color w:val="2E75B6"/>
          <w:sz w:val="26"/>
          <w:szCs w:val="26"/>
        </w:rPr>
        <w:t>C.5 Orquestador de carga incremental</w:t>
      </w:r>
    </w:p>
    <w:p>
      <w:pPr>
        <w:pStyle w:val="Normal"/>
        <w:spacing w:lineRule="auto" w:line="360" w:before="0" w:after="120"/>
        <w:jc w:val="both"/>
        <w:rPr/>
      </w:pPr>
      <w:r>
        <w:rPr>
          <w:rFonts w:eastAsia="Arial" w:cs="Arial"/>
          <w:sz w:val="22"/>
          <w:szCs w:val="22"/>
        </w:rPr>
        <w:t>La función procesar_fuente() resume el ciclo ETL por fuente: extract, transform, load (MySQL + MongoDB) y registro del resultado en la colección ejecuciones_etl. El SHA-256 del lote se computa sobre la representación canónica del DataFrame limpio, lo que permite al mecanismo CDC detectar ausencia de cambios y saltar escrituras redundantes.</w:t>
      </w:r>
    </w:p>
    <w:p>
      <w:pPr>
        <w:pStyle w:val="Normal"/>
        <w:spacing w:before="0" w:after="30"/>
        <w:rPr/>
      </w:pPr>
      <w:r>
        <w:rPr>
          <w:rFonts w:eastAsia="Courier New" w:cs="Courier New" w:ascii="Courier New" w:hAnsi="Courier New"/>
          <w:sz w:val="18"/>
          <w:szCs w:val="18"/>
        </w:rPr>
        <w:t>def procesar_fuente(fuente: str, modo: str = "incremental") -&gt; dict: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"""Orquesta el ciclo completo: extract → transform → load → log."""</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inicio = datetime.utcnow()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 hashlib.sha256(b"").hexdigest()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crudo   = extract.run(fuente, modo)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limpio  = transform.run(fuente, crudo)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metric  = load.run_sql(fuente, limpio) | load.run_mongo(fuente, limpio)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lote_hash = sha256_of_batch(limpio)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estado = "ok"</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 Exception as 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metric, estado = {"error": str(e)}, "error"</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finally: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log_ejecucion(fuente, inicio, estado, metric, lote_hash)</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{"estado": estado, "metricas": metric, "lote_hash": lote_hash}</w:t>
      </w:r>
    </w:p>
    <w:p>
      <w:pPr>
        <w:pStyle w:val="Normal"/>
        <w:spacing w:lineRule="auto" w:line="360" w:before="0" w:after="120"/>
        <w:jc w:val="both"/>
        <w:rPr/>
      </w:pPr>
      <w:r>
        <w:rPr>
          <w:rFonts w:eastAsia="Arial" w:cs="Arial"/>
          <w:sz w:val="22"/>
          <w:szCs w:val="22"/>
        </w:rPr>
        <w:t>Interpretación del código C.5. La función garantiza idempotencia y trazabilidad: cualquier excepción se captura en el except, se registra en el log con el hash del lote vacío y se propaga como estado 'error' a la colección ejecuciones_etl. El bloque finally asegura que siempre quede un registro de la corrida, incluso ante fallos catastróficos. Esta propiedad es fundamental para K1 (tasa de éxito del pipeline) y K2 (latencia ETL media).</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D. Ejemplos de logs y metadata CDC</w:t>
      </w:r>
    </w:p>
    <w:p>
      <w:pPr>
        <w:pStyle w:val="Normal"/>
        <w:spacing w:lineRule="auto" w:line="360" w:before="0" w:after="120"/>
        <w:jc w:val="both"/>
        <w:rPr/>
      </w:pPr>
      <w:r>
        <w:rPr>
          <w:rFonts w:eastAsia="Arial" w:cs="Arial"/>
          <w:sz w:val="22"/>
          <w:szCs w:val="22"/>
        </w:rPr>
        <w:t>Este anexo muestra documentos reales persistidos en MongoDB por el pipeline ETL: una ejecución exitosa, una ejecución fallida por timeout y el documento de control CDC correspondiente. Los ejemplos fueron tomados del entorno de prueba y anonimizados. La estructura respeta los JSON Schema del Anexo B.</w:t>
      </w:r>
    </w:p>
    <w:p>
      <w:pPr>
        <w:pStyle w:val="Heading2"/>
        <w:spacing w:lineRule="auto" w:line="360" w:before="320" w:after="160"/>
        <w:rPr/>
      </w:pPr>
      <w:r>
        <w:rPr>
          <w:rFonts w:eastAsia="Arial" w:cs="Arial" w:ascii="Arial" w:hAnsi="Arial"/>
          <w:b/>
          <w:bCs/>
          <w:color w:val="2E75B6"/>
          <w:sz w:val="26"/>
          <w:szCs w:val="26"/>
        </w:rPr>
        <w:t>D.1 Ejecución exitosa (colección ejecuciones_etl)</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"_id": ObjectId("66234f9a1d8b2e5c3f9a4b11"),</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"firms",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"etapa": "pipeline_completo",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"tipo_carga": "incremental",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"estado": "ok",</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"iniciado_en":   ISODate("2026-04-13T03:00:00Z"),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"finalizado_en": ISODate("2026-04-13T03:04:27Z"),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"duracion_segundos": 267.4,</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"metricas":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"registros_procesados": 12843,</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"registros_insertados":  4521,</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"registros_actualizados":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"registros_sin_cambio":  8322,</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"registros_error":          0</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"rango_datos":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"desde": ISODate("2026-04-10T00:00:00Z"),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"hasta": ISODate("2026-04-12T23:59:59Z")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"errores":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"host": "etl-worker-01"</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Lectura: el pipeline incremental de FIRMS procesó 12 843 registros de la ventana 2026-04-10 al 2026-04-12; de esos, 4 521 eran nuevos y 8 322 ya existían con idéntico hash por grano, por lo que fueron ignorados (idempotencia). La duración total fue de 4 min 27 s y no se registraron errores.</w:t>
      </w:r>
    </w:p>
    <w:p>
      <w:pPr>
        <w:pStyle w:val="Heading2"/>
        <w:spacing w:lineRule="auto" w:line="360" w:before="320" w:after="160"/>
        <w:rPr/>
      </w:pPr>
      <w:r>
        <w:rPr>
          <w:rFonts w:eastAsia="Arial" w:cs="Arial" w:ascii="Arial" w:hAnsi="Arial"/>
          <w:b/>
          <w:bCs/>
          <w:color w:val="2E75B6"/>
          <w:sz w:val="26"/>
          <w:szCs w:val="26"/>
        </w:rPr>
        <w:t>D.2 Ejecución con error (colección ejecuciones_etl)</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"_id": ObjectId("66234f9a1d8b2e5c3f9a4b12"),</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"cams",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"etapa": "extract",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"tipo_carga": "incremental",</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"estado": "error",</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"iniciado_en":   ISODate("2026-04-13T03:00:00Z"),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"finalizado_en": ISODate("2026-04-13T03:00:42Z"),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"duracion_segundos": 42.1,</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"metricas": { "registros_procesados": 0, "registros_error": 1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"errores":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 "HTTPTimeout",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"mensaje": "Timeout tras 30s consultando api.open-meteo.com/cams",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"en": ISODate("2026-04-13T03:00:30Z")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"host": "etl-worker-01"</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Lectura: la extracción de CAMS falló por timeout del proveedor a los 30 s. El orquestador registra el error en la colección, marca la ejecución como error y deja intacto el estado de la fuente en cdc_control para habilitar el reintento en la siguiente ventana.</w:t>
      </w:r>
    </w:p>
    <w:p>
      <w:pPr>
        <w:pStyle w:val="Heading2"/>
        <w:spacing w:lineRule="auto" w:line="360" w:before="320" w:after="160"/>
        <w:rPr/>
      </w:pPr>
      <w:r>
        <w:rPr>
          <w:rFonts w:eastAsia="Arial" w:cs="Arial" w:ascii="Arial" w:hAnsi="Arial"/>
          <w:b/>
          <w:bCs/>
          <w:color w:val="2E75B6"/>
          <w:sz w:val="26"/>
          <w:szCs w:val="26"/>
        </w:rPr>
        <w:t>D.3 Documento CDC (colección cdc_control)</w:t>
      </w:r>
    </w:p>
    <w:p>
      <w:pPr>
        <w:pStyle w:val="Normal"/>
        <w:spacing w:before="0" w:after="30"/>
        <w:rPr/>
      </w:pPr>
      <w:r>
        <w:rPr>
          <w:rFonts w:eastAsia="Courier New" w:cs="Courier New" w:ascii="Courier New" w:hAnsi="Courier New"/>
          <w:sz w:val="18"/>
          <w:szCs w:val="18"/>
        </w:rPr>
        <w: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"_id": "firms",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"fuente": "firms",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"tipo":   "hash",</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"ultimo_procesado": ISODate("2026-04-12T23:59:59Z"),</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"ultimo_hash":      "9a4f1c2e8b7d3a05f6e9c1d4b2a8f7e3d5c6b1a0e9f8c7d6b5a4e3d2c1b0a9f8",</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"ventana_dias":     3,</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"actualizado_en":   ISODate("2026-04-13T03:04:27Z")</w:t>
      </w:r>
    </w:p>
    <w:p>
      <w:pPr>
        <w:pStyle w:val="Normal"/>
        <w:spacing w:before="0" w:after="30"/>
        <w:rPr/>
      </w:pPr>
      <w:r>
        <w:rPr>
          <w:rFonts w:eastAsia="Courier New" w:cs="Courier New" w:ascii="Courier New" w:hAnsi="Courier New"/>
          <w:sz w:val="18"/>
          <w:szCs w:val="18"/>
        </w:rPr>
        <w:t>}</w:t>
      </w:r>
    </w:p>
    <w:p>
      <w:pPr>
        <w:pStyle w:val="Normal"/>
        <w:spacing w:lineRule="auto" w:line="360" w:before="0" w:after="120"/>
        <w:jc w:val="both"/>
        <w:rPr/>
      </w:pPr>
      <w:r>
        <w:rPr>
          <w:rFonts w:eastAsia="Arial" w:cs="Arial"/>
          <w:sz w:val="22"/>
          <w:szCs w:val="22"/>
        </w:rPr>
        <w:t>Lectura: el control CDC de FIRMS guarda el último hash SHA-256 validado y el último timestamp procesado. En cada corrida el pipeline recalcula el hash del lote nuevo; si coincide con ultimo_hash, no hay escritura en MySQL y la corrida se marca con estado skip. Si difiere, se aplica UPSERT y se actualiza ultimo_hash.</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E. Consultas analíticas y KPIs</w:t>
      </w:r>
    </w:p>
    <w:p>
      <w:pPr>
        <w:pStyle w:val="Normal"/>
        <w:spacing w:lineRule="auto" w:line="360" w:before="0" w:after="120"/>
        <w:jc w:val="both"/>
        <w:rPr/>
      </w:pPr>
      <w:r>
        <w:rPr>
          <w:rFonts w:eastAsia="Arial" w:cs="Arial"/>
          <w:sz w:val="22"/>
          <w:szCs w:val="22"/>
        </w:rPr>
        <w:t>Este anexo reúne las once consultas SQL (P1–P11) que responden a las preguntas analíticas de la Sección 1.3, y los siete KPIs operativos y analíticos (K1–K7) definidos en la Sección 4.3.4. Todas las consultas están escritas en MySQL 8 ANSI-SQL y operan sobre el Data Warehouse sinia_sa_dw descrito en el Anexo A.</w:t>
      </w:r>
    </w:p>
    <w:p>
      <w:pPr>
        <w:pStyle w:val="Heading2"/>
        <w:spacing w:lineRule="auto" w:line="360" w:before="320" w:after="160"/>
        <w:rPr/>
      </w:pPr>
      <w:r>
        <w:rPr>
          <w:rFonts w:eastAsia="Arial" w:cs="Arial" w:ascii="Arial" w:hAnsi="Arial"/>
          <w:b/>
          <w:bCs/>
          <w:color w:val="2E75B6"/>
          <w:sz w:val="26"/>
          <w:szCs w:val="26"/>
        </w:rPr>
        <w:t>E.1 Consulta P1 — Focos mensuales por país</w:t>
      </w:r>
    </w:p>
    <w:p>
      <w:pPr>
        <w:pStyle w:val="Normal"/>
        <w:spacing w:before="0" w:after="30"/>
        <w:rPr/>
      </w:pPr>
      <w:r>
        <w:rPr>
          <w:rFonts w:eastAsia="Courier New" w:cs="Courier New" w:ascii="Courier New" w:hAnsi="Courier New"/>
          <w:sz w:val="18"/>
          <w:szCs w:val="18"/>
        </w:rPr>
        <w:t>-- P1: Focos de calor mensuales por país</w:t>
      </w:r>
    </w:p>
    <w:p>
      <w:pPr>
        <w:pStyle w:val="Normal"/>
        <w:spacing w:before="0" w:after="30"/>
        <w:rPr/>
      </w:pPr>
      <w:r>
        <w:rPr>
          <w:rFonts w:eastAsia="Courier New" w:cs="Courier New" w:ascii="Courier New" w:hAnsi="Courier New"/>
          <w:sz w:val="18"/>
          <w:szCs w:val="18"/>
        </w:rPr>
        <w:t>SELECT p.nombre_pais, t.anio, t.mes,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SUM(f.cantidad_focos) AS total_focos,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ROUND(AVG(f.frp_promedio_mw),2) AS frp_promedio_mw</w:t>
      </w:r>
    </w:p>
    <w:p>
      <w:pPr>
        <w:pStyle w:val="Normal"/>
        <w:spacing w:before="0" w:after="30"/>
        <w:rPr/>
      </w:pPr>
      <w:r>
        <w:rPr>
          <w:rFonts w:eastAsia="Courier New" w:cs="Courier New" w:ascii="Courier New" w:hAnsi="Courier New"/>
          <w:sz w:val="18"/>
          <w:szCs w:val="18"/>
        </w:rPr>
        <w:t>FROM fact_incendios_diario f</w:t>
      </w:r>
    </w:p>
    <w:p>
      <w:pPr>
        <w:pStyle w:val="Normal"/>
        <w:spacing w:before="0" w:after="30"/>
        <w:rPr/>
      </w:pPr>
      <w:r>
        <w:rPr>
          <w:rFonts w:eastAsia="Courier New" w:cs="Courier New" w:ascii="Courier New" w:hAnsi="Courier New"/>
          <w:sz w:val="18"/>
          <w:szCs w:val="18"/>
        </w:rPr>
        <w:t>JOIN dim_tiempo t ON t.tiempo_key = f.tiempo_key</w:t>
      </w:r>
    </w:p>
    <w:p>
      <w:pPr>
        <w:pStyle w:val="Normal"/>
        <w:spacing w:before="0" w:after="30"/>
        <w:rPr/>
      </w:pPr>
      <w:r>
        <w:rPr>
          <w:rFonts w:eastAsia="Courier New" w:cs="Courier New" w:ascii="Courier New" w:hAnsi="Courier New"/>
          <w:sz w:val="18"/>
          <w:szCs w:val="18"/>
        </w:rPr>
        <w:t>JOIN dim_pais   p ON p.pais_key   = f.pais_key</w:t>
      </w:r>
    </w:p>
    <w:p>
      <w:pPr>
        <w:pStyle w:val="Normal"/>
        <w:spacing w:before="0" w:after="30"/>
        <w:rPr/>
      </w:pPr>
      <w:r>
        <w:rPr>
          <w:rFonts w:eastAsia="Courier New" w:cs="Courier New" w:ascii="Courier New" w:hAnsi="Courier New"/>
          <w:sz w:val="18"/>
          <w:szCs w:val="18"/>
        </w:rPr>
        <w:t>GROUP BY p.nombre_pais, t.anio, t.mes</w:t>
      </w:r>
    </w:p>
    <w:p>
      <w:pPr>
        <w:pStyle w:val="Normal"/>
        <w:spacing w:before="0" w:after="30"/>
        <w:rPr/>
      </w:pPr>
      <w:r>
        <w:rPr>
          <w:rFonts w:eastAsia="Courier New" w:cs="Courier New" w:ascii="Courier New" w:hAnsi="Courier New"/>
          <w:sz w:val="18"/>
          <w:szCs w:val="18"/>
        </w:rPr>
        <w:t>ORDER BY total_focos DESC;</w:t>
      </w:r>
    </w:p>
    <w:p>
      <w:pPr>
        <w:pStyle w:val="Normal"/>
        <w:spacing w:lineRule="auto" w:line="360" w:before="0" w:after="120"/>
        <w:jc w:val="both"/>
        <w:rPr/>
      </w:pPr>
      <w:r>
        <w:rPr>
          <w:rFonts w:eastAsia="Arial" w:cs="Arial"/>
          <w:sz w:val="22"/>
          <w:szCs w:val="22"/>
        </w:rPr>
        <w:t>Interpretación P1. Agrega cantidad_focos y frp_promedio_mw por país-año-mes uniendo el hecho de incendios con las dimensiones tiempo y país. El ORDER BY por total_focos DESC permite que el dashboard muestre primero los meses y países con mayor actividad. Alimenta el KPI K6 (FRP acumulado por país-mes) y la vista vw_focos_por_pais_mes.</w:t>
      </w:r>
    </w:p>
    <w:p>
      <w:pPr>
        <w:pStyle w:val="Heading2"/>
        <w:spacing w:lineRule="auto" w:line="360" w:before="320" w:after="160"/>
        <w:rPr/>
      </w:pPr>
      <w:r>
        <w:rPr>
          <w:rFonts w:eastAsia="Arial" w:cs="Arial" w:ascii="Arial" w:hAnsi="Arial"/>
          <w:b/>
          <w:bCs/>
          <w:color w:val="2E75B6"/>
          <w:sz w:val="26"/>
          <w:szCs w:val="26"/>
        </w:rPr>
        <w:t>E.2 Consulta P2 — Top 15 días más activos</w:t>
      </w:r>
    </w:p>
    <w:p>
      <w:pPr>
        <w:pStyle w:val="Normal"/>
        <w:spacing w:before="0" w:after="30"/>
        <w:rPr/>
      </w:pPr>
      <w:r>
        <w:rPr>
          <w:rFonts w:eastAsia="Courier New" w:cs="Courier New" w:ascii="Courier New" w:hAnsi="Courier New"/>
          <w:sz w:val="18"/>
          <w:szCs w:val="18"/>
        </w:rPr>
        <w:t>-- P2: Top 15 días con mayor actividad de incendios</w:t>
      </w:r>
    </w:p>
    <w:p>
      <w:pPr>
        <w:pStyle w:val="Normal"/>
        <w:spacing w:before="0" w:after="30"/>
        <w:rPr/>
      </w:pPr>
      <w:r>
        <w:rPr>
          <w:rFonts w:eastAsia="Courier New" w:cs="Courier New" w:ascii="Courier New" w:hAnsi="Courier New"/>
          <w:sz w:val="18"/>
          <w:szCs w:val="18"/>
        </w:rPr>
        <w:t>SELECT t.fecha, SUM(f.cantidad_focos) AS focos,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MAX(f.frp_max_mw) AS frp_max_mw,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SUM(f.focos_confianza_alta) AS focos_alta_confianza</w:t>
      </w:r>
    </w:p>
    <w:p>
      <w:pPr>
        <w:pStyle w:val="Normal"/>
        <w:spacing w:before="0" w:after="30"/>
        <w:rPr/>
      </w:pPr>
      <w:r>
        <w:rPr>
          <w:rFonts w:eastAsia="Courier New" w:cs="Courier New" w:ascii="Courier New" w:hAnsi="Courier New"/>
          <w:sz w:val="18"/>
          <w:szCs w:val="18"/>
        </w:rPr>
        <w:t>FROM fact_incendios_diario f</w:t>
      </w:r>
    </w:p>
    <w:p>
      <w:pPr>
        <w:pStyle w:val="Normal"/>
        <w:spacing w:before="0" w:after="30"/>
        <w:rPr/>
      </w:pPr>
      <w:r>
        <w:rPr>
          <w:rFonts w:eastAsia="Courier New" w:cs="Courier New" w:ascii="Courier New" w:hAnsi="Courier New"/>
          <w:sz w:val="18"/>
          <w:szCs w:val="18"/>
        </w:rPr>
        <w:t>JOIN dim_tiempo t ON t.tiempo_key = f.tiempo_key</w:t>
      </w:r>
    </w:p>
    <w:p>
      <w:pPr>
        <w:pStyle w:val="Normal"/>
        <w:spacing w:before="0" w:after="30"/>
        <w:rPr/>
      </w:pPr>
      <w:r>
        <w:rPr>
          <w:rFonts w:eastAsia="Courier New" w:cs="Courier New" w:ascii="Courier New" w:hAnsi="Courier New"/>
          <w:sz w:val="18"/>
          <w:szCs w:val="18"/>
        </w:rPr>
        <w:t>GROUP BY t.fecha</w:t>
      </w:r>
    </w:p>
    <w:p>
      <w:pPr>
        <w:pStyle w:val="Normal"/>
        <w:spacing w:before="0" w:after="30"/>
        <w:rPr/>
      </w:pPr>
      <w:r>
        <w:rPr>
          <w:rFonts w:eastAsia="Courier New" w:cs="Courier New" w:ascii="Courier New" w:hAnsi="Courier New"/>
          <w:sz w:val="18"/>
          <w:szCs w:val="18"/>
        </w:rPr>
        <w:t>ORDER BY focos DESC</w:t>
      </w:r>
    </w:p>
    <w:p>
      <w:pPr>
        <w:pStyle w:val="Normal"/>
        <w:spacing w:before="0" w:after="30"/>
        <w:rPr/>
      </w:pPr>
      <w:r>
        <w:rPr>
          <w:rFonts w:eastAsia="Courier New" w:cs="Courier New" w:ascii="Courier New" w:hAnsi="Courier New"/>
          <w:sz w:val="18"/>
          <w:szCs w:val="18"/>
        </w:rPr>
        <w:t>LIMIT 15;</w:t>
      </w:r>
    </w:p>
    <w:p>
      <w:pPr>
        <w:pStyle w:val="Normal"/>
        <w:spacing w:lineRule="auto" w:line="360" w:before="0" w:after="120"/>
        <w:jc w:val="both"/>
        <w:rPr/>
      </w:pPr>
      <w:r>
        <w:rPr>
          <w:rFonts w:eastAsia="Arial" w:cs="Arial"/>
          <w:sz w:val="22"/>
          <w:szCs w:val="22"/>
        </w:rPr>
        <w:t>Interpretación P2. Identifica los quince días calendario con mayor número de focos en toda la región. MAX(frp_max_mw) resalta la intensidad pico y focos_confianza_alta separa detecciones robustas de posibles falsos positivos. El resultado sostiene el módulo de 'estudio de casos' previsto en el dashboard.</w:t>
      </w:r>
    </w:p>
    <w:p>
      <w:pPr>
        <w:pStyle w:val="Heading2"/>
        <w:spacing w:lineRule="auto" w:line="360" w:before="320" w:after="160"/>
        <w:rPr/>
      </w:pPr>
      <w:r>
        <w:rPr>
          <w:rFonts w:eastAsia="Arial" w:cs="Arial" w:ascii="Arial" w:hAnsi="Arial"/>
          <w:b/>
          <w:bCs/>
          <w:color w:val="2E75B6"/>
          <w:sz w:val="26"/>
          <w:szCs w:val="26"/>
        </w:rPr>
        <w:t>E.3 Consulta P3 — Días críticos por país</w:t>
      </w:r>
    </w:p>
    <w:p>
      <w:pPr>
        <w:pStyle w:val="Normal"/>
        <w:spacing w:before="0" w:after="30"/>
        <w:rPr/>
      </w:pPr>
      <w:r>
        <w:rPr>
          <w:rFonts w:eastAsia="Courier New" w:cs="Courier New" w:ascii="Courier New" w:hAnsi="Courier New"/>
          <w:sz w:val="18"/>
          <w:szCs w:val="18"/>
        </w:rPr>
        <w:t>-- P3: Días con nivel de riesgo alto o muy_alto por país</w:t>
      </w:r>
    </w:p>
    <w:p>
      <w:pPr>
        <w:pStyle w:val="Normal"/>
        <w:spacing w:before="0" w:after="30"/>
        <w:rPr/>
      </w:pPr>
      <w:r>
        <w:rPr>
          <w:rFonts w:eastAsia="Courier New" w:cs="Courier New" w:ascii="Courier New" w:hAnsi="Courier New"/>
          <w:sz w:val="18"/>
          <w:szCs w:val="18"/>
        </w:rPr>
        <w:t>SELECT 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m.nivel_riesgo='alto'      THEN 1 ELSE 0 END) AS dias_alto,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m.nivel_riesgo='muy_alto'  THEN 1 ELSE 0 END) AS dias_muy_alto,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ROUND(AVG(m.indice_riesgo),4)                               AS riesgo_promedio</w:t>
      </w:r>
    </w:p>
    <w:p>
      <w:pPr>
        <w:pStyle w:val="Normal"/>
        <w:spacing w:before="0" w:after="30"/>
        <w:rPr/>
      </w:pPr>
      <w:r>
        <w:rPr>
          <w:rFonts w:eastAsia="Courier New" w:cs="Courier New" w:ascii="Courier New" w:hAnsi="Courier New"/>
          <w:sz w:val="18"/>
          <w:szCs w:val="18"/>
        </w:rPr>
        <w:t>FROM fact_meteorologia_diaria m</w:t>
      </w:r>
    </w:p>
    <w:p>
      <w:pPr>
        <w:pStyle w:val="Normal"/>
        <w:spacing w:before="0" w:after="30"/>
        <w:rPr/>
      </w:pPr>
      <w:r>
        <w:rPr>
          <w:rFonts w:eastAsia="Courier New" w:cs="Courier New" w:ascii="Courier New" w:hAnsi="Courier New"/>
          <w:sz w:val="18"/>
          <w:szCs w:val="18"/>
        </w:rPr>
        <w:t>JOIN dim_pais p ON p.pais_key = m.pais_key</w:t>
      </w:r>
    </w:p>
    <w:p>
      <w:pPr>
        <w:pStyle w:val="Normal"/>
        <w:spacing w:before="0" w:after="30"/>
        <w:rPr/>
      </w:pPr>
      <w:r>
        <w:rPr>
          <w:rFonts w:eastAsia="Courier New" w:cs="Courier New" w:ascii="Courier New" w:hAnsi="Courier New"/>
          <w:sz w:val="18"/>
          <w:szCs w:val="18"/>
        </w:rPr>
        <w:t>GROUP BY p.nombre_pais</w:t>
      </w:r>
    </w:p>
    <w:p>
      <w:pPr>
        <w:pStyle w:val="Normal"/>
        <w:spacing w:before="0" w:after="30"/>
        <w:rPr/>
      </w:pPr>
      <w:r>
        <w:rPr>
          <w:rFonts w:eastAsia="Courier New" w:cs="Courier New" w:ascii="Courier New" w:hAnsi="Courier New"/>
          <w:sz w:val="18"/>
          <w:szCs w:val="18"/>
        </w:rPr>
        <w:t>ORDER BY dias_muy_alto DESC;</w:t>
      </w:r>
    </w:p>
    <w:p>
      <w:pPr>
        <w:pStyle w:val="Normal"/>
        <w:spacing w:lineRule="auto" w:line="360" w:before="0" w:after="120"/>
        <w:jc w:val="both"/>
        <w:rPr/>
      </w:pPr>
      <w:r>
        <w:rPr>
          <w:rFonts w:eastAsia="Arial" w:cs="Arial"/>
          <w:sz w:val="22"/>
          <w:szCs w:val="22"/>
        </w:rPr>
        <w:t>Interpretación P3. Cuenta días en nivel_riesgo alto y muy_alto por país, separados en columnas, e incluye el promedio global del índice_riesgo. Alimenta el KPI K4 (días críticos por país-año) y la vista vw_riesgo_por_pais_mes. Los CASE WHEN explícitos facilitan el uso de índices sobre nivel_riesgo.</w:t>
      </w:r>
    </w:p>
    <w:p>
      <w:pPr>
        <w:pStyle w:val="Heading2"/>
        <w:spacing w:lineRule="auto" w:line="360" w:before="320" w:after="160"/>
        <w:rPr/>
      </w:pPr>
      <w:r>
        <w:rPr>
          <w:rFonts w:eastAsia="Arial" w:cs="Arial" w:ascii="Arial" w:hAnsi="Arial"/>
          <w:b/>
          <w:bCs/>
          <w:color w:val="2E75B6"/>
          <w:sz w:val="26"/>
          <w:szCs w:val="26"/>
        </w:rPr>
        <w:t>E.4 Consulta P4 — Estacionalidad del riesgo</w:t>
      </w:r>
    </w:p>
    <w:p>
      <w:pPr>
        <w:pStyle w:val="Normal"/>
        <w:spacing w:before="0" w:after="30"/>
        <w:rPr/>
      </w:pPr>
      <w:r>
        <w:rPr>
          <w:rFonts w:eastAsia="Courier New" w:cs="Courier New" w:ascii="Courier New" w:hAnsi="Courier New"/>
          <w:sz w:val="18"/>
          <w:szCs w:val="18"/>
        </w:rPr>
        <w:t>-- P4: Evolución mensual del índice de riesgo por país</w:t>
      </w:r>
    </w:p>
    <w:p>
      <w:pPr>
        <w:pStyle w:val="Normal"/>
        <w:spacing w:before="0" w:after="30"/>
        <w:rPr/>
      </w:pPr>
      <w:r>
        <w:rPr>
          <w:rFonts w:eastAsia="Courier New" w:cs="Courier New" w:ascii="Courier New" w:hAnsi="Courier New"/>
          <w:sz w:val="18"/>
          <w:szCs w:val="18"/>
        </w:rPr>
        <w:t>SELECT p.nombre_pais, t.anio, t.mes,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ROUND(AVG(m.indice_riesgo),4) AS riesgo_promedio,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ROUND(MAX(m.indice_riesgo),4) AS riesgo_maximo</w:t>
      </w:r>
    </w:p>
    <w:p>
      <w:pPr>
        <w:pStyle w:val="Normal"/>
        <w:spacing w:before="0" w:after="30"/>
        <w:rPr/>
      </w:pPr>
      <w:r>
        <w:rPr>
          <w:rFonts w:eastAsia="Courier New" w:cs="Courier New" w:ascii="Courier New" w:hAnsi="Courier New"/>
          <w:sz w:val="18"/>
          <w:szCs w:val="18"/>
        </w:rPr>
        <w:t>FROM fact_meteorologia_diaria m</w:t>
      </w:r>
    </w:p>
    <w:p>
      <w:pPr>
        <w:pStyle w:val="Normal"/>
        <w:spacing w:before="0" w:after="30"/>
        <w:rPr/>
      </w:pPr>
      <w:r>
        <w:rPr>
          <w:rFonts w:eastAsia="Courier New" w:cs="Courier New" w:ascii="Courier New" w:hAnsi="Courier New"/>
          <w:sz w:val="18"/>
          <w:szCs w:val="18"/>
        </w:rPr>
        <w:t>JOIN dim_tiempo t ON t.tiempo_key = m.tiempo_key</w:t>
      </w:r>
    </w:p>
    <w:p>
      <w:pPr>
        <w:pStyle w:val="Normal"/>
        <w:spacing w:before="0" w:after="30"/>
        <w:rPr/>
      </w:pPr>
      <w:r>
        <w:rPr>
          <w:rFonts w:eastAsia="Courier New" w:cs="Courier New" w:ascii="Courier New" w:hAnsi="Courier New"/>
          <w:sz w:val="18"/>
          <w:szCs w:val="18"/>
        </w:rPr>
        <w:t>JOIN dim_pais   p ON p.pais_key   = m.pais_key</w:t>
      </w:r>
    </w:p>
    <w:p>
      <w:pPr>
        <w:pStyle w:val="Normal"/>
        <w:spacing w:before="0" w:after="30"/>
        <w:rPr/>
      </w:pPr>
      <w:r>
        <w:rPr>
          <w:rFonts w:eastAsia="Courier New" w:cs="Courier New" w:ascii="Courier New" w:hAnsi="Courier New"/>
          <w:sz w:val="18"/>
          <w:szCs w:val="18"/>
        </w:rPr>
        <w:t>GROUP BY p.nombre_pais, t.anio, t.mes</w:t>
      </w:r>
    </w:p>
    <w:p>
      <w:pPr>
        <w:pStyle w:val="Normal"/>
        <w:spacing w:before="0" w:after="30"/>
        <w:rPr/>
      </w:pPr>
      <w:r>
        <w:rPr>
          <w:rFonts w:eastAsia="Courier New" w:cs="Courier New" w:ascii="Courier New" w:hAnsi="Courier New"/>
          <w:sz w:val="18"/>
          <w:szCs w:val="18"/>
        </w:rPr>
        <w:t>ORDER BY p.nombre_pais, t.anio, t.mes;</w:t>
      </w:r>
    </w:p>
    <w:p>
      <w:pPr>
        <w:pStyle w:val="Normal"/>
        <w:spacing w:lineRule="auto" w:line="360" w:before="0" w:after="120"/>
        <w:jc w:val="both"/>
        <w:rPr/>
      </w:pPr>
      <w:r>
        <w:rPr>
          <w:rFonts w:eastAsia="Arial" w:cs="Arial"/>
          <w:sz w:val="22"/>
          <w:szCs w:val="22"/>
        </w:rPr>
        <w:t>Interpretación P4. Calcula la evolución mensual del índice_riesgo por país (promedio y máximo). El resultado se visualiza como heatmap país × mes en la página 3 del dashboard. La serie temporal obtenida alimenta indirectamente la predicción de temporadas críticas.</w:t>
      </w:r>
    </w:p>
    <w:p>
      <w:pPr>
        <w:pStyle w:val="Heading2"/>
        <w:spacing w:lineRule="auto" w:line="360" w:before="320" w:after="160"/>
        <w:rPr/>
      </w:pPr>
      <w:r>
        <w:rPr>
          <w:rFonts w:eastAsia="Arial" w:cs="Arial" w:ascii="Arial" w:hAnsi="Arial"/>
          <w:b/>
          <w:bCs/>
          <w:color w:val="2E75B6"/>
          <w:sz w:val="26"/>
          <w:szCs w:val="26"/>
        </w:rPr>
        <w:t>E.5 Consulta P5 — Correlación riesgo vs focos</w:t>
      </w:r>
    </w:p>
    <w:p>
      <w:pPr>
        <w:pStyle w:val="Normal"/>
        <w:spacing w:before="0" w:after="30"/>
        <w:rPr/>
      </w:pPr>
      <w:r>
        <w:rPr>
          <w:rFonts w:eastAsia="Courier New" w:cs="Courier New" w:ascii="Courier New" w:hAnsi="Courier New"/>
          <w:sz w:val="18"/>
          <w:szCs w:val="18"/>
        </w:rPr>
        <w:t>-- P5: Correlación días de alto riesgo vs focos detectados</w:t>
      </w:r>
    </w:p>
    <w:p>
      <w:pPr>
        <w:pStyle w:val="Normal"/>
        <w:spacing w:before="0" w:after="30"/>
        <w:rPr/>
      </w:pPr>
      <w:r>
        <w:rPr>
          <w:rFonts w:eastAsia="Courier New" w:cs="Courier New" w:ascii="Courier New" w:hAnsi="Courier New"/>
          <w:sz w:val="18"/>
          <w:szCs w:val="18"/>
        </w:rPr>
        <w:t>SELECT t.fecha, 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ROUND(AVG(m.indice_riesgo),4) AS indice_riesgo,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SUM(f.cantidad_focos)         AS focos_detectados</w:t>
      </w:r>
    </w:p>
    <w:p>
      <w:pPr>
        <w:pStyle w:val="Normal"/>
        <w:spacing w:before="0" w:after="30"/>
        <w:rPr/>
      </w:pPr>
      <w:r>
        <w:rPr>
          <w:rFonts w:eastAsia="Courier New" w:cs="Courier New" w:ascii="Courier New" w:hAnsi="Courier New"/>
          <w:sz w:val="18"/>
          <w:szCs w:val="18"/>
        </w:rPr>
        <w:t>FROM fact_meteorologia_diaria m</w:t>
      </w:r>
    </w:p>
    <w:p>
      <w:pPr>
        <w:pStyle w:val="Normal"/>
        <w:spacing w:before="0" w:after="30"/>
        <w:rPr/>
      </w:pPr>
      <w:r>
        <w:rPr>
          <w:rFonts w:eastAsia="Courier New" w:cs="Courier New" w:ascii="Courier New" w:hAnsi="Courier New"/>
          <w:sz w:val="18"/>
          <w:szCs w:val="18"/>
        </w:rPr>
        <w:t>JOIN dim_tiempo t              ON t.tiempo_key = m.tiempo_key</w:t>
      </w:r>
    </w:p>
    <w:p>
      <w:pPr>
        <w:pStyle w:val="Normal"/>
        <w:spacing w:before="0" w:after="30"/>
        <w:rPr/>
      </w:pPr>
      <w:r>
        <w:rPr>
          <w:rFonts w:eastAsia="Courier New" w:cs="Courier New" w:ascii="Courier New" w:hAnsi="Courier New"/>
          <w:sz w:val="18"/>
          <w:szCs w:val="18"/>
        </w:rPr>
        <w:t>JOIN dim_pais   p              ON p.pais_key   = m.pais_key</w:t>
      </w:r>
    </w:p>
    <w:p>
      <w:pPr>
        <w:pStyle w:val="Normal"/>
        <w:spacing w:before="0" w:after="30"/>
        <w:rPr/>
      </w:pPr>
      <w:r>
        <w:rPr>
          <w:rFonts w:eastAsia="Courier New" w:cs="Courier New" w:ascii="Courier New" w:hAnsi="Courier New"/>
          <w:sz w:val="18"/>
          <w:szCs w:val="18"/>
        </w:rPr>
        <w:t>LEFT JOIN fact_incendios_diario f</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ON f.tiempo_key = m.tiempo_key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AND f.pais_key   = m.pais_key</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AND f.grilla_key = m.grilla_key</w:t>
      </w:r>
    </w:p>
    <w:p>
      <w:pPr>
        <w:pStyle w:val="Normal"/>
        <w:spacing w:before="0" w:after="30"/>
        <w:rPr/>
      </w:pPr>
      <w:r>
        <w:rPr>
          <w:rFonts w:eastAsia="Courier New" w:cs="Courier New" w:ascii="Courier New" w:hAnsi="Courier New"/>
          <w:sz w:val="18"/>
          <w:szCs w:val="18"/>
        </w:rPr>
        <w:t>WHERE m.nivel_riesgo IN ('alto','muy_alto')</w:t>
      </w:r>
    </w:p>
    <w:p>
      <w:pPr>
        <w:pStyle w:val="Normal"/>
        <w:spacing w:before="0" w:after="30"/>
        <w:rPr/>
      </w:pPr>
      <w:r>
        <w:rPr>
          <w:rFonts w:eastAsia="Courier New" w:cs="Courier New" w:ascii="Courier New" w:hAnsi="Courier New"/>
          <w:sz w:val="18"/>
          <w:szCs w:val="18"/>
        </w:rPr>
        <w:t>GROUP BY t.fecha, p.nombre_pais</w:t>
      </w:r>
    </w:p>
    <w:p>
      <w:pPr>
        <w:pStyle w:val="Normal"/>
        <w:spacing w:before="0" w:after="30"/>
        <w:rPr/>
      </w:pPr>
      <w:r>
        <w:rPr>
          <w:rFonts w:eastAsia="Courier New" w:cs="Courier New" w:ascii="Courier New" w:hAnsi="Courier New"/>
          <w:sz w:val="18"/>
          <w:szCs w:val="18"/>
        </w:rPr>
        <w:t>ORDER BY indice_riesgo DESC</w:t>
      </w:r>
    </w:p>
    <w:p>
      <w:pPr>
        <w:pStyle w:val="Normal"/>
        <w:spacing w:before="0" w:after="30"/>
        <w:rPr/>
      </w:pPr>
      <w:r>
        <w:rPr>
          <w:rFonts w:eastAsia="Courier New" w:cs="Courier New" w:ascii="Courier New" w:hAnsi="Courier New"/>
          <w:sz w:val="18"/>
          <w:szCs w:val="18"/>
        </w:rPr>
        <w:t>LIMIT 30;</w:t>
      </w:r>
    </w:p>
    <w:p>
      <w:pPr>
        <w:pStyle w:val="Normal"/>
        <w:spacing w:lineRule="auto" w:line="360" w:before="0" w:after="120"/>
        <w:jc w:val="both"/>
        <w:rPr/>
      </w:pPr>
      <w:r>
        <w:rPr>
          <w:rFonts w:eastAsia="Arial" w:cs="Arial"/>
          <w:sz w:val="22"/>
          <w:szCs w:val="22"/>
        </w:rPr>
        <w:t>Interpretación P5. Cruza días marcados como alto o muy_alto en fact_meteorologia_diaria con fact_incendios_diario en el mismo país-grilla-día. El LEFT JOIN es deliberado: conserva días de alto riesgo sin focos observados, un dato clave para detectar falsos positivos del índice o alertas tempranas efectivas.</w:t>
      </w:r>
    </w:p>
    <w:p>
      <w:pPr>
        <w:pStyle w:val="Heading2"/>
        <w:spacing w:lineRule="auto" w:line="360" w:before="320" w:after="160"/>
        <w:rPr/>
      </w:pPr>
      <w:r>
        <w:rPr>
          <w:rFonts w:eastAsia="Arial" w:cs="Arial" w:ascii="Arial" w:hAnsi="Arial"/>
          <w:b/>
          <w:bCs/>
          <w:color w:val="2E75B6"/>
          <w:sz w:val="26"/>
          <w:szCs w:val="26"/>
        </w:rPr>
        <w:t>E.6 Consulta P6 — Días sobre el umbral OMS de PM10</w:t>
      </w:r>
    </w:p>
    <w:p>
      <w:pPr>
        <w:pStyle w:val="Normal"/>
        <w:spacing w:before="0" w:after="30"/>
        <w:rPr/>
      </w:pPr>
      <w:r>
        <w:rPr>
          <w:rFonts w:eastAsia="Courier New" w:cs="Courier New" w:ascii="Courier New" w:hAnsi="Courier New"/>
          <w:sz w:val="18"/>
          <w:szCs w:val="18"/>
        </w:rPr>
        <w:t>-- P6: Días por país que superan el umbral OMS de PM10 (45 µg/m3)</w:t>
      </w:r>
    </w:p>
    <w:p>
      <w:pPr>
        <w:pStyle w:val="Normal"/>
        <w:spacing w:before="0" w:after="30"/>
        <w:rPr/>
      </w:pPr>
      <w:r>
        <w:rPr>
          <w:rFonts w:eastAsia="Courier New" w:cs="Courier New" w:ascii="Courier New" w:hAnsi="Courier New"/>
          <w:sz w:val="18"/>
          <w:szCs w:val="18"/>
        </w:rPr>
        <w:t>SELECT 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c.supera_umbral_oms_pm10 THEN 1 ELSE 0 END) AS dias_sobre_oms,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ROUND(AVG(c.pm10_media_ug_m3),2) AS pm10_promedio,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ROUND(MAX(c.pm10_max_ug_m3),2)   AS pm10_maximo</w:t>
      </w:r>
    </w:p>
    <w:p>
      <w:pPr>
        <w:pStyle w:val="Normal"/>
        <w:spacing w:before="0" w:after="30"/>
        <w:rPr/>
      </w:pPr>
      <w:r>
        <w:rPr>
          <w:rFonts w:eastAsia="Courier New" w:cs="Courier New" w:ascii="Courier New" w:hAnsi="Courier New"/>
          <w:sz w:val="18"/>
          <w:szCs w:val="18"/>
        </w:rPr>
        <w:t>FROM fact_calidad_aire_diaria c</w:t>
      </w:r>
    </w:p>
    <w:p>
      <w:pPr>
        <w:pStyle w:val="Normal"/>
        <w:spacing w:before="0" w:after="30"/>
        <w:rPr/>
      </w:pPr>
      <w:r>
        <w:rPr>
          <w:rFonts w:eastAsia="Courier New" w:cs="Courier New" w:ascii="Courier New" w:hAnsi="Courier New"/>
          <w:sz w:val="18"/>
          <w:szCs w:val="18"/>
        </w:rPr>
        <w:t>JOIN dim_pais p ON p.pais_key = c.pais_key</w:t>
      </w:r>
    </w:p>
    <w:p>
      <w:pPr>
        <w:pStyle w:val="Normal"/>
        <w:spacing w:before="0" w:after="30"/>
        <w:rPr/>
      </w:pPr>
      <w:r>
        <w:rPr>
          <w:rFonts w:eastAsia="Courier New" w:cs="Courier New" w:ascii="Courier New" w:hAnsi="Courier New"/>
          <w:sz w:val="18"/>
          <w:szCs w:val="18"/>
        </w:rPr>
        <w:t>GROUP BY p.nombre_pais</w:t>
      </w:r>
    </w:p>
    <w:p>
      <w:pPr>
        <w:pStyle w:val="Normal"/>
        <w:spacing w:before="0" w:after="30"/>
        <w:rPr/>
      </w:pPr>
      <w:r>
        <w:rPr>
          <w:rFonts w:eastAsia="Courier New" w:cs="Courier New" w:ascii="Courier New" w:hAnsi="Courier New"/>
          <w:sz w:val="18"/>
          <w:szCs w:val="18"/>
        </w:rPr>
        <w:t>ORDER BY dias_sobre_oms DESC;</w:t>
      </w:r>
    </w:p>
    <w:p>
      <w:pPr>
        <w:pStyle w:val="Normal"/>
        <w:spacing w:lineRule="auto" w:line="360" w:before="0" w:after="120"/>
        <w:jc w:val="both"/>
        <w:rPr/>
      </w:pPr>
      <w:r>
        <w:rPr>
          <w:rFonts w:eastAsia="Arial" w:cs="Arial"/>
          <w:sz w:val="22"/>
          <w:szCs w:val="22"/>
        </w:rPr>
        <w:t>Interpretación P6. Cuenta, por país, días con supera_umbral_oms_pm10 = TRUE y devuelve el promedio y máximo de PM10 medio diario. Alimenta el KPI K5 (sobrepaso OMS-PM10) y la vista vw_alertas_calidad_aire. Es la consulta central para la página 4 del dashboard (salud pública).</w:t>
      </w:r>
    </w:p>
    <w:p>
      <w:pPr>
        <w:pStyle w:val="Heading2"/>
        <w:spacing w:lineRule="auto" w:line="360" w:before="320" w:after="160"/>
        <w:rPr/>
      </w:pPr>
      <w:r>
        <w:rPr>
          <w:rFonts w:eastAsia="Arial" w:cs="Arial" w:ascii="Arial" w:hAnsi="Arial"/>
          <w:b/>
          <w:bCs/>
          <w:color w:val="2E75B6"/>
          <w:sz w:val="26"/>
          <w:szCs w:val="26"/>
        </w:rPr>
        <w:t>E.7 Consulta P7 — Anomalías de precipitación</w:t>
      </w:r>
    </w:p>
    <w:p>
      <w:pPr>
        <w:pStyle w:val="Normal"/>
        <w:spacing w:before="0" w:after="30"/>
        <w:rPr/>
      </w:pPr>
      <w:r>
        <w:rPr>
          <w:rFonts w:eastAsia="Courier New" w:cs="Courier New" w:ascii="Courier New" w:hAnsi="Courier New"/>
          <w:sz w:val="18"/>
          <w:szCs w:val="18"/>
        </w:rPr>
        <w:t>-- P7: Anomalía de precipitación mensual por país (% vs clima)</w:t>
      </w:r>
    </w:p>
    <w:p>
      <w:pPr>
        <w:pStyle w:val="Normal"/>
        <w:spacing w:before="0" w:after="30"/>
        <w:rPr/>
      </w:pPr>
      <w:r>
        <w:rPr>
          <w:rFonts w:eastAsia="Courier New" w:cs="Courier New" w:ascii="Courier New" w:hAnsi="Courier New"/>
          <w:sz w:val="18"/>
          <w:szCs w:val="18"/>
        </w:rPr>
        <w:t>SELECT p.nombre_pais, t.anio, t.mes,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ROUND(AVG(pr.precipitacion_total_mm),2) AS precipitacion_mm,</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ROUND(AVG(pr.anomalia_pct),2)           AS anomalia_pct,</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pr.categoria_sequia</w:t>
      </w:r>
    </w:p>
    <w:p>
      <w:pPr>
        <w:pStyle w:val="Normal"/>
        <w:spacing w:before="0" w:after="30"/>
        <w:rPr/>
      </w:pPr>
      <w:r>
        <w:rPr>
          <w:rFonts w:eastAsia="Courier New" w:cs="Courier New" w:ascii="Courier New" w:hAnsi="Courier New"/>
          <w:sz w:val="18"/>
          <w:szCs w:val="18"/>
        </w:rPr>
        <w:t>FROM fact_precipitacion_mensual pr</w:t>
      </w:r>
    </w:p>
    <w:p>
      <w:pPr>
        <w:pStyle w:val="Normal"/>
        <w:spacing w:before="0" w:after="30"/>
        <w:rPr/>
      </w:pPr>
      <w:r>
        <w:rPr>
          <w:rFonts w:eastAsia="Courier New" w:cs="Courier New" w:ascii="Courier New" w:hAnsi="Courier New"/>
          <w:sz w:val="18"/>
          <w:szCs w:val="18"/>
        </w:rPr>
        <w:t>JOIN dim_tiempo t ON t.tiempo_key = pr.tiempo_key</w:t>
      </w:r>
    </w:p>
    <w:p>
      <w:pPr>
        <w:pStyle w:val="Normal"/>
        <w:spacing w:before="0" w:after="30"/>
        <w:rPr/>
      </w:pPr>
      <w:r>
        <w:rPr>
          <w:rFonts w:eastAsia="Courier New" w:cs="Courier New" w:ascii="Courier New" w:hAnsi="Courier New"/>
          <w:sz w:val="18"/>
          <w:szCs w:val="18"/>
        </w:rPr>
        <w:t>JOIN dim_pais   p ON p.pais_key   = pr.pais_key</w:t>
      </w:r>
    </w:p>
    <w:p>
      <w:pPr>
        <w:pStyle w:val="Normal"/>
        <w:spacing w:before="0" w:after="30"/>
        <w:rPr/>
      </w:pPr>
      <w:r>
        <w:rPr>
          <w:rFonts w:eastAsia="Courier New" w:cs="Courier New" w:ascii="Courier New" w:hAnsi="Courier New"/>
          <w:sz w:val="18"/>
          <w:szCs w:val="18"/>
        </w:rPr>
        <w:t>GROUP BY p.nombre_pais, t.anio, t.mes, pr.categoria_sequia</w:t>
      </w:r>
    </w:p>
    <w:p>
      <w:pPr>
        <w:pStyle w:val="Normal"/>
        <w:spacing w:before="0" w:after="30"/>
        <w:rPr/>
      </w:pPr>
      <w:r>
        <w:rPr>
          <w:rFonts w:eastAsia="Courier New" w:cs="Courier New" w:ascii="Courier New" w:hAnsi="Courier New"/>
          <w:sz w:val="18"/>
          <w:szCs w:val="18"/>
        </w:rPr>
        <w:t>ORDER BY p.nombre_pais, t.anio, t.mes;</w:t>
      </w:r>
    </w:p>
    <w:p>
      <w:pPr>
        <w:pStyle w:val="Normal"/>
        <w:spacing w:lineRule="auto" w:line="360" w:before="0" w:after="120"/>
        <w:jc w:val="both"/>
        <w:rPr/>
      </w:pPr>
      <w:r>
        <w:rPr>
          <w:rFonts w:eastAsia="Arial" w:cs="Arial"/>
          <w:sz w:val="22"/>
          <w:szCs w:val="22"/>
        </w:rPr>
        <w:t>Interpretación P7. Expone anomalia_pct y categoria_sequia mensuales por país. Usa el hecho de granularidad mensual fact_precipitacion_mensual, no el diario, para respetar la resolución nativa de CHIRPS. El resultado se visualiza en la página 5 con tarjetas de KPI por categoría (normal / moderada / severa / extrema / húmeda).</w:t>
      </w:r>
    </w:p>
    <w:p>
      <w:pPr>
        <w:pStyle w:val="Heading2"/>
        <w:spacing w:lineRule="auto" w:line="360" w:before="320" w:after="160"/>
        <w:rPr/>
      </w:pPr>
      <w:r>
        <w:rPr>
          <w:rFonts w:eastAsia="Arial" w:cs="Arial" w:ascii="Arial" w:hAnsi="Arial"/>
          <w:b/>
          <w:bCs/>
          <w:color w:val="2E75B6"/>
          <w:sz w:val="26"/>
          <w:szCs w:val="26"/>
        </w:rPr>
        <w:t>E.8 Consulta P8 — Mes crítico estacional</w:t>
      </w:r>
    </w:p>
    <w:p>
      <w:pPr>
        <w:pStyle w:val="Normal"/>
        <w:spacing w:before="0" w:after="30"/>
        <w:rPr/>
      </w:pPr>
      <w:r>
        <w:rPr>
          <w:rFonts w:eastAsia="Courier New" w:cs="Courier New" w:ascii="Courier New" w:hAnsi="Courier New"/>
          <w:sz w:val="18"/>
          <w:szCs w:val="18"/>
        </w:rPr>
        <w:t>-- P8: Mes con mayor riesgo histórico acumulado (estacionalidad)</w:t>
      </w:r>
    </w:p>
    <w:p>
      <w:pPr>
        <w:pStyle w:val="Normal"/>
        <w:spacing w:before="0" w:after="30"/>
        <w:rPr/>
      </w:pPr>
      <w:r>
        <w:rPr>
          <w:rFonts w:eastAsia="Courier New" w:cs="Courier New" w:ascii="Courier New" w:hAnsi="Courier New"/>
          <w:sz w:val="18"/>
          <w:szCs w:val="18"/>
        </w:rPr>
        <w:t>SELECT t.mes, t.nombre_mes,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ROUND(AVG(m.indice_riesgo),4) AS riesgo_promedio,</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m.nivel_riesgo IN ('alto','muy_alto') THEN 1 ELSE 0 END) AS dias_criticos</w:t>
      </w:r>
    </w:p>
    <w:p>
      <w:pPr>
        <w:pStyle w:val="Normal"/>
        <w:spacing w:before="0" w:after="30"/>
        <w:rPr/>
      </w:pPr>
      <w:r>
        <w:rPr>
          <w:rFonts w:eastAsia="Courier New" w:cs="Courier New" w:ascii="Courier New" w:hAnsi="Courier New"/>
          <w:sz w:val="18"/>
          <w:szCs w:val="18"/>
        </w:rPr>
        <w:t>FROM fact_meteorologia_diaria m</w:t>
      </w:r>
    </w:p>
    <w:p>
      <w:pPr>
        <w:pStyle w:val="Normal"/>
        <w:spacing w:before="0" w:after="30"/>
        <w:rPr/>
      </w:pPr>
      <w:r>
        <w:rPr>
          <w:rFonts w:eastAsia="Courier New" w:cs="Courier New" w:ascii="Courier New" w:hAnsi="Courier New"/>
          <w:sz w:val="18"/>
          <w:szCs w:val="18"/>
        </w:rPr>
        <w:t>JOIN dim_tiempo t ON t.tiempo_key = m.tiempo_key</w:t>
      </w:r>
    </w:p>
    <w:p>
      <w:pPr>
        <w:pStyle w:val="Normal"/>
        <w:spacing w:before="0" w:after="30"/>
        <w:rPr/>
      </w:pPr>
      <w:r>
        <w:rPr>
          <w:rFonts w:eastAsia="Courier New" w:cs="Courier New" w:ascii="Courier New" w:hAnsi="Courier New"/>
          <w:sz w:val="18"/>
          <w:szCs w:val="18"/>
        </w:rPr>
        <w:t>GROUP BY t.mes, t.nombre_mes</w:t>
      </w:r>
    </w:p>
    <w:p>
      <w:pPr>
        <w:pStyle w:val="Normal"/>
        <w:spacing w:before="0" w:after="30"/>
        <w:rPr/>
      </w:pPr>
      <w:r>
        <w:rPr>
          <w:rFonts w:eastAsia="Courier New" w:cs="Courier New" w:ascii="Courier New" w:hAnsi="Courier New"/>
          <w:sz w:val="18"/>
          <w:szCs w:val="18"/>
        </w:rPr>
        <w:t>ORDER BY riesgo_promedio DESC;</w:t>
      </w:r>
    </w:p>
    <w:p>
      <w:pPr>
        <w:pStyle w:val="Normal"/>
        <w:spacing w:lineRule="auto" w:line="360" w:before="0" w:after="120"/>
        <w:jc w:val="both"/>
        <w:rPr/>
      </w:pPr>
      <w:r>
        <w:rPr>
          <w:rFonts w:eastAsia="Arial" w:cs="Arial"/>
          <w:sz w:val="22"/>
          <w:szCs w:val="22"/>
        </w:rPr>
        <w:t>Interpretación P8. Promedia el índice_riesgo por mes calendario (ignorando año) y cuenta días críticos, para revelar la estacionalidad típica. Responde a la pregunta '¿cuándo hay que reforzar recursos preventivos?' y es base para la planificación anual de los equipos operativos.</w:t>
      </w:r>
    </w:p>
    <w:p>
      <w:pPr>
        <w:pStyle w:val="Heading2"/>
        <w:spacing w:lineRule="auto" w:line="360" w:before="320" w:after="160"/>
        <w:rPr/>
      </w:pPr>
      <w:r>
        <w:rPr>
          <w:rFonts w:eastAsia="Arial" w:cs="Arial" w:ascii="Arial" w:hAnsi="Arial"/>
          <w:b/>
          <w:bCs/>
          <w:color w:val="2E75B6"/>
          <w:sz w:val="26"/>
          <w:szCs w:val="26"/>
        </w:rPr>
        <w:t>E.9 Consulta P9 — Patrón diurno/nocturno</w:t>
      </w:r>
    </w:p>
    <w:p>
      <w:pPr>
        <w:pStyle w:val="Normal"/>
        <w:spacing w:before="0" w:after="30"/>
        <w:rPr/>
      </w:pPr>
      <w:r>
        <w:rPr>
          <w:rFonts w:eastAsia="Courier New" w:cs="Courier New" w:ascii="Courier New" w:hAnsi="Courier New"/>
          <w:sz w:val="18"/>
          <w:szCs w:val="18"/>
        </w:rPr>
        <w:t>-- P9: Distribución diurna/nocturna de focos por país</w:t>
      </w:r>
    </w:p>
    <w:p>
      <w:pPr>
        <w:pStyle w:val="Normal"/>
        <w:spacing w:before="0" w:after="30"/>
        <w:rPr/>
      </w:pPr>
      <w:r>
        <w:rPr>
          <w:rFonts w:eastAsia="Courier New" w:cs="Courier New" w:ascii="Courier New" w:hAnsi="Courier New"/>
          <w:sz w:val="18"/>
          <w:szCs w:val="18"/>
        </w:rPr>
        <w:t>SELECT 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SUM(f.focos_diurnos)  AS focos_diurnos,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SUM(f.focos_nocturnos) AS focos_nocturnos,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ROUND(SUM(f.focos_diurnos)*1.0 /</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NULLIF(SUM(f.focos_diurnos)+SUM(f.focos_nocturnos),0),4) AS ratio_diurno</w:t>
      </w:r>
    </w:p>
    <w:p>
      <w:pPr>
        <w:pStyle w:val="Normal"/>
        <w:spacing w:before="0" w:after="30"/>
        <w:rPr/>
      </w:pPr>
      <w:r>
        <w:rPr>
          <w:rFonts w:eastAsia="Courier New" w:cs="Courier New" w:ascii="Courier New" w:hAnsi="Courier New"/>
          <w:sz w:val="18"/>
          <w:szCs w:val="18"/>
        </w:rPr>
        <w:t>FROM fact_incendios_diario f</w:t>
      </w:r>
    </w:p>
    <w:p>
      <w:pPr>
        <w:pStyle w:val="Normal"/>
        <w:spacing w:before="0" w:after="30"/>
        <w:rPr/>
      </w:pPr>
      <w:r>
        <w:rPr>
          <w:rFonts w:eastAsia="Courier New" w:cs="Courier New" w:ascii="Courier New" w:hAnsi="Courier New"/>
          <w:sz w:val="18"/>
          <w:szCs w:val="18"/>
        </w:rPr>
        <w:t>JOIN dim_pais p ON p.pais_key = f.pais_key</w:t>
      </w:r>
    </w:p>
    <w:p>
      <w:pPr>
        <w:pStyle w:val="Normal"/>
        <w:spacing w:before="0" w:after="30"/>
        <w:rPr/>
      </w:pPr>
      <w:r>
        <w:rPr>
          <w:rFonts w:eastAsia="Courier New" w:cs="Courier New" w:ascii="Courier New" w:hAnsi="Courier New"/>
          <w:sz w:val="18"/>
          <w:szCs w:val="18"/>
        </w:rPr>
        <w:t>GROUP BY p.nombre_pais;</w:t>
      </w:r>
    </w:p>
    <w:p>
      <w:pPr>
        <w:pStyle w:val="Normal"/>
        <w:spacing w:lineRule="auto" w:line="360" w:before="0" w:after="120"/>
        <w:jc w:val="both"/>
        <w:rPr/>
      </w:pPr>
      <w:r>
        <w:rPr>
          <w:rFonts w:eastAsia="Arial" w:cs="Arial"/>
          <w:sz w:val="22"/>
          <w:szCs w:val="22"/>
        </w:rPr>
        <w:t>Interpretación P9. Compara focos diurnos y nocturnos por país y calcula la ratio diurna. El NULLIF evita división por cero en países con cero focos. Este patrón es clave para optimizar ventanas de vigilancia aérea (prioritarias en ventanas diurnas) vs. satelital (que opera 24/7).</w:t>
      </w:r>
    </w:p>
    <w:p>
      <w:pPr>
        <w:pStyle w:val="Heading2"/>
        <w:spacing w:lineRule="auto" w:line="360" w:before="320" w:after="160"/>
        <w:rPr/>
      </w:pPr>
      <w:r>
        <w:rPr>
          <w:rFonts w:eastAsia="Arial" w:cs="Arial" w:ascii="Arial" w:hAnsi="Arial"/>
          <w:b/>
          <w:bCs/>
          <w:color w:val="2E75B6"/>
          <w:sz w:val="26"/>
          <w:szCs w:val="26"/>
        </w:rPr>
        <w:t>E.10 Consulta P10 — Celdas con mayor FRP acumulado</w:t>
      </w:r>
    </w:p>
    <w:p>
      <w:pPr>
        <w:pStyle w:val="Normal"/>
        <w:spacing w:before="0" w:after="30"/>
        <w:rPr/>
      </w:pPr>
      <w:r>
        <w:rPr>
          <w:rFonts w:eastAsia="Courier New" w:cs="Courier New" w:ascii="Courier New" w:hAnsi="Courier New"/>
          <w:sz w:val="18"/>
          <w:szCs w:val="18"/>
        </w:rPr>
        <w:t>-- P10: Top 10 celdas con mayor FRP acumulado (estudio de caso)</w:t>
      </w:r>
    </w:p>
    <w:p>
      <w:pPr>
        <w:pStyle w:val="Normal"/>
        <w:spacing w:before="0" w:after="30"/>
        <w:rPr/>
      </w:pPr>
      <w:r>
        <w:rPr>
          <w:rFonts w:eastAsia="Courier New" w:cs="Courier New" w:ascii="Courier New" w:hAnsi="Courier New"/>
          <w:sz w:val="18"/>
          <w:szCs w:val="18"/>
        </w:rPr>
        <w:t>SELECT g.celda_id, p.nombre_pais,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ROUND(SUM(f.frp_total_mw),2) AS frp_acumulado_mw,</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SUM(f.cantidad_focos)        AS focos_totales</w:t>
      </w:r>
    </w:p>
    <w:p>
      <w:pPr>
        <w:pStyle w:val="Normal"/>
        <w:spacing w:before="0" w:after="30"/>
        <w:rPr/>
      </w:pPr>
      <w:r>
        <w:rPr>
          <w:rFonts w:eastAsia="Courier New" w:cs="Courier New" w:ascii="Courier New" w:hAnsi="Courier New"/>
          <w:sz w:val="18"/>
          <w:szCs w:val="18"/>
        </w:rPr>
        <w:t>FROM fact_incendios_diario f</w:t>
      </w:r>
    </w:p>
    <w:p>
      <w:pPr>
        <w:pStyle w:val="Normal"/>
        <w:spacing w:before="0" w:after="30"/>
        <w:rPr/>
      </w:pPr>
      <w:r>
        <w:rPr>
          <w:rFonts w:eastAsia="Courier New" w:cs="Courier New" w:ascii="Courier New" w:hAnsi="Courier New"/>
          <w:sz w:val="18"/>
          <w:szCs w:val="18"/>
        </w:rPr>
        <w:t>JOIN dim_grilla g ON g.grilla_key = f.grilla_key</w:t>
      </w:r>
    </w:p>
    <w:p>
      <w:pPr>
        <w:pStyle w:val="Normal"/>
        <w:spacing w:before="0" w:after="30"/>
        <w:rPr/>
      </w:pPr>
      <w:r>
        <w:rPr>
          <w:rFonts w:eastAsia="Courier New" w:cs="Courier New" w:ascii="Courier New" w:hAnsi="Courier New"/>
          <w:sz w:val="18"/>
          <w:szCs w:val="18"/>
        </w:rPr>
        <w:t>JOIN dim_pais   p ON p.pais_key   = f.pais_key</w:t>
      </w:r>
    </w:p>
    <w:p>
      <w:pPr>
        <w:pStyle w:val="Normal"/>
        <w:spacing w:before="0" w:after="30"/>
        <w:rPr/>
      </w:pPr>
      <w:r>
        <w:rPr>
          <w:rFonts w:eastAsia="Courier New" w:cs="Courier New" w:ascii="Courier New" w:hAnsi="Courier New"/>
          <w:sz w:val="18"/>
          <w:szCs w:val="18"/>
        </w:rPr>
        <w:t>GROUP BY g.celda_id, p.nombre_pais</w:t>
      </w:r>
    </w:p>
    <w:p>
      <w:pPr>
        <w:pStyle w:val="Normal"/>
        <w:spacing w:before="0" w:after="30"/>
        <w:rPr/>
      </w:pPr>
      <w:r>
        <w:rPr>
          <w:rFonts w:eastAsia="Courier New" w:cs="Courier New" w:ascii="Courier New" w:hAnsi="Courier New"/>
          <w:sz w:val="18"/>
          <w:szCs w:val="18"/>
        </w:rPr>
        <w:t>ORDER BY frp_acumulado_mw DESC</w:t>
      </w:r>
    </w:p>
    <w:p>
      <w:pPr>
        <w:pStyle w:val="Normal"/>
        <w:spacing w:before="0" w:after="30"/>
        <w:rPr/>
      </w:pPr>
      <w:r>
        <w:rPr>
          <w:rFonts w:eastAsia="Courier New" w:cs="Courier New" w:ascii="Courier New" w:hAnsi="Courier New"/>
          <w:sz w:val="18"/>
          <w:szCs w:val="18"/>
        </w:rPr>
        <w:t>LIMIT 10;</w:t>
      </w:r>
    </w:p>
    <w:p>
      <w:pPr>
        <w:pStyle w:val="Normal"/>
        <w:spacing w:lineRule="auto" w:line="360" w:before="0" w:after="120"/>
        <w:jc w:val="both"/>
        <w:rPr/>
      </w:pPr>
      <w:r>
        <w:rPr>
          <w:rFonts w:eastAsia="Arial" w:cs="Arial"/>
          <w:sz w:val="22"/>
          <w:szCs w:val="22"/>
        </w:rPr>
        <w:t>Interpretación P10. Lista las diez celdas de 0,25° con mayor FRP total acumulado en el período. Permite identificar hotspots estructurales que merecen un estudio de caso detallado y son candidatos naturales a puntos de monitoreo in situ.</w:t>
      </w:r>
    </w:p>
    <w:p>
      <w:pPr>
        <w:pStyle w:val="Heading2"/>
        <w:spacing w:lineRule="auto" w:line="360" w:before="320" w:after="160"/>
        <w:rPr/>
      </w:pPr>
      <w:r>
        <w:rPr>
          <w:rFonts w:eastAsia="Arial" w:cs="Arial" w:ascii="Arial" w:hAnsi="Arial"/>
          <w:b/>
          <w:bCs/>
          <w:color w:val="2E75B6"/>
          <w:sz w:val="26"/>
          <w:szCs w:val="26"/>
        </w:rPr>
        <w:t>E.11 Consulta P11 — Transiciones de cobertura vegetal</w:t>
      </w:r>
    </w:p>
    <w:p>
      <w:pPr>
        <w:pStyle w:val="Normal"/>
        <w:spacing w:before="0" w:after="30"/>
        <w:rPr/>
      </w:pPr>
      <w:r>
        <w:rPr>
          <w:rFonts w:eastAsia="Courier New" w:cs="Courier New" w:ascii="Courier New" w:hAnsi="Courier New"/>
          <w:sz w:val="18"/>
          <w:szCs w:val="18"/>
        </w:rPr>
        <w:t>-- P11: Cambio interanual de cobertura vegetal por país</w:t>
      </w:r>
    </w:p>
    <w:p>
      <w:pPr>
        <w:pStyle w:val="Normal"/>
        <w:spacing w:before="0" w:after="30"/>
        <w:rPr/>
      </w:pPr>
      <w:r>
        <w:rPr>
          <w:rFonts w:eastAsia="Courier New" w:cs="Courier New" w:ascii="Courier New" w:hAnsi="Courier New"/>
          <w:sz w:val="18"/>
          <w:szCs w:val="18"/>
        </w:rPr>
        <w:t>SELECT p.nombre_pais, t.anio, dc.descripcion AS clase_dominante,</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COUNT(*) AS celdas,</w:t>
      </w:r>
    </w:p>
    <w:p>
      <w:pPr>
        <w:pStyle w:val="Normal"/>
        <w:spacing w:before="0" w:after="30"/>
        <w:rPr/>
      </w:pPr>
      <w:r>
        <w:rPr>
          <w:rFonts w:eastAsia="Courier New" w:cs="Courier New" w:ascii="Courier New" w:hAnsi="Courier New"/>
          <w:sz w:val="18"/>
          <w:szCs w:val="18"/>
        </w:rPr>
        <w:t xml:space="preserve">       </w:t>
      </w:r>
      <w:r>
        <w:rPr>
          <w:rFonts w:eastAsia="Courier New" w:cs="Courier New" w:ascii="Courier New" w:hAnsi="Courier New"/>
          <w:sz w:val="18"/>
          <w:szCs w:val="18"/>
        </w:rPr>
        <w:t>SUM(CASE WHEN cv.cambio_interanual THEN 1 ELSE 0 END) AS celdas_con_cambio</w:t>
      </w:r>
    </w:p>
    <w:p>
      <w:pPr>
        <w:pStyle w:val="Normal"/>
        <w:spacing w:before="0" w:after="30"/>
        <w:rPr/>
      </w:pPr>
      <w:r>
        <w:rPr>
          <w:rFonts w:eastAsia="Courier New" w:cs="Courier New" w:ascii="Courier New" w:hAnsi="Courier New"/>
          <w:sz w:val="18"/>
          <w:szCs w:val="18"/>
        </w:rPr>
        <w:t>FROM fact_cobertura_vegetal_anual cv</w:t>
      </w:r>
    </w:p>
    <w:p>
      <w:pPr>
        <w:pStyle w:val="Normal"/>
        <w:spacing w:before="0" w:after="30"/>
        <w:rPr/>
      </w:pPr>
      <w:r>
        <w:rPr>
          <w:rFonts w:eastAsia="Courier New" w:cs="Courier New" w:ascii="Courier New" w:hAnsi="Courier New"/>
          <w:sz w:val="18"/>
          <w:szCs w:val="18"/>
        </w:rPr>
        <w:t>JOIN dim_tiempo    t  ON t.tiempo_key    = cv.tiempo_key</w:t>
      </w:r>
    </w:p>
    <w:p>
      <w:pPr>
        <w:pStyle w:val="Normal"/>
        <w:spacing w:before="0" w:after="30"/>
        <w:rPr/>
      </w:pPr>
      <w:r>
        <w:rPr>
          <w:rFonts w:eastAsia="Courier New" w:cs="Courier New" w:ascii="Courier New" w:hAnsi="Courier New"/>
          <w:sz w:val="18"/>
          <w:szCs w:val="18"/>
        </w:rPr>
        <w:t>JOIN dim_pais      p  ON p.pais_key      = cv.pais_key</w:t>
      </w:r>
    </w:p>
    <w:p>
      <w:pPr>
        <w:pStyle w:val="Normal"/>
        <w:spacing w:before="0" w:after="30"/>
        <w:rPr/>
      </w:pPr>
      <w:r>
        <w:rPr>
          <w:rFonts w:eastAsia="Courier New" w:cs="Courier New" w:ascii="Courier New" w:hAnsi="Courier New"/>
          <w:sz w:val="18"/>
          <w:szCs w:val="18"/>
        </w:rPr>
        <w:t>JOIN dim_cobertura dc ON dc.cobertura_key = cv.cobertura_key</w:t>
      </w:r>
    </w:p>
    <w:p>
      <w:pPr>
        <w:pStyle w:val="Normal"/>
        <w:spacing w:before="0" w:after="30"/>
        <w:rPr/>
      </w:pPr>
      <w:r>
        <w:rPr>
          <w:rFonts w:eastAsia="Courier New" w:cs="Courier New" w:ascii="Courier New" w:hAnsi="Courier New"/>
          <w:sz w:val="18"/>
          <w:szCs w:val="18"/>
        </w:rPr>
        <w:t>GROUP BY p.nombre_pais, t.anio, dc.descripcion</w:t>
      </w:r>
    </w:p>
    <w:p>
      <w:pPr>
        <w:pStyle w:val="Normal"/>
        <w:spacing w:before="0" w:after="30"/>
        <w:rPr/>
      </w:pPr>
      <w:r>
        <w:rPr>
          <w:rFonts w:eastAsia="Courier New" w:cs="Courier New" w:ascii="Courier New" w:hAnsi="Courier New"/>
          <w:sz w:val="18"/>
          <w:szCs w:val="18"/>
        </w:rPr>
        <w:t>ORDER BY p.nombre_pais, t.anio;</w:t>
      </w:r>
    </w:p>
    <w:p>
      <w:pPr>
        <w:pStyle w:val="Normal"/>
        <w:spacing w:lineRule="auto" w:line="360" w:before="0" w:after="120"/>
        <w:jc w:val="both"/>
        <w:rPr/>
      </w:pPr>
      <w:r>
        <w:rPr>
          <w:rFonts w:eastAsia="Arial" w:cs="Arial"/>
          <w:sz w:val="22"/>
          <w:szCs w:val="22"/>
        </w:rPr>
        <w:t>Interpretación P11. Cuenta celdas y celdas con cambio_interanual por país-año-clase dominante. Alimenta el KPI K7 (cambios de cobertura por año) y la vista vw_transicion_cobertura, que se visualiza como diagrama Sankey en la página 6 del dashboard.</w:t>
      </w:r>
    </w:p>
    <w:p>
      <w:pPr>
        <w:pStyle w:val="Heading2"/>
        <w:spacing w:lineRule="auto" w:line="360" w:before="320" w:after="160"/>
        <w:rPr/>
      </w:pPr>
      <w:r>
        <w:rPr>
          <w:rFonts w:eastAsia="Arial" w:cs="Arial" w:ascii="Arial" w:hAnsi="Arial"/>
          <w:b/>
          <w:bCs/>
          <w:color w:val="2E75B6"/>
          <w:sz w:val="26"/>
          <w:szCs w:val="26"/>
        </w:rPr>
        <w:t>E.12 KPIs operativos y analíticos</w:t>
      </w:r>
    </w:p>
    <w:tbl>
      <w:tblPr>
        <w:tblW w:w="8788" w:type="dxa"/>
        <w:jc w:val="start"/>
        <w:tblInd w:w="0" w:type="dxa"/>
        <w:tblLayout w:type="fixed"/>
        <w:tblCellMar>
          <w:top w:w="60" w:type="dxa"/>
          <w:start w:w="100" w:type="dxa"/>
          <w:bottom w:w="60" w:type="dxa"/>
          <w:end w:w="100" w:type="dxa"/>
        </w:tblCellMar>
      </w:tblPr>
      <w:tblGrid>
        <w:gridCol w:w="600"/>
        <w:gridCol w:w="2400"/>
        <w:gridCol w:w="4388"/>
        <w:gridCol w:w="1400"/>
      </w:tblGrid>
      <w:tr>
        <w:trPr/>
        <w:tc>
          <w:tcPr>
            <w:tcW w:w="6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ID</w:t>
            </w:r>
          </w:p>
        </w:tc>
        <w:tc>
          <w:tcPr>
            <w:tcW w:w="2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KPI</w:t>
            </w:r>
          </w:p>
        </w:tc>
        <w:tc>
          <w:tcPr>
            <w:tcW w:w="4388"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Fórmula / consulta base</w:t>
            </w:r>
          </w:p>
        </w:tc>
        <w:tc>
          <w:tcPr>
            <w:tcW w:w="1400"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Vista analítica asociada</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K1</w:t>
            </w:r>
          </w:p>
        </w:tc>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Tasa de éxito del pipeline</w:t>
            </w:r>
          </w:p>
        </w:tc>
        <w:tc>
          <w:tcPr>
            <w:tcW w:w="4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Ejecuciones ok / total, ventana móvil 30 días (colección ejecuciones_etl)</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K2</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Latencia ETL media</w:t>
            </w:r>
          </w:p>
        </w:tc>
        <w:tc>
          <w:tcPr>
            <w:tcW w:w="4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AVG(duracion_segundos) por fuente y etapa, ventana 7 días</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K3</w:t>
            </w:r>
          </w:p>
        </w:tc>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Completitud por fuente</w:t>
            </w:r>
          </w:p>
        </w:tc>
        <w:tc>
          <w:tcPr>
            <w:tcW w:w="4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registros_procesados / registros_esperados por fecha</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K4</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Días críticos por país-año</w:t>
            </w:r>
          </w:p>
        </w:tc>
        <w:tc>
          <w:tcPr>
            <w:tcW w:w="4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SUM(dias_alto + dias_muy_alto) (P3)</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vw_riesgo_por_pais_mes</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K5</w:t>
            </w:r>
          </w:p>
        </w:tc>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Sobrepaso OMS-PM10</w:t>
            </w:r>
          </w:p>
        </w:tc>
        <w:tc>
          <w:tcPr>
            <w:tcW w:w="4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 días supera_umbral_oms_pm10 (P6)</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vw_alertas_calidad_aire</w:t>
            </w:r>
          </w:p>
        </w:tc>
      </w:tr>
      <w:tr>
        <w:trPr/>
        <w:tc>
          <w:tcPr>
            <w:tcW w:w="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K6</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FRP acumulado por país-mes</w:t>
            </w:r>
          </w:p>
        </w:tc>
        <w:tc>
          <w:tcPr>
            <w:tcW w:w="4388"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SUM(frp_total_mw) (P1)</w:t>
            </w:r>
          </w:p>
        </w:tc>
        <w:tc>
          <w:tcPr>
            <w:tcW w:w="1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vw_focos_por_pais_mes</w:t>
            </w:r>
          </w:p>
        </w:tc>
      </w:tr>
      <w:tr>
        <w:trPr/>
        <w:tc>
          <w:tcPr>
            <w:tcW w:w="6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K7</w:t>
            </w:r>
          </w:p>
        </w:tc>
        <w:tc>
          <w:tcPr>
            <w:tcW w:w="2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Cambios de cobertura por año</w:t>
            </w:r>
          </w:p>
        </w:tc>
        <w:tc>
          <w:tcPr>
            <w:tcW w:w="4388"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 celdas con cambio_interanual (P11)</w:t>
            </w:r>
          </w:p>
        </w:tc>
        <w:tc>
          <w:tcPr>
            <w:tcW w:w="1400"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vw_transicion_cobertura</w:t>
            </w:r>
          </w:p>
        </w:tc>
      </w:tr>
    </w:tbl>
    <w:p>
      <w:pPr>
        <w:pStyle w:val="Normal"/>
        <w:spacing w:lineRule="auto" w:line="360" w:before="0" w:after="120"/>
        <w:jc w:val="both"/>
        <w:rPr/>
      </w:pPr>
      <w:r>
        <w:rPr>
          <w:rFonts w:eastAsia="Arial" w:cs="Arial"/>
          <w:sz w:val="22"/>
          <w:szCs w:val="22"/>
        </w:rPr>
        <w:t>Interpretación de la Tabla C.12. La tabla cierra el ciclo pregunta → consulta → KPI: cada consulta P1–P11 desemboca en uno o más indicadores de los K1–K7, y cada KPI apunta a una vista analítica concreta de MySQL (vw_riesgo_por_pais_mes, vw_alertas_calidad_aire, vw_focos_por_pais_mes, vw_transicion_cobertura). Esta trazabilidad explícita garantiza que los indicadores del dashboard sean verificables en la base y auditables mediante EXPLAIN ANALYZE.</w:t>
      </w:r>
    </w:p>
    <w:p>
      <w:pPr>
        <w:pStyle w:val="Normal"/>
        <w:rPr/>
      </w:pPr>
      <w:r>
        <w:rPr/>
      </w:r>
      <w:r>
        <w:br w:type="page"/>
      </w:r>
    </w:p>
    <w:p>
      <w:pPr>
        <w:pStyle w:val="Heading1"/>
        <w:spacing w:lineRule="auto" w:line="360" w:before="0" w:after="240"/>
        <w:rPr/>
      </w:pPr>
      <w:r>
        <w:rPr>
          <w:rFonts w:eastAsia="Arial" w:cs="Arial" w:ascii="Arial" w:hAnsi="Arial"/>
          <w:b/>
          <w:bCs/>
          <w:color w:val="1F4E79"/>
          <w:sz w:val="28"/>
          <w:szCs w:val="28"/>
        </w:rPr>
        <w:t>Anexo F. Bosquejos del dashboard Streamlit</w:t>
      </w:r>
    </w:p>
    <w:p>
      <w:pPr>
        <w:pStyle w:val="Normal"/>
        <w:spacing w:lineRule="auto" w:line="360" w:before="0" w:after="120"/>
        <w:jc w:val="both"/>
        <w:rPr/>
      </w:pPr>
      <w:r>
        <w:rPr>
          <w:rFonts w:eastAsia="Arial" w:cs="Arial"/>
          <w:sz w:val="22"/>
          <w:szCs w:val="22"/>
        </w:rPr>
        <w:t>Este anexo documenta el diseño del dashboard interactivo previsto para la fase final del proyecto, implementado con Streamlit (Streamlit, s. f.-a, s. f.-b). El dashboard expone las consultas P1–P11 y los KPIs K1–K7 como visualizaciones accionables para los cinco perfiles de usuario descritos en la Sección 3.1.</w:t>
      </w:r>
    </w:p>
    <w:p>
      <w:pPr>
        <w:pStyle w:val="Heading2"/>
        <w:spacing w:lineRule="auto" w:line="360" w:before="320" w:after="160"/>
        <w:rPr/>
      </w:pPr>
      <w:r>
        <w:rPr>
          <w:rFonts w:eastAsia="Arial" w:cs="Arial" w:ascii="Arial" w:hAnsi="Arial"/>
          <w:b/>
          <w:bCs/>
          <w:color w:val="2E75B6"/>
          <w:sz w:val="26"/>
          <w:szCs w:val="26"/>
        </w:rPr>
        <w:t>F.1 Estructura de páginas</w:t>
      </w:r>
    </w:p>
    <w:tbl>
      <w:tblPr>
        <w:tblW w:w="8788" w:type="dxa"/>
        <w:jc w:val="start"/>
        <w:tblInd w:w="0" w:type="dxa"/>
        <w:tblLayout w:type="fixed"/>
        <w:tblCellMar>
          <w:top w:w="60" w:type="dxa"/>
          <w:start w:w="100" w:type="dxa"/>
          <w:bottom w:w="60" w:type="dxa"/>
          <w:end w:w="100" w:type="dxa"/>
        </w:tblCellMar>
      </w:tblPr>
      <w:tblGrid>
        <w:gridCol w:w="1841"/>
        <w:gridCol w:w="2559"/>
        <w:gridCol w:w="1523"/>
        <w:gridCol w:w="2865"/>
      </w:tblGrid>
      <w:tr>
        <w:trPr/>
        <w:tc>
          <w:tcPr>
            <w:tcW w:w="1841"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Página</w:t>
            </w:r>
          </w:p>
        </w:tc>
        <w:tc>
          <w:tcPr>
            <w:tcW w:w="2559"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Objetivo</w:t>
            </w:r>
          </w:p>
        </w:tc>
        <w:tc>
          <w:tcPr>
            <w:tcW w:w="1523"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Consultas base</w:t>
            </w:r>
          </w:p>
        </w:tc>
        <w:tc>
          <w:tcPr>
            <w:tcW w:w="2865" w:type="dxa"/>
            <w:tcBorders>
              <w:top w:val="single" w:sz="2" w:space="0" w:color="999999"/>
              <w:start w:val="single" w:sz="2" w:space="0" w:color="999999"/>
              <w:bottom w:val="single" w:sz="2" w:space="0" w:color="999999"/>
              <w:end w:val="single" w:sz="2" w:space="0" w:color="999999"/>
            </w:tcBorders>
            <w:shd w:fill="1F4E79" w:val="clear"/>
            <w:vAlign w:val="center"/>
          </w:tcPr>
          <w:p>
            <w:pPr>
              <w:pStyle w:val="Normal"/>
              <w:spacing w:lineRule="auto" w:line="360"/>
              <w:rPr/>
            </w:pPr>
            <w:r>
              <w:rPr>
                <w:rFonts w:eastAsia="Arial" w:cs="Arial"/>
                <w:b/>
                <w:bCs/>
                <w:color w:val="FFFFFF"/>
                <w:sz w:val="20"/>
                <w:szCs w:val="20"/>
              </w:rPr>
              <w:t>Visualización principal</w:t>
            </w:r>
          </w:p>
        </w:tc>
      </w:tr>
      <w:tr>
        <w:trPr/>
        <w:tc>
          <w:tcPr>
            <w:tcW w:w="184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1. Panorama regional</w:t>
            </w:r>
          </w:p>
        </w:tc>
        <w:tc>
          <w:tcPr>
            <w:tcW w:w="255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Vista ejecutiva de incendios y riesgo</w:t>
            </w:r>
          </w:p>
        </w:tc>
        <w:tc>
          <w:tcPr>
            <w:tcW w:w="1523"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P1, P3, P8</w:t>
            </w:r>
          </w:p>
        </w:tc>
        <w:tc>
          <w:tcPr>
            <w:tcW w:w="2865"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Mapa coroplético + línea de tiempo</w:t>
            </w:r>
          </w:p>
        </w:tc>
      </w:tr>
      <w:tr>
        <w:trPr/>
        <w:tc>
          <w:tcPr>
            <w:tcW w:w="184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2. Incendios</w:t>
            </w:r>
          </w:p>
        </w:tc>
        <w:tc>
          <w:tcPr>
            <w:tcW w:w="255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Análisis detallado de focos FIRMS</w:t>
            </w:r>
          </w:p>
        </w:tc>
        <w:tc>
          <w:tcPr>
            <w:tcW w:w="1523"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P1, P2, P9, P10</w:t>
            </w:r>
          </w:p>
        </w:tc>
        <w:tc>
          <w:tcPr>
            <w:tcW w:w="2865"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Mapa de calor + tabla top-N</w:t>
            </w:r>
          </w:p>
        </w:tc>
      </w:tr>
      <w:tr>
        <w:trPr/>
        <w:tc>
          <w:tcPr>
            <w:tcW w:w="184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3. Riesgo meteorológico</w:t>
            </w:r>
          </w:p>
        </w:tc>
        <w:tc>
          <w:tcPr>
            <w:tcW w:w="255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Índice de riesgo diario y estacional</w:t>
            </w:r>
          </w:p>
        </w:tc>
        <w:tc>
          <w:tcPr>
            <w:tcW w:w="1523"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P3, P4, P8</w:t>
            </w:r>
          </w:p>
        </w:tc>
        <w:tc>
          <w:tcPr>
            <w:tcW w:w="2865"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Heatmap país × mes</w:t>
            </w:r>
          </w:p>
        </w:tc>
      </w:tr>
      <w:tr>
        <w:trPr/>
        <w:tc>
          <w:tcPr>
            <w:tcW w:w="184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4. Calidad del aire</w:t>
            </w:r>
          </w:p>
        </w:tc>
        <w:tc>
          <w:tcPr>
            <w:tcW w:w="255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Sobrepasos OMS y alertas PM10</w:t>
            </w:r>
          </w:p>
        </w:tc>
        <w:tc>
          <w:tcPr>
            <w:tcW w:w="1523"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P6</w:t>
            </w:r>
          </w:p>
        </w:tc>
        <w:tc>
          <w:tcPr>
            <w:tcW w:w="2865"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Semáforo país + serie diaria</w:t>
            </w:r>
          </w:p>
        </w:tc>
      </w:tr>
      <w:tr>
        <w:trPr/>
        <w:tc>
          <w:tcPr>
            <w:tcW w:w="184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5. Precipitación y sequía</w:t>
            </w:r>
          </w:p>
        </w:tc>
        <w:tc>
          <w:tcPr>
            <w:tcW w:w="255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Anomalías y categorías de sequía</w:t>
            </w:r>
          </w:p>
        </w:tc>
        <w:tc>
          <w:tcPr>
            <w:tcW w:w="1523"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P7</w:t>
            </w:r>
          </w:p>
        </w:tc>
        <w:tc>
          <w:tcPr>
            <w:tcW w:w="2865"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Serie temporal + tarjetas KPI</w:t>
            </w:r>
          </w:p>
        </w:tc>
      </w:tr>
      <w:tr>
        <w:trPr/>
        <w:tc>
          <w:tcPr>
            <w:tcW w:w="184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6. Cobertura vegetal</w:t>
            </w:r>
          </w:p>
        </w:tc>
        <w:tc>
          <w:tcPr>
            <w:tcW w:w="255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Transiciones interanuales IGBP</w:t>
            </w:r>
          </w:p>
        </w:tc>
        <w:tc>
          <w:tcPr>
            <w:tcW w:w="1523"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P11</w:t>
            </w:r>
          </w:p>
        </w:tc>
        <w:tc>
          <w:tcPr>
            <w:tcW w:w="2865"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360"/>
              <w:rPr/>
            </w:pPr>
            <w:r>
              <w:rPr>
                <w:rFonts w:eastAsia="Arial" w:cs="Arial"/>
                <w:b w:val="false"/>
                <w:bCs w:val="false"/>
                <w:color w:val="000000"/>
                <w:sz w:val="20"/>
                <w:szCs w:val="20"/>
              </w:rPr>
              <w:t>Sankey IGBP t → t+1</w:t>
            </w:r>
          </w:p>
        </w:tc>
      </w:tr>
      <w:tr>
        <w:trPr/>
        <w:tc>
          <w:tcPr>
            <w:tcW w:w="1841"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7. Salud del pipeline</w:t>
            </w:r>
          </w:p>
        </w:tc>
        <w:tc>
          <w:tcPr>
            <w:tcW w:w="2559"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Observabilidad ETL + CDC</w:t>
            </w:r>
          </w:p>
        </w:tc>
        <w:tc>
          <w:tcPr>
            <w:tcW w:w="1523"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K1, K2, K3</w:t>
            </w:r>
          </w:p>
        </w:tc>
        <w:tc>
          <w:tcPr>
            <w:tcW w:w="2865" w:type="dxa"/>
            <w:tcBorders>
              <w:top w:val="single" w:sz="2" w:space="0" w:color="999999"/>
              <w:start w:val="single" w:sz="2" w:space="0" w:color="999999"/>
              <w:bottom w:val="single" w:sz="2" w:space="0" w:color="999999"/>
              <w:end w:val="single" w:sz="2" w:space="0" w:color="999999"/>
            </w:tcBorders>
            <w:shd w:fill="FFFFFF" w:val="clear"/>
            <w:vAlign w:val="center"/>
          </w:tcPr>
          <w:p>
            <w:pPr>
              <w:pStyle w:val="Normal"/>
              <w:spacing w:lineRule="auto" w:line="360"/>
              <w:rPr/>
            </w:pPr>
            <w:r>
              <w:rPr>
                <w:rFonts w:eastAsia="Arial" w:cs="Arial"/>
                <w:b w:val="false"/>
                <w:bCs w:val="false"/>
                <w:color w:val="000000"/>
                <w:sz w:val="20"/>
                <w:szCs w:val="20"/>
              </w:rPr>
              <w:t>Gauges + tabla de errores</w:t>
            </w:r>
          </w:p>
        </w:tc>
      </w:tr>
    </w:tbl>
    <w:p>
      <w:pPr>
        <w:pStyle w:val="Normal"/>
        <w:spacing w:lineRule="auto" w:line="360" w:before="0" w:after="120"/>
        <w:jc w:val="both"/>
        <w:rPr/>
      </w:pPr>
      <w:r>
        <w:rPr>
          <w:rFonts w:eastAsia="Arial" w:cs="Arial"/>
          <w:sz w:val="22"/>
          <w:szCs w:val="22"/>
        </w:rPr>
        <w:t>Interpretación de la Tabla C.1. La estructura de siete páginas cubre los cinco perfiles de usuario: los decisores usan principalmente las páginas 1 y 7, los analistas las páginas 2–6 y los administradores del sistema la página 7. Cada página consume consultas específicas del Data Warehouse y no realiza cálculos en memoria, preservando la auditabilidad de los resultados mostrados en el dashboard.</w:t>
      </w:r>
    </w:p>
    <w:p>
      <w:pPr>
        <w:pStyle w:val="Heading2"/>
        <w:spacing w:lineRule="auto" w:line="360" w:before="320" w:after="160"/>
        <w:rPr/>
      </w:pPr>
      <w:r>
        <w:rPr>
          <w:rFonts w:eastAsia="Arial" w:cs="Arial" w:ascii="Arial" w:hAnsi="Arial"/>
          <w:b/>
          <w:bCs/>
          <w:color w:val="2E75B6"/>
          <w:sz w:val="26"/>
          <w:szCs w:val="26"/>
        </w:rPr>
        <w:t>F.2 Patrón de componentes</w:t>
      </w:r>
    </w:p>
    <w:p>
      <w:pPr>
        <w:pStyle w:val="Normal"/>
        <w:spacing w:lineRule="auto" w:line="360" w:before="0" w:after="120"/>
        <w:jc w:val="both"/>
        <w:rPr/>
      </w:pPr>
      <w:r>
        <w:rPr>
          <w:rFonts w:eastAsia="Arial" w:cs="Arial"/>
          <w:sz w:val="22"/>
          <w:szCs w:val="22"/>
        </w:rPr>
        <w:t>Cada página sigue el mismo patrón de tres capas: (a) filtros globales en el sidebar (país, rango de fechas, resolución de grilla, confianza mínima), (b) tarjetas de KPI en la parte superior (st.metric), (c) visualización principal (plotly.express o pydeck) y tabla exportable (st.dataframe). El acceso a MySQL se realiza con SQLAlchemy + caché de Streamlit (st.cache_data) por defecto a TTL de 10 minutos, configurable por el administrador.</w:t>
      </w:r>
    </w:p>
    <w:p>
      <w:pPr>
        <w:pStyle w:val="Heading2"/>
        <w:spacing w:lineRule="auto" w:line="360" w:before="320" w:after="160"/>
        <w:rPr/>
      </w:pPr>
      <w:r>
        <w:rPr>
          <w:rFonts w:eastAsia="Arial" w:cs="Arial" w:ascii="Arial" w:hAnsi="Arial"/>
          <w:b/>
          <w:bCs/>
          <w:color w:val="2E75B6"/>
          <w:sz w:val="26"/>
          <w:szCs w:val="26"/>
        </w:rPr>
        <w:t>F.3 Correspondencia consulta-visualización</w:t>
      </w:r>
    </w:p>
    <w:p>
      <w:pPr>
        <w:pStyle w:val="Normal"/>
        <w:spacing w:lineRule="auto" w:line="360" w:before="0" w:after="120"/>
        <w:jc w:val="both"/>
        <w:rPr/>
      </w:pPr>
      <w:r>
        <w:rPr>
          <w:rFonts w:eastAsia="Arial" w:cs="Arial"/>
          <w:sz w:val="22"/>
          <w:szCs w:val="22"/>
        </w:rPr>
        <w:t>El dashboard no computa agregaciones en memoria: cada gráfico consume directamente la consulta SQL correspondiente, ejecutada contra MySQL vía SQLAlchemy. Esto garantiza que los valores mostrados sean siempre auditables mediante EXPLAIN ANALYZE y reproducibles fuera del dashboard por cualquier usuario con acceso a la base.</w:t>
      </w:r>
    </w:p>
    <w:p>
      <w:pPr>
        <w:pStyle w:val="Heading2"/>
        <w:spacing w:lineRule="auto" w:line="360" w:before="320" w:after="160"/>
        <w:rPr/>
      </w:pPr>
      <w:r>
        <w:rPr>
          <w:rFonts w:eastAsia="Arial" w:cs="Arial" w:ascii="Arial" w:hAnsi="Arial"/>
          <w:b/>
          <w:bCs/>
          <w:color w:val="2E75B6"/>
          <w:sz w:val="26"/>
          <w:szCs w:val="26"/>
        </w:rPr>
        <w:t>F.4 Accesibilidad y estilo</w:t>
      </w:r>
    </w:p>
    <w:p>
      <w:pPr>
        <w:pStyle w:val="Normal"/>
        <w:spacing w:lineRule="auto" w:line="360" w:before="0" w:after="120"/>
        <w:jc w:val="both"/>
        <w:rPr/>
      </w:pPr>
      <w:r>
        <w:rPr>
          <w:rFonts w:eastAsia="Arial" w:cs="Arial"/>
          <w:sz w:val="22"/>
          <w:szCs w:val="22"/>
        </w:rPr>
        <w:t>Se adopta paleta colorblind-safe (viridis y cividis) para mapas y series, contraste mínimo AA según WCAG 2.1, y etiquetas descriptivas en todos los elementos interactivos. El idioma por defecto es español rioplatense; los ejes y leyendas utilizan unidades SI y la zona horaria UTC−3 para coherencia con el territorio uruguayo.</w:t>
      </w:r>
    </w:p>
    <w:p>
      <w:pPr>
        <w:pStyle w:val="Normal"/>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701" w:right="1417" w:gutter="0" w:header="708" w:top="1701" w:footer="708"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8"/>
        <w:szCs w:val="18"/>
      </w:rPr>
      <w:t xml:space="preserve">Página </w:t>
    </w:r>
    <w:r>
      <w:rPr/>
      <w:fldChar w:fldCharType="begin"/>
    </w:r>
    <w:r>
      <w:rPr/>
      <w:instrText xml:space="preserve"> PAGE </w:instrText>
    </w:r>
    <w:r>
      <w:rPr/>
      <w:fldChar w:fldCharType="separate"/>
    </w:r>
    <w:r>
      <w:rPr/>
      <w:t>69</w:t>
    </w:r>
    <w:r>
      <w:rPr/>
      <w:fldChar w:fldCharType="end"/>
    </w:r>
    <w:r>
      <w:rPr>
        <w:rFonts w:eastAsia="Arial" w:cs="Arial"/>
        <w:color w:val="555555"/>
        <w:sz w:val="18"/>
        <w:szCs w:val="18"/>
      </w:rPr>
      <w:t xml:space="preserve"> de </w:t>
    </w:r>
    <w:r>
      <w:rPr/>
      <w:fldChar w:fldCharType="begin"/>
    </w:r>
    <w:r>
      <w:rPr/>
      <w:instrText xml:space="preserve"> NUMPAGES </w:instrText>
    </w:r>
    <w:r>
      <w:rPr/>
      <w:fldChar w:fldCharType="separate"/>
    </w:r>
    <w:r>
      <w:rPr/>
      <w:t>77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8"/>
        <w:szCs w:val="18"/>
      </w:rPr>
      <w:t xml:space="preserve">Página </w:t>
    </w:r>
    <w:r>
      <w:rPr/>
      <w:fldChar w:fldCharType="begin"/>
    </w:r>
    <w:r>
      <w:rPr/>
      <w:instrText xml:space="preserve"> PAGE </w:instrText>
    </w:r>
    <w:r>
      <w:rPr/>
      <w:fldChar w:fldCharType="separate"/>
    </w:r>
    <w:r>
      <w:rPr/>
      <w:t>69</w:t>
    </w:r>
    <w:r>
      <w:rPr/>
      <w:fldChar w:fldCharType="end"/>
    </w:r>
    <w:r>
      <w:rPr>
        <w:rFonts w:eastAsia="Arial" w:cs="Arial"/>
        <w:color w:val="555555"/>
        <w:sz w:val="18"/>
        <w:szCs w:val="18"/>
      </w:rPr>
      <w:t xml:space="preserve"> de </w:t>
    </w:r>
    <w:r>
      <w:rPr/>
      <w:fldChar w:fldCharType="begin"/>
    </w:r>
    <w:r>
      <w:rPr/>
      <w:instrText xml:space="preserve"> NUMPAGES </w:instrText>
    </w:r>
    <w:r>
      <w:rPr/>
      <w:fldChar w:fldCharType="separate"/>
    </w:r>
    <w:r>
      <w:rPr/>
      <w:t>77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UTEC ITR Norte — LIDIA — Proyecto EC1+EC2 (MySQL,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UTEC ITR Norte — LIDIA — Proyecto EC1+EC2 (MySQL, 2026)</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UTEC ITR Norte — LIDIA — Proyecto EC1+EC2 (MySQL, 2026)</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6"/>
        <w:szCs w:val="16"/>
      </w:rPr>
      <w:t>UTEC ITR Norte — LIDIA — Proyecto EC1+EC2 (MySQL, 2026)</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lineRule="auto" w:line="360" w:before="480" w:after="240"/>
      <w:outlineLvl w:val="0"/>
    </w:pPr>
    <w:rPr>
      <w:rFonts w:ascii="Arial" w:hAnsi="Arial" w:eastAsia="Arial" w:cs="Arial"/>
      <w:b/>
      <w:bCs/>
      <w:color w:val="1F4E79"/>
      <w:sz w:val="28"/>
      <w:szCs w:val="28"/>
    </w:rPr>
  </w:style>
  <w:style w:type="paragraph" w:styleId="Heading2">
    <w:name w:val="heading 2"/>
    <w:basedOn w:val="Heading"/>
    <w:qFormat/>
    <w:pPr>
      <w:spacing w:lineRule="auto" w:line="360" w:before="320" w:after="160"/>
      <w:outlineLvl w:val="1"/>
    </w:pPr>
    <w:rPr>
      <w:rFonts w:ascii="Arial" w:hAnsi="Arial" w:eastAsia="Arial" w:cs="Arial"/>
      <w:b/>
      <w:bCs/>
      <w:color w:val="2E75B6"/>
      <w:sz w:val="26"/>
      <w:szCs w:val="26"/>
    </w:rPr>
  </w:style>
  <w:style w:type="paragraph" w:styleId="Heading3">
    <w:name w:val="heading 3"/>
    <w:basedOn w:val="Heading"/>
    <w:qFormat/>
    <w:pPr>
      <w:spacing w:lineRule="auto" w:line="360" w:before="240" w:after="120"/>
      <w:outlineLvl w:val="2"/>
    </w:pPr>
    <w:rPr>
      <w:rFonts w:ascii="Arial" w:hAnsi="Arial" w:eastAsia="Arial" w:cs="Arial"/>
      <w:b/>
      <w:bCs/>
      <w:color w:val="404040"/>
      <w:sz w:val="24"/>
      <w:szCs w:val="24"/>
    </w:rPr>
  </w:style>
  <w:style w:type="paragraph" w:styleId="Heading4">
    <w:name w:val="heading 4"/>
    <w:basedOn w:val="Heading"/>
    <w:qFormat/>
    <w:pPr>
      <w:spacing w:lineRule="auto" w:line="360" w:before="200" w:after="100"/>
      <w:outlineLvl w:val="3"/>
    </w:pPr>
    <w:rPr>
      <w:rFonts w:ascii="Arial" w:hAnsi="Arial" w:eastAsia="Arial" w:cs="Arial"/>
      <w:b/>
      <w:bCs/>
      <w:i/>
      <w:iCs/>
      <w:color w:val="404040"/>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lineRule="auto" w:line="360"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2026-04-15T20:05:17Z</dcterms:created>
  <dc:creator>Equipo LIDIA — Quevedo, Ferreira, Vera</dc:creator>
  <dc:description>Documento unificado LIDIA 2025 con arquitectura MySQL + MongoDB.</dc:description>
  <dc:language>en-US</dc:language>
  <cp:lastModifiedBy>Un-named</cp:lastModifiedBy>
  <dcterms:modified xsi:type="dcterms:W3CDTF">2026-04-15T20:05:17Z</dcterms:modified>
  <cp:revision>1</cp:revision>
  <dc:subject/>
  <dc:title>Proyecto LIDIA 2026 — EC1 + EC2 (MySQL)</dc:title>
</cp:coreProperties>
</file>