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/>
      </w:pPr>
      <w:bookmarkStart w:colFirst="0" w:colLast="0" w:name="_41cp1j8ldjfo" w:id="0"/>
      <w:bookmarkEnd w:id="0"/>
      <w:r w:rsidDel="00000000" w:rsidR="00000000" w:rsidRPr="00000000">
        <w:rPr>
          <w:rtl w:val="0"/>
        </w:rPr>
        <w:t xml:space="preserve">Robôs de Barnabé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Barnabé é uma pessoa muito excêntrica e possui vários robôs que o ajudam nos seus afazeres. Apesar de ser extremamente organizado ele precisa de sua ajuda para poder saber se a quantidade total de robôs pode ser dividida igualmente entre os projetos. Sabemos que Barnabé tem pelo menos um robô.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entrada consiste de dois números inteiros, N1 e N2. O primeiro, N1, é a quantidade de projetos de Barnabé e o segundo, N2, é a quantidade de robôs disponíveis.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saída deve possuir a mensagem “Robos de prontidao!” para caso os projetos puderem ter a mesma quantidade de robôs e “Precisa de mais robos!” para caso contrário.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Muita atenção com a saída! Lembrem-se da não acentuação, das letras maiúsculas, do caractere especial (!), que há quebra de linha (\n) ao final do texto e que não há aspas como no enunciado do OUTPUT.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Robos de prontidao!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Precisa de mais robos!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Robos de prontidao!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