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w:body>
    <w:p>
      <w:pPr>
        <w:pStyle w:val="Title"/>
        <w:spacing w:after="60"/>
      </w:pPr>
      <w:r>
        <w:t xml:space="preserve">Echo Audit</w:t>
      </w:r>
    </w:p>
    <w:p>
      <w:pPr>
        <w:pStyle w:val="Subtitle"/>
        <w:spacing w:after="100"/>
      </w:pPr>
      <w:r>
        <w:t xml:space="preserve">A Methodology for Measuring Whether Civil Society Input Is Reflected in Multilateral AI Governance Outcomes</w:t>
      </w:r>
    </w:p>
    <w:p>
      <w:pPr>
        <w:spacing w:after="240"/>
      </w:pPr>
      <w:r>
        <w:rPr>
          <w:i/>
        </w:rPr>
        <w:t xml:space="preserve">Protocol v2  ·  supersedes v1  ·  Pilot application: the Global Dialogue on AI Governance, Geneva, 6–7 July 2026</w:t>
      </w:r>
    </w:p>
    <w:p>
      <w:pPr>
        <w:pBdr>
          <w:bottom w:val="single" w:sz="6" w:space="1" w:color="BFBFBF"/>
        </w:pBdr>
        <w:spacing w:after="220"/>
      </w:pPr>
    </w:p>
    <w:p>
      <w:pPr>
        <w:pStyle w:val="Heading1"/>
        <w:keepNext/>
        <w:spacing w:after="140"/>
      </w:pPr>
      <w:r>
        <w:t xml:space="preserve">Note on this version</w:t>
      </w:r>
    </w:p>
    <w:p>
      <w:pPr>
        <w:spacing w:after="140"/>
      </w:pPr>
      <w:r>
        <w:t xml:space="preserve">Version 1 of this document described a method that has since been built and run. It is now behind the analysis it was meant to document, and on one finding it contradicts it. Four things change.</w:t>
      </w:r>
    </w:p>
    <w:p>
      <w:pPr>
        <w:ind w:left="420" w:hanging="420"/>
        <w:spacing w:after="90"/>
      </w:pPr>
      <w:r>
        <w:rPr>
          <w:b/>
        </w:rPr>
        <w:t xml:space="preserve">1.  </w:t>
      </w:r>
      <w:r>
        <w:rPr>
          <w:b/>
        </w:rPr>
        <w:t xml:space="preserve">Phase 3 is implemented, not manual. </w:t>
      </w:r>
      <w:r>
        <w:t xml:space="preserve">v1 stated that the Echo mapping was a hand-curated exercise and that no automated shortcut had been built or validated. It has been. Phase 3 now freezes the topic model and uses it as a fixed measuring instrument.</w:t>
      </w:r>
    </w:p>
    <w:p>
      <w:pPr>
        <w:ind w:left="420" w:hanging="420"/>
        <w:spacing w:after="90"/>
      </w:pPr>
      <w:r>
        <w:rPr>
          <w:b/>
        </w:rPr>
        <w:t xml:space="preserve">2.  </w:t>
      </w:r>
      <w:r>
        <w:rPr>
          <w:b/>
        </w:rPr>
        <w:t xml:space="preserve">The outcome scale is replaced. </w:t>
      </w:r>
      <w:r>
        <w:t xml:space="preserve">Full echo / partial echo / silence asked only whether a theme appeared. It is replaced by amplified / diluted / engulfed / excluded, which asks what happened to it. On the pilot, the old scale placed four of six themes in a single bucket.</w:t>
      </w:r>
    </w:p>
    <w:p>
      <w:pPr>
        <w:ind w:left="420" w:hanging="420"/>
        <w:spacing w:after="90"/>
      </w:pPr>
      <w:r>
        <w:rPr>
          <w:b/>
        </w:rPr>
        <w:t xml:space="preserve">3.  </w:t>
      </w:r>
      <w:r>
        <w:rPr>
          <w:b/>
        </w:rPr>
        <w:t xml:space="preserve">The v1 environment finding is withdrawn. </w:t>
      </w:r>
      <w:r>
        <w:t xml:space="preserve">See section 6.6.</w:t>
      </w:r>
    </w:p>
    <w:p>
      <w:pPr>
        <w:ind w:left="420" w:hanging="420"/>
        <w:spacing w:after="90"/>
      </w:pPr>
      <w:r>
        <w:rPr>
          <w:b/>
        </w:rPr>
        <w:t xml:space="preserve">4.  </w:t>
      </w:r>
      <w:r>
        <w:rPr>
          <w:b/>
        </w:rPr>
        <w:t xml:space="preserve">The claim is narrowed to match the evidence. </w:t>
      </w:r>
      <w:r>
        <w:t xml:space="preserve">v1 was subtitled “whether civil society input shapes outcomes.” The method measures correspondence between two bodies of text, not causation. It cannot, on its own, establish that a theme appears on an agenda because civil society raised it.</w:t>
      </w:r>
    </w:p>
    <w:p>
      <w:pPr>
        <w:pStyle w:val="Heading1"/>
        <w:keepNext/>
        <w:spacing w:after="140"/>
      </w:pPr>
      <w:r>
        <w:t xml:space="preserve">1. Executive Summary</w:t>
      </w:r>
    </w:p>
    <w:p>
      <w:pPr>
        <w:spacing w:after="140"/>
      </w:pPr>
      <w:r>
        <w:t xml:space="preserve">Civil society organizations invest significant resources responding to multilateral consultations — writing position papers, coordinating coalitions, and proposing sessions for events such as the United Nations' Global Dialogue on AI Governance. What is rarely measured is whether that input is reflected in what the process produces, or whether it is recorded and set aside. Echo Audit is a three-phase methodology that makes this measurable. It identifies the recurring themes across a body of civil society input using computational grounded theory (Nelson 2020), freezes the resulting model, and then uses it as a fixed instrument to measure how much of that content is present in the documents the institution itself wrote.</w:t>
      </w:r>
    </w:p>
    <w:p>
      <w:pPr>
        <w:spacing w:after="140"/>
      </w:pPr>
      <w:r>
        <w:t xml:space="preserve">Applied to the inaugural Global Dialogue on AI Governance, the pilot analysed 379 English-language civil society written submissions, 55 concept notes proposing side events, and the seven session notes written by the UN secretariat for the official programme. A 20-topic model fitted on the submissions was held fixed and applied to the other two collections, so that all three sets of percentages are directly comparable.</w:t>
      </w:r>
    </w:p>
    <w:p>
      <w:pPr>
        <w:spacing w:after="140"/>
      </w:pPr>
      <w:r>
        <w:t xml:space="preserve">The result is a consistent ordering. The theme that asks for participation was enlarged at every stage — structural inclusion and capacity-building rises from 11.9% of civil society's writing to 25.8% of the official programme. The themes that ask for constraints on corporations, governments or AI developers were reduced, softened or absorbed: data rights and corporate power falls from 10.9% to 3.5%, legal accountability from 6.1% to 1.7%, and frontier AI risk from 4.2% to 1.0%, with the words </w:t>
      </w:r>
      <w:r>
        <w:rPr>
          <w:i/>
        </w:rPr>
        <w:t xml:space="preserve">ban</w:t>
      </w:r>
      <w:r>
        <w:t xml:space="preserve">, </w:t>
      </w:r>
      <w:r>
        <w:rPr>
          <w:i/>
        </w:rPr>
        <w:t xml:space="preserve">moratorium</w:t>
      </w:r>
      <w:r>
        <w:t xml:space="preserve"> and </w:t>
      </w:r>
      <w:r>
        <w:rPr>
          <w:i/>
        </w:rPr>
        <w:t xml:space="preserve">catastrophic</w:t>
      </w:r>
      <w:r>
        <w:t xml:space="preserve"> occurring in none of the seven official notes. The strongest filtering occurred not at the side events, which track the submissions reasonably well, but in the secretariat's own framing documents.</w:t>
      </w:r>
    </w:p>
    <w:p>
      <w:pPr>
        <w:pStyle w:val="Heading1"/>
        <w:keepNext/>
        <w:spacing w:after="140"/>
      </w:pPr>
      <w:r>
        <w:t xml:space="preserve">2. The Problem</w:t>
      </w:r>
    </w:p>
    <w:p>
      <w:pPr>
        <w:spacing w:after="140"/>
      </w:pPr>
      <w:r>
        <w:t xml:space="preserve">Multilateral consultations increasingly invite written input from civil society as a matter of procedural legitimacy. But an invitation to submit input is not the same as a mechanism for verifying that the input mattered. Existing accountability instruments — human rights impact assessments, algorithmic impact assessments — evaluate the downstream effects of a technology or policy once deployed. None of them asks the upstream question this protocol is built around: did the process that claims to have listened change its structure, agenda or output because of what it heard?</w:t>
      </w:r>
    </w:p>
    <w:p>
      <w:pPr>
        <w:spacing w:after="140"/>
      </w:pPr>
      <w:r>
        <w:t xml:space="preserve">Without an answer, multi-stakeholder participation risks becoming a procedural checkbox: civil society's input is collected, filed, and cited as evidence of inclusiveness, whether or not it shaped anything. Echo Audit gives civil society coalitions and researchers a repeatable way to test that claim against public evidence, rather than relying on an organizer's own account of how inclusive a process was.</w:t>
      </w:r>
    </w:p>
    <w:p>
      <w:pPr>
        <w:spacing w:after="140"/>
      </w:pPr>
      <w:r>
        <w:t xml:space="preserve">What the method does not do should be stated at the outset. It measures correspondence between two bodies of text. A theme can be present in an institution's documents because the institution was responsive, because states pushed it independently, or because it is simply how that institution writes. Separating those requires the Signal phase together with process tracing, and is not delivered by the measurement alone. </w:t>
      </w:r>
      <w:r>
        <w:rPr>
          <w:b/>
        </w:rPr>
        <w:t xml:space="preserve">The finding the method delivers cleanly is the negative one:</w:t>
      </w:r>
      <w:r>
        <w:t xml:space="preserve"> absence is not explained away by convergent framing or institutional house style. If a theme carries a tenth of civil society's writing and close to none of the institution's, that gap is real regardless of why the shared themes are shared.</w:t>
      </w:r>
    </w:p>
    <w:p>
      <w:pPr>
        <w:pStyle w:val="Heading1"/>
        <w:keepNext/>
        <w:spacing w:after="140"/>
      </w:pPr>
      <w:r>
        <w:t xml:space="preserve">3. The Echo Audit Framework</w:t>
      </w:r>
    </w:p>
    <w:p>
      <w:pPr>
        <w:spacing w:after="140"/>
      </w:pPr>
      <w:r>
        <w:t xml:space="preserve">The framework has three phases, named for an acoustic metaphor: a voice is raised (Signal), captured and analysed (Voice), and then checked for whether it comes back changed — or at all — in the room's response (Echo).</w:t>
      </w:r>
    </w:p>
    <w:tbl>
      <w:tblPr>
        <w:tblW w:w="9000" w:type="dxa"/>
        <w:tblBorders>
          <w:top w:val="single" w:sz="4" w:color="A6A6A6"/>
          <w:left w:val="none" w:sz="0" w:color="auto"/>
          <w:bottom w:val="single" w:sz="4" w:color="A6A6A6"/>
          <w:right w:val="none" w:sz="0" w:color="auto"/>
          <w:insideH w:val="single" w:sz="4" w:color="D9D9D9"/>
          <w:insideV w:val="none" w:sz="0" w:color="auto"/>
        </w:tblBorders>
        <w:tblCellMar>
          <w:top w:w="60" w:type="dxa"/>
          <w:bottom w:w="60" w:type="dxa"/>
          <w:left w:w="100" w:type="dxa"/>
          <w:right w:w="100" w:type="dxa"/>
        </w:tblCellMar>
      </w:tblPr>
      <w:tblGrid>
        <w:gridCol w:w="1100"/>
        <w:gridCol w:w="3200"/>
        <w:gridCol w:w="3000"/>
        <w:gridCol w:w="1700"/>
      </w:tblGrid>
      <w:tr>
        <w:trPr>
          <w:tblHeader/>
        </w:trPr>
        <w:tc>
          <w:tcPr>
            <w:tcW w:w="1100" w:type="dxa"/>
            <w:shd w:val="clear" w:color="auto" w:fill="F2F2F2"/>
          </w:tcPr>
          <w:p>
            <w:pPr>
              <w:spacing w:before="40" w:after="40"/>
              <w:rPr>
                <w:sz w:val="19"/>
              </w:rPr>
            </w:pPr>
            <w:r>
              <w:rPr>
                <w:b/>
                <w:sz w:val="19"/>
              </w:rPr>
              <w:t xml:space="preserve">Phase</w:t>
            </w:r>
          </w:p>
        </w:tc>
        <w:tc>
          <w:tcPr>
            <w:tcW w:w="3200" w:type="dxa"/>
            <w:shd w:val="clear" w:color="auto" w:fill="F2F2F2"/>
          </w:tcPr>
          <w:p>
            <w:pPr>
              <w:spacing w:before="40" w:after="40"/>
              <w:rPr>
                <w:sz w:val="19"/>
              </w:rPr>
            </w:pPr>
            <w:r>
              <w:rPr>
                <w:b/>
                <w:sz w:val="19"/>
              </w:rPr>
              <w:t xml:space="preserve">Question it answers</w:t>
            </w:r>
          </w:p>
        </w:tc>
        <w:tc>
          <w:tcPr>
            <w:tcW w:w="3000" w:type="dxa"/>
            <w:shd w:val="clear" w:color="auto" w:fill="F2F2F2"/>
          </w:tcPr>
          <w:p>
            <w:pPr>
              <w:spacing w:before="40" w:after="40"/>
              <w:rPr>
                <w:sz w:val="19"/>
              </w:rPr>
            </w:pPr>
            <w:r>
              <w:rPr>
                <w:b/>
                <w:sz w:val="19"/>
              </w:rPr>
              <w:t xml:space="preserve">Output</w:t>
            </w:r>
          </w:p>
        </w:tc>
        <w:tc>
          <w:tcPr>
            <w:tcW w:w="1700" w:type="dxa"/>
            <w:shd w:val="clear" w:color="auto" w:fill="F2F2F2"/>
          </w:tcPr>
          <w:p>
            <w:pPr>
              <w:spacing w:before="40" w:after="40"/>
              <w:rPr>
                <w:sz w:val="19"/>
              </w:rPr>
            </w:pPr>
            <w:r>
              <w:rPr>
                <w:b/>
                <w:sz w:val="19"/>
              </w:rPr>
              <w:t xml:space="preserve">Status</w:t>
            </w:r>
          </w:p>
        </w:tc>
      </w:tr>
      <w:tr>
        <w:tc>
          <w:tcPr>
            <w:tcW w:w="1100" w:type="dxa"/>
          </w:tcPr>
          <w:p>
            <w:pPr>
              <w:spacing w:before="40" w:after="40"/>
              <w:rPr>
                <w:sz w:val="19"/>
              </w:rPr>
            </w:pPr>
            <w:r>
              <w:rPr>
                <w:sz w:val="19"/>
              </w:rPr>
              <w:t xml:space="preserve">Signal</w:t>
            </w:r>
          </w:p>
        </w:tc>
        <w:tc>
          <w:tcPr>
            <w:tcW w:w="3200" w:type="dxa"/>
          </w:tcPr>
          <w:p>
            <w:pPr>
              <w:spacing w:before="40" w:after="40"/>
              <w:rPr>
                <w:sz w:val="19"/>
              </w:rPr>
            </w:pPr>
            <w:r>
              <w:rPr>
                <w:sz w:val="19"/>
              </w:rPr>
              <w:t xml:space="preserve">Who engaged, when, and through what channel, before the governance moment?</w:t>
            </w:r>
          </w:p>
        </w:tc>
        <w:tc>
          <w:tcPr>
            <w:tcW w:w="3000" w:type="dxa"/>
          </w:tcPr>
          <w:p>
            <w:pPr>
              <w:spacing w:before="40" w:after="40"/>
              <w:rPr>
                <w:sz w:val="19"/>
              </w:rPr>
            </w:pPr>
            <w:r>
              <w:rPr>
                <w:sz w:val="19"/>
              </w:rPr>
              <w:t xml:space="preserve">Participation checkpoint log</w:t>
            </w:r>
          </w:p>
        </w:tc>
        <w:tc>
          <w:tcPr>
            <w:tcW w:w="1700" w:type="dxa"/>
          </w:tcPr>
          <w:p>
            <w:pPr>
              <w:spacing w:before="40" w:after="40"/>
              <w:rPr>
                <w:sz w:val="19"/>
              </w:rPr>
            </w:pPr>
            <w:r>
              <w:rPr>
                <w:sz w:val="19"/>
              </w:rPr>
              <w:t xml:space="preserve">Ad hoc</w:t>
            </w:r>
          </w:p>
        </w:tc>
      </w:tr>
      <w:tr>
        <w:tc>
          <w:tcPr>
            <w:tcW w:w="1100" w:type="dxa"/>
          </w:tcPr>
          <w:p>
            <w:pPr>
              <w:spacing w:before="40" w:after="40"/>
              <w:rPr>
                <w:sz w:val="19"/>
              </w:rPr>
            </w:pPr>
            <w:r>
              <w:rPr>
                <w:sz w:val="19"/>
              </w:rPr>
              <w:t xml:space="preserve">Voice</w:t>
            </w:r>
          </w:p>
        </w:tc>
        <w:tc>
          <w:tcPr>
            <w:tcW w:w="3200" w:type="dxa"/>
          </w:tcPr>
          <w:p>
            <w:pPr>
              <w:spacing w:before="40" w:after="40"/>
              <w:rPr>
                <w:sz w:val="19"/>
              </w:rPr>
            </w:pPr>
            <w:r>
              <w:rPr>
                <w:sz w:val="19"/>
              </w:rPr>
              <w:t xml:space="preserve">What did participants actually say, independent of what happens to it?</w:t>
            </w:r>
          </w:p>
        </w:tc>
        <w:tc>
          <w:tcPr>
            <w:tcW w:w="3000" w:type="dxa"/>
          </w:tcPr>
          <w:p>
            <w:pPr>
              <w:spacing w:before="40" w:after="40"/>
              <w:rPr>
                <w:sz w:val="19"/>
              </w:rPr>
            </w:pPr>
            <w:r>
              <w:rPr>
                <w:sz w:val="19"/>
              </w:rPr>
              <w:t xml:space="preserve">Topic model, named themes, representative-document reading</w:t>
            </w:r>
          </w:p>
        </w:tc>
        <w:tc>
          <w:tcPr>
            <w:tcW w:w="1700" w:type="dxa"/>
          </w:tcPr>
          <w:p>
            <w:pPr>
              <w:spacing w:before="40" w:after="40"/>
              <w:rPr>
                <w:sz w:val="19"/>
              </w:rPr>
            </w:pPr>
            <w:r>
              <w:rPr>
                <w:sz w:val="19"/>
              </w:rPr>
              <w:t xml:space="preserve">R/voice.R</w:t>
            </w:r>
          </w:p>
        </w:tc>
      </w:tr>
      <w:tr>
        <w:tc>
          <w:tcPr>
            <w:tcW w:w="1100" w:type="dxa"/>
          </w:tcPr>
          <w:p>
            <w:pPr>
              <w:spacing w:before="40" w:after="40"/>
              <w:rPr>
                <w:sz w:val="19"/>
              </w:rPr>
            </w:pPr>
            <w:r>
              <w:rPr>
                <w:sz w:val="19"/>
              </w:rPr>
              <w:t xml:space="preserve">Echo</w:t>
            </w:r>
          </w:p>
        </w:tc>
        <w:tc>
          <w:tcPr>
            <w:tcW w:w="3200" w:type="dxa"/>
          </w:tcPr>
          <w:p>
            <w:pPr>
              <w:spacing w:before="40" w:after="40"/>
              <w:rPr>
                <w:sz w:val="19"/>
              </w:rPr>
            </w:pPr>
            <w:r>
              <w:rPr>
                <w:sz w:val="19"/>
              </w:rPr>
              <w:t xml:space="preserve">How much of that content is present in what the institution produced?</w:t>
            </w:r>
          </w:p>
        </w:tc>
        <w:tc>
          <w:tcPr>
            <w:tcW w:w="3000" w:type="dxa"/>
          </w:tcPr>
          <w:p>
            <w:pPr>
              <w:spacing w:before="40" w:after="40"/>
              <w:rPr>
                <w:sz w:val="19"/>
              </w:rPr>
            </w:pPr>
            <w:r>
              <w:rPr>
                <w:sz w:val="19"/>
              </w:rPr>
              <w:t xml:space="preserve">Per-theme share in each collection, plus an outcome classification</w:t>
            </w:r>
          </w:p>
        </w:tc>
        <w:tc>
          <w:tcPr>
            <w:tcW w:w="1700" w:type="dxa"/>
          </w:tcPr>
          <w:p>
            <w:pPr>
              <w:spacing w:before="40" w:after="40"/>
              <w:rPr>
                <w:sz w:val="19"/>
              </w:rPr>
            </w:pPr>
            <w:r>
              <w:rPr>
                <w:sz w:val="19"/>
              </w:rPr>
              <w:t xml:space="preserve">Implemented</w:t>
            </w:r>
          </w:p>
        </w:tc>
      </w:tr>
    </w:tbl>
    <w:p>
      <w:pPr>
        <w:spacing w:after="120"/>
      </w:pPr>
      <w:r>
        <w:t xml:space="preserve"/>
      </w:r>
    </w:p>
    <w:p>
      <w:pPr>
        <w:spacing w:after="140"/>
      </w:pPr>
      <w:r>
        <w:t xml:space="preserve">Each phase can be run independently — Voice is a legitimate corpus analysis in its own right — but the protocol's distinct contribution is chaining them: Voice establishes what was said; Echo establishes what became of it.</w:t>
      </w:r>
    </w:p>
    <w:p>
      <w:pPr>
        <w:spacing w:after="140"/>
      </w:pPr>
      <w:r>
        <w:t xml:space="preserve">The overall design is grounded theory used to </w:t>
      </w:r>
      <w:r>
        <w:rPr>
          <w:i/>
        </w:rPr>
        <w:t xml:space="preserve">build</w:t>
      </w:r>
      <w:r>
        <w:t xml:space="preserve"> the instrument, followed by measurement with that instrument </w:t>
      </w:r>
      <w:r>
        <w:rPr>
          <w:i/>
        </w:rPr>
        <w:t xml:space="preserve">held fixed</w:t>
      </w:r>
      <w:r>
        <w:t xml:space="preserve">. Nothing is allowed to emerge from the institutional documents: civil society's categories are imposed on them deliberately, because the question is precisely whether the institution's agenda accommodates those categories.</w:t>
      </w:r>
    </w:p>
    <w:p>
      <w:pPr>
        <w:spacing w:after="140"/>
      </w:pPr>
      <w:r>
        <w:t xml:space="preserve">The Voice phase builds directly on Nelson, L.K. (2020), “Computational Grounded Theory: A Methodological Framework,” Sociological Methods &amp; Research 49(1):3–42, which formalizes a three-step process of pattern detection, refinement through guided reading, and confirmation. Signal and Echo are original extensions built to answer the accountability question Nelson's framework does not address on its own.</w:t>
      </w:r>
    </w:p>
    <w:p>
      <w:pPr>
        <w:pStyle w:val="Heading1"/>
        <w:keepNext/>
        <w:spacing w:after="140"/>
      </w:pPr>
      <w:r>
        <w:t xml:space="preserve">4. Methodology in Detail</w:t>
      </w:r>
    </w:p>
    <w:p>
      <w:pPr>
        <w:pStyle w:val="Heading2"/>
        <w:keepNext/>
        <w:spacing w:after="110"/>
      </w:pPr>
      <w:r>
        <w:t xml:space="preserve">4.1  Phase 1: Signal</w:t>
      </w:r>
    </w:p>
    <w:p>
      <w:pPr>
        <w:spacing w:after="140"/>
      </w:pPr>
      <w:r>
        <w:t xml:space="preserve">Track participation in the run-up to the governance moment. Minimum fields per checkpoint: who (organization or individual), when, channel (written submission, event registration, session proposal, attendance), and whether the channel required prior resourcing — travel, translation, technical capacity — that could itself bias who is able to participate at all.</w:t>
      </w:r>
    </w:p>
    <w:p>
      <w:pPr>
        <w:spacing w:after="140"/>
      </w:pPr>
      <w:r>
        <w:t xml:space="preserve">Signal is what would license a causal reading of Echo, and it is the phase still carried out by hand. Treat its absence as a limit on interpretation, not as a formatting gap.</w:t>
      </w:r>
    </w:p>
    <w:p>
      <w:pPr>
        <w:pStyle w:val="Heading2"/>
        <w:keepNext/>
        <w:spacing w:after="110"/>
      </w:pPr>
      <w:r>
        <w:t xml:space="preserve">4.2  Phase 2: Voice</w:t>
      </w:r>
    </w:p>
    <w:p>
      <w:pPr>
        <w:spacing w:after="140"/>
      </w:pPr>
      <w:r>
        <w:rPr>
          <w:b/>
        </w:rPr>
        <w:t xml:space="preserve">Step 2.0 — Corpus assembly. </w:t>
      </w:r>
      <w:r>
        <w:t xml:space="preserve">One document equals one participant's full input. Where the source data has multiple sub-questions per respondent, concatenate them into a single text field. Retain whatever metadata exists as columns alongside the text. Check that each metadata column actually varies before planning to use it: in the pilot, stakeholder category read “Civil Society” for every row and was useless, while region was well populated and usable.</w:t>
      </w:r>
    </w:p>
    <w:p>
      <w:pPr>
        <w:spacing w:after="140"/>
      </w:pPr>
      <w:r>
        <w:rPr>
          <w:b/>
        </w:rPr>
        <w:t xml:space="preserve">Step 2.1 — Language filtering. </w:t>
      </w:r>
      <w:r>
        <w:t xml:space="preserve">Detect language per document and restrict lexical and topic-modeling steps to the majority language, setting the remainder aside for separate manual reading. Mixing languages without filtering produces topics that reduce to “this document is in language X” rather than a substantive theme — an outcome the pilot encountered directly. Record the count of documents set aside and reconcile it against the corpus total; this reconciliation failed in the pilot, and is item 1 of section 7.</w:t>
      </w:r>
    </w:p>
    <w:p>
      <w:pPr>
        <w:spacing w:after="140"/>
      </w:pPr>
      <w:r>
        <w:rPr>
          <w:b/>
        </w:rPr>
        <w:t xml:space="preserve">Step 2.2 — Near-duplicate detection. </w:t>
      </w:r>
      <w:r>
        <w:t xml:space="preserve">Cosine similarity on a bag-of-words document-feature matrix, threshold 0.85, applied before any lexical or topic analysis. Duplicate or near-duplicate submissions — coordinated campaigns, or a single joint-signatory letter filed under multiple organization names — inflate a theme's apparent prevalence and can masquerade as independent convergence. The decision to remove, downweight, or analyse the cluster as its own category must be made explicitly, documented, and then tested to confirm it carries no finding.</w:t>
      </w:r>
    </w:p>
    <w:p>
      <w:pPr>
        <w:spacing w:after="140"/>
      </w:pPr>
      <w:r>
        <w:t xml:space="preserve">This is not a hypothetical risk: the pilot corpora contained a “Stop AI” campaign-style petition cluster and a Future of Life Institute joint-signatory submission cross-filed under four different organization names, which would have inflated one theme's measured prevalence roughly fourfold if not caught at this step.</w:t>
      </w:r>
    </w:p>
    <w:p>
      <w:pPr>
        <w:spacing w:after="140"/>
      </w:pPr>
      <w:r>
        <w:rPr>
          <w:b/>
        </w:rPr>
        <w:t xml:space="preserve">Step 2.3 — Lexical selection. </w:t>
      </w:r>
      <w:r>
        <w:t xml:space="preserve">The Monroe, Colaresi &amp; Quinn (2008) difference-of-proportions score between two substantively meaningful subgroups. This step requires a reliably populated two-group split; where none exists, skip it and report that as a finding rather than forcing a noisy proxy. In the pilot it was correctly skipped for the 55 concept notes, which had no dependable split. It should not have been skipped for the submissions, where the region field supports a Global South versus Western Europe and Other States contrast directly relevant to the research question.</w:t>
      </w:r>
    </w:p>
    <w:p>
      <w:pPr>
        <w:spacing w:after="140"/>
      </w:pPr>
      <w:r>
        <w:rPr>
          <w:b/>
        </w:rPr>
        <w:t xml:space="preserve">Step 2.4 — Structural topic model and choice of K. </w:t>
      </w:r>
      <w:r>
        <w:t xml:space="preserve">Fit a structural topic model across candidate topic counts scaled to corpus size rather than fixed. Guidance from the two pilot corpora: aim for roughly 6–20 documents per topic. Below approximately five documents per topic, a higher K collapses topics into generic frame-word repetition; this was confirmed by forcing K = 20 onto the 55-document concept-note corpus, which produced twenty topics nearly all reducible to “govern, global, session, will” with no substantive differentiator.</w:t>
      </w:r>
    </w:p>
    <w:p>
      <w:pPr>
        <w:spacing w:after="140"/>
      </w:pPr>
      <w:r>
        <w:t xml:space="preserve">Choose K by reading each candidate model's output against Nelson's two failure signs. Too few topics, and distinct issues merge into one with no differentiator beyond corpus-wide frame words. Too many, and one issue splits across near-duplicate topics whose highest-probability word lists are nearly identical.</w:t>
      </w:r>
    </w:p>
    <w:p>
      <w:pPr>
        <w:spacing w:after="140"/>
      </w:pPr>
      <w:r>
        <w:rPr>
          <w:b/>
        </w:rPr>
        <w:t xml:space="preserve">Then corroborate the reading with held-out likelihood, and report both. </w:t>
      </w:r>
      <w:r>
        <w:t xml:space="preserve">The qualitative judgment stays primary — picking the K that maximizes a coherence score without reading the topics is a known failure mode, not a shortcut — but agreement between the reading and the measurement is worth considerably more than either alone, and disagreement is itself information. In the pilot the two agreed on twenty.</w:t>
      </w:r>
    </w:p>
    <w:p>
      <w:pPr>
        <w:spacing w:after="140"/>
      </w:pPr>
      <w:r>
        <w:rPr>
          <w:b/>
        </w:rPr>
        <w:t xml:space="preserve">Step 2.5 — Guided deep reading. </w:t>
      </w:r>
      <w:r>
        <w:t xml:space="preserve">For each retained topic, surface its highest-weight representative documents and read them in full. This is the step where a ranked list of words becomes an actual argument someone is making, and where the theme acquires its name. A document weight close to 1.0 indicates a clean, nearly monothematic example; a weight in the 0.3–0.5 range indicates a blended, more ambiguous case. If even the highest-weight documents for a topic read as incoherent, that is a signal to revisit K. Topics that prove to be artifacts of the collection instrument — checkbox fragments, form boilerplate — are identified here, excluded, and their combined share reported.</w:t>
      </w:r>
    </w:p>
    <w:p>
      <w:pPr>
        <w:spacing w:after="140"/>
      </w:pPr>
      <w:r>
        <w:rPr>
          <w:b/>
        </w:rPr>
        <w:t xml:space="preserve">Step 2.6 — Pattern confirmation. </w:t>
      </w:r>
      <w:r>
        <w:t xml:space="preserve">Once the preceding steps suggest a genuine pattern, test it deductively across the entire corpus rather than only the documents read closely: how large each theme really is, which themes occur together, and whether an apparent pattern is carried by a few vivid submissions or by many. Grouping by topic weight is often more informative than grouping by raw metadata once a specific hypothesis is in hand.</w:t>
      </w:r>
    </w:p>
    <w:p>
      <w:pPr>
        <w:pStyle w:val="Heading2"/>
        <w:keepNext/>
        <w:spacing w:after="110"/>
      </w:pPr>
      <w:r>
        <w:t xml:space="preserve">4.3  Phase 3: Echo</w:t>
      </w:r>
    </w:p>
    <w:p>
      <w:pPr>
        <w:spacing w:after="140"/>
      </w:pPr>
      <w:r>
        <w:t xml:space="preserve">Freeze the model. Align each institutional collection to the fitted vocabulary and score every document for how much of its content corresponds to each civil society theme, using identical text preprocessing throughout. Because a single instrument measures all three collections, their percentages can be compared directly.</w:t>
      </w:r>
    </w:p>
    <w:p>
      <w:pPr>
        <w:spacing w:after="140"/>
      </w:pPr>
      <w:r>
        <w:t xml:space="preserve">Two diagnostics accompany every projection. Report the share of the new documents' vocabulary the instrument recognizes — in the pilot, 86% of the proposals' words and 98% of the official notes' words. And fit a separate, independent model to the institutional collection to confirm it contains no major theme the instrument would miss; in the pilot, none was found.</w:t>
      </w:r>
    </w:p>
    <w:p>
      <w:pPr>
        <w:spacing w:after="140"/>
      </w:pPr>
      <w:r>
        <w:rPr>
          <w:b/>
        </w:rPr>
        <w:t xml:space="preserve">Reading the numbers. </w:t>
      </w:r>
      <w:r>
        <w:t xml:space="preserve">The model assigns every document a share for each topic, and the shares sum to 100%. A theme's percentage is the average share of content devoted to it across a collection. So 11.9% means the theme accounts for 11.9% of everything civil society wrote, not that 11.9% of organizations mentioned it. A document is said to engage substantially with a theme when the theme accounts for more than 15% of that document's content — three times the 5% uniform share at K = 20. Report sensitivity at 10% and 20%.</w:t>
      </w:r>
    </w:p>
    <w:p>
      <w:pPr>
        <w:spacing w:after="140"/>
      </w:pPr>
      <w:r>
        <w:t xml:space="preserve">A share that shrinks does not say how a theme was lost. Classify each theme on the mechanism, using the measured shares together with the close reading:</w:t>
      </w:r>
    </w:p>
    <w:tbl>
      <w:tblPr>
        <w:tblW w:w="9000" w:type="dxa"/>
        <w:tblBorders>
          <w:top w:val="single" w:sz="4" w:color="A6A6A6"/>
          <w:left w:val="none" w:sz="0" w:color="auto"/>
          <w:bottom w:val="single" w:sz="4" w:color="A6A6A6"/>
          <w:right w:val="none" w:sz="0" w:color="auto"/>
          <w:insideH w:val="single" w:sz="4" w:color="D9D9D9"/>
          <w:insideV w:val="none" w:sz="0" w:color="auto"/>
        </w:tblBorders>
        <w:tblCellMar>
          <w:top w:w="60" w:type="dxa"/>
          <w:bottom w:w="60" w:type="dxa"/>
          <w:left w:w="100" w:type="dxa"/>
          <w:right w:w="100" w:type="dxa"/>
        </w:tblCellMar>
      </w:tblPr>
      <w:tblGrid>
        <w:gridCol w:w="1400"/>
        <w:gridCol w:w="3200"/>
        <w:gridCol w:w="4400"/>
      </w:tblGrid>
      <w:tr>
        <w:trPr>
          <w:tblHeader/>
        </w:trPr>
        <w:tc>
          <w:tcPr>
            <w:tcW w:w="1400" w:type="dxa"/>
            <w:shd w:val="clear" w:color="auto" w:fill="F2F2F2"/>
          </w:tcPr>
          <w:p>
            <w:pPr>
              <w:spacing w:before="40" w:after="40"/>
              <w:rPr>
                <w:sz w:val="19"/>
              </w:rPr>
            </w:pPr>
            <w:r>
              <w:rPr>
                <w:b/>
                <w:sz w:val="19"/>
              </w:rPr>
              <w:t xml:space="preserve">Outcome</w:t>
            </w:r>
          </w:p>
        </w:tc>
        <w:tc>
          <w:tcPr>
            <w:tcW w:w="3200" w:type="dxa"/>
            <w:shd w:val="clear" w:color="auto" w:fill="F2F2F2"/>
          </w:tcPr>
          <w:p>
            <w:pPr>
              <w:spacing w:before="40" w:after="40"/>
              <w:rPr>
                <w:sz w:val="19"/>
              </w:rPr>
            </w:pPr>
            <w:r>
              <w:rPr>
                <w:b/>
                <w:sz w:val="19"/>
              </w:rPr>
              <w:t xml:space="preserve">Definition</w:t>
            </w:r>
          </w:p>
        </w:tc>
        <w:tc>
          <w:tcPr>
            <w:tcW w:w="4400" w:type="dxa"/>
            <w:shd w:val="clear" w:color="auto" w:fill="F2F2F2"/>
          </w:tcPr>
          <w:p>
            <w:pPr>
              <w:spacing w:before="40" w:after="40"/>
              <w:rPr>
                <w:sz w:val="19"/>
              </w:rPr>
            </w:pPr>
            <w:r>
              <w:rPr>
                <w:b/>
                <w:sz w:val="19"/>
              </w:rPr>
              <w:t xml:space="preserve">Evidence required</w:t>
            </w:r>
          </w:p>
        </w:tc>
      </w:tr>
      <w:tr>
        <w:tc>
          <w:tcPr>
            <w:tcW w:w="1400" w:type="dxa"/>
          </w:tcPr>
          <w:p>
            <w:pPr>
              <w:spacing w:before="40" w:after="40"/>
              <w:rPr>
                <w:sz w:val="19"/>
              </w:rPr>
            </w:pPr>
            <w:r>
              <w:rPr>
                <w:sz w:val="19"/>
              </w:rPr>
              <w:t xml:space="preserve">Amplified</w:t>
            </w:r>
          </w:p>
        </w:tc>
        <w:tc>
          <w:tcPr>
            <w:tcW w:w="3200" w:type="dxa"/>
          </w:tcPr>
          <w:p>
            <w:pPr>
              <w:spacing w:before="40" w:after="40"/>
              <w:rPr>
                <w:sz w:val="19"/>
              </w:rPr>
            </w:pPr>
            <w:r>
              <w:rPr>
                <w:sz w:val="19"/>
              </w:rPr>
              <w:t xml:space="preserve">Larger share of the institutional collection than of civil society's.</w:t>
            </w:r>
          </w:p>
        </w:tc>
        <w:tc>
          <w:tcPr>
            <w:tcW w:w="4400" w:type="dxa"/>
          </w:tcPr>
          <w:p>
            <w:pPr>
              <w:spacing w:before="40" w:after="40"/>
              <w:rPr>
                <w:sz w:val="19"/>
              </w:rPr>
            </w:pPr>
            <w:r>
              <w:rPr>
                <w:sz w:val="19"/>
              </w:rPr>
              <w:t xml:space="preserve">Share ratio above 1, plus a reading of whether the framing survived the enlargement.</w:t>
            </w:r>
          </w:p>
        </w:tc>
      </w:tr>
      <w:tr>
        <w:tc>
          <w:tcPr>
            <w:tcW w:w="1400" w:type="dxa"/>
          </w:tcPr>
          <w:p>
            <w:pPr>
              <w:spacing w:before="40" w:after="40"/>
              <w:rPr>
                <w:sz w:val="19"/>
              </w:rPr>
            </w:pPr>
            <w:r>
              <w:rPr>
                <w:sz w:val="19"/>
              </w:rPr>
              <w:t xml:space="preserve">Diluted</w:t>
            </w:r>
          </w:p>
        </w:tc>
        <w:tc>
          <w:tcPr>
            <w:tcW w:w="3200" w:type="dxa"/>
          </w:tcPr>
          <w:p>
            <w:pPr>
              <w:spacing w:before="40" w:after="40"/>
              <w:rPr>
                <w:sz w:val="19"/>
              </w:rPr>
            </w:pPr>
            <w:r>
              <w:rPr>
                <w:sz w:val="19"/>
              </w:rPr>
              <w:t xml:space="preserve">Keeps its place, but its demands are softened.</w:t>
            </w:r>
          </w:p>
        </w:tc>
        <w:tc>
          <w:tcPr>
            <w:tcW w:w="4400" w:type="dxa"/>
          </w:tcPr>
          <w:p>
            <w:pPr>
              <w:spacing w:before="40" w:after="40"/>
              <w:rPr>
                <w:sz w:val="19"/>
              </w:rPr>
            </w:pPr>
            <w:r>
              <w:rPr>
                <w:sz w:val="19"/>
              </w:rPr>
              <w:t xml:space="preserve">The subject is named; the specific instrument asked for is replaced by a weaker one.</w:t>
            </w:r>
          </w:p>
        </w:tc>
      </w:tr>
      <w:tr>
        <w:tc>
          <w:tcPr>
            <w:tcW w:w="1400" w:type="dxa"/>
          </w:tcPr>
          <w:p>
            <w:pPr>
              <w:spacing w:before="40" w:after="40"/>
              <w:rPr>
                <w:sz w:val="19"/>
              </w:rPr>
            </w:pPr>
            <w:r>
              <w:rPr>
                <w:sz w:val="19"/>
              </w:rPr>
              <w:t xml:space="preserve">Engulfed</w:t>
            </w:r>
          </w:p>
        </w:tc>
        <w:tc>
          <w:tcPr>
            <w:tcW w:w="3200" w:type="dxa"/>
          </w:tcPr>
          <w:p>
            <w:pPr>
              <w:spacing w:before="40" w:after="40"/>
              <w:rPr>
                <w:sz w:val="19"/>
              </w:rPr>
            </w:pPr>
            <w:r>
              <w:rPr>
                <w:sz w:val="19"/>
              </w:rPr>
              <w:t xml:space="preserve">Absorbed into a larger agenda that changes what it is about.</w:t>
            </w:r>
          </w:p>
        </w:tc>
        <w:tc>
          <w:tcPr>
            <w:tcW w:w="4400" w:type="dxa"/>
          </w:tcPr>
          <w:p>
            <w:pPr>
              <w:spacing w:before="40" w:after="40"/>
              <w:rPr>
                <w:sz w:val="19"/>
              </w:rPr>
            </w:pPr>
            <w:r>
              <w:rPr>
                <w:sz w:val="19"/>
              </w:rPr>
              <w:t xml:space="preserve">The theme's vocabulary appears only in service of a different question.</w:t>
            </w:r>
          </w:p>
        </w:tc>
      </w:tr>
      <w:tr>
        <w:tc>
          <w:tcPr>
            <w:tcW w:w="1400" w:type="dxa"/>
          </w:tcPr>
          <w:p>
            <w:pPr>
              <w:spacing w:before="40" w:after="40"/>
              <w:rPr>
                <w:sz w:val="19"/>
              </w:rPr>
            </w:pPr>
            <w:r>
              <w:rPr>
                <w:sz w:val="19"/>
              </w:rPr>
              <w:t xml:space="preserve">Excluded</w:t>
            </w:r>
          </w:p>
        </w:tc>
        <w:tc>
          <w:tcPr>
            <w:tcW w:w="3200" w:type="dxa"/>
          </w:tcPr>
          <w:p>
            <w:pPr>
              <w:spacing w:before="40" w:after="40"/>
              <w:rPr>
                <w:sz w:val="19"/>
              </w:rPr>
            </w:pPr>
            <w:r>
              <w:rPr>
                <w:sz w:val="19"/>
              </w:rPr>
              <w:t xml:space="preserve">No meaningful presence.</w:t>
            </w:r>
          </w:p>
        </w:tc>
        <w:tc>
          <w:tcPr>
            <w:tcW w:w="4400" w:type="dxa"/>
          </w:tcPr>
          <w:p>
            <w:pPr>
              <w:spacing w:before="40" w:after="40"/>
              <w:rPr>
                <w:sz w:val="19"/>
              </w:rPr>
            </w:pPr>
            <w:r>
              <w:rPr>
                <w:sz w:val="19"/>
              </w:rPr>
              <w:t xml:space="preserve">Near-zero share and a lexical check: the theme's defining terms do not occur.</w:t>
            </w:r>
          </w:p>
        </w:tc>
      </w:tr>
    </w:tbl>
    <w:p>
      <w:pPr>
        <w:spacing w:after="200"/>
      </w:pPr>
      <w:r>
        <w:rPr>
          <w:i/>
        </w:rPr>
        <w:t xml:space="preserve">For exclusion claims the lexical check carries more weight than the share: with a handful of short institutional documents a 0.0% projection is weakly powered, whereas a defining term that appears nowhere is direct evidence.</w:t>
      </w:r>
    </w:p>
    <w:p>
      <w:pPr>
        <w:spacing w:after="140"/>
      </w:pPr>
      <w:r>
        <w:t xml:space="preserve">An outcome classification is an interpretive act and must be recorded as one: written decision rules, applied by a second reader, with the agreement between the two reported.</w:t>
      </w:r>
    </w:p>
    <w:p>
      <w:pPr>
        <w:pStyle w:val="Heading1"/>
        <w:keepNext/>
        <w:spacing w:after="140"/>
      </w:pPr>
      <w:r>
        <w:t xml:space="preserve">5. Robustness Protocol</w:t>
      </w:r>
    </w:p>
    <w:p>
      <w:pPr>
        <w:spacing w:after="140"/>
      </w:pPr>
      <w:r>
        <w:t xml:space="preserve">Five checks. The first four were run on the pilot; the fifth was not, and is the one a reviewer will ask for first.</w:t>
      </w:r>
    </w:p>
    <w:p>
      <w:pPr>
        <w:ind w:left="420" w:hanging="420"/>
        <w:spacing w:after="90"/>
      </w:pPr>
      <w:r>
        <w:rPr>
          <w:b/>
        </w:rPr>
        <w:t xml:space="preserve">1.  </w:t>
      </w:r>
      <w:r>
        <w:rPr>
          <w:b/>
        </w:rPr>
        <w:t xml:space="preserve">Held-out likelihood across K. </w:t>
      </w:r>
      <w:r>
        <w:t xml:space="preserve">Hold back a tenth of the text and score each candidate model on how well it predicts the text it never saw. Report the curve alongside the reading-based choice.</w:t>
      </w:r>
    </w:p>
    <w:p>
      <w:pPr>
        <w:ind w:left="420" w:hanging="420"/>
        <w:spacing w:after="90"/>
      </w:pPr>
      <w:r>
        <w:rPr>
          <w:b/>
        </w:rPr>
        <w:t xml:space="preserve">2.  </w:t>
      </w:r>
      <w:r>
        <w:rPr>
          <w:b/>
        </w:rPr>
        <w:t xml:space="preserve">Re-run the full comparison at neighbouring K. </w:t>
      </w:r>
      <w:r>
        <w:t xml:space="preserve">Locate each theme's counterpart in the alternative models by vocabulary similarity. A finding that does not survive is reported as not surviving.</w:t>
      </w:r>
    </w:p>
    <w:p>
      <w:pPr>
        <w:ind w:left="420" w:hanging="420"/>
        <w:spacing w:after="90"/>
      </w:pPr>
      <w:r>
        <w:rPr>
          <w:b/>
        </w:rPr>
        <w:t xml:space="preserve">3.  </w:t>
      </w:r>
      <w:r>
        <w:rPr>
          <w:b/>
        </w:rPr>
        <w:t xml:space="preserve">Remove the near-duplicate cluster and refit. </w:t>
      </w:r>
      <w:r>
        <w:t xml:space="preserve">Report both the re-measured shares and whether every theme reappears in a model rebuilt without those documents.</w:t>
      </w:r>
    </w:p>
    <w:p>
      <w:pPr>
        <w:ind w:left="420" w:hanging="420"/>
        <w:spacing w:after="90"/>
      </w:pPr>
      <w:r>
        <w:rPr>
          <w:b/>
        </w:rPr>
        <w:t xml:space="preserve">4.  </w:t>
      </w:r>
      <w:r>
        <w:rPr>
          <w:b/>
        </w:rPr>
        <w:t xml:space="preserve">Rebuild without stemming. </w:t>
      </w:r>
      <w:r>
        <w:t xml:space="preserve">State which themes reappear with recognizable vocabulary and which do not, rather than claiming the set as a whole is robust.</w:t>
      </w:r>
    </w:p>
    <w:p>
      <w:pPr>
        <w:ind w:left="420" w:hanging="420"/>
        <w:spacing w:after="90"/>
      </w:pPr>
      <w:r>
        <w:rPr>
          <w:b/>
        </w:rPr>
        <w:t xml:space="preserve">5.  </w:t>
      </w:r>
      <w:r>
        <w:rPr>
          <w:b/>
        </w:rPr>
        <w:t xml:space="preserve">Institutional-style control. </w:t>
      </w:r>
      <w:r>
        <w:t xml:space="preserve">Run session notes from an unrelated process by the same institution through the same fixed instrument. Without it, an amplified theme cannot be distinguished from house vocabulary.</w:t>
      </w:r>
    </w:p>
    <w:p>
      <w:pPr>
        <w:spacing w:after="140"/>
      </w:pPr>
      <w:r>
        <w:rPr>
          <w:b/>
        </w:rPr>
        <w:t xml:space="preserve">Why the fifth check is safe to run. </w:t>
      </w:r>
      <w:r>
        <w:t xml:space="preserve">The test is asymmetric. If the control shows the same enlargement in an unrelated process, the amplification findings are lost. The reduction findings are untouched, because institutional style does not explain absences. Since the central claim rests on the reductions, the worst case costs a secondary result — which is a reason to run the control, not to defer it.</w:t>
      </w:r>
    </w:p>
    <w:p>
      <w:pPr>
        <w:spacing w:after="140"/>
      </w:pPr>
      <w:r>
        <w:t xml:space="preserve">On the pilot corpus the first check returned the following. Held-out likelihood peaks at twenty topics, agreeing with the choice made by reading. Cohesion naturally favours few topics and distinctness naturally favours many; twenty sits in the middle of that trade-off.</w:t>
      </w:r>
    </w:p>
    <w:tbl>
      <w:tblPr>
        <w:tblW w:w="9000" w:type="dxa"/>
        <w:tblBorders>
          <w:top w:val="single" w:sz="4" w:color="A6A6A6"/>
          <w:left w:val="none" w:sz="0" w:color="auto"/>
          <w:bottom w:val="single" w:sz="4" w:color="A6A6A6"/>
          <w:right w:val="none" w:sz="0" w:color="auto"/>
          <w:insideH w:val="single" w:sz="4" w:color="D9D9D9"/>
          <w:insideV w:val="none" w:sz="0" w:color="auto"/>
        </w:tblBorders>
        <w:tblCellMar>
          <w:top w:w="60" w:type="dxa"/>
          <w:bottom w:w="60" w:type="dxa"/>
          <w:left w:w="100" w:type="dxa"/>
          <w:right w:w="100" w:type="dxa"/>
        </w:tblCellMar>
      </w:tblPr>
      <w:tblGrid>
        <w:gridCol w:w="1800"/>
        <w:gridCol w:w="2900"/>
        <w:gridCol w:w="2150"/>
        <w:gridCol w:w="2150"/>
      </w:tblGrid>
      <w:tr>
        <w:trPr>
          <w:tblHeader/>
        </w:trPr>
        <w:tc>
          <w:tcPr>
            <w:tcW w:w="1800" w:type="dxa"/>
            <w:shd w:val="clear" w:color="auto" w:fill="F2F2F2"/>
          </w:tcPr>
          <w:p>
            <w:pPr>
              <w:spacing w:before="40" w:after="40"/>
              <w:rPr>
                <w:sz w:val="19"/>
              </w:rPr>
            </w:pPr>
            <w:r>
              <w:rPr>
                <w:b/>
                <w:sz w:val="19"/>
              </w:rPr>
              <w:t xml:space="preserve">Topics (K)</w:t>
            </w:r>
          </w:p>
        </w:tc>
        <w:tc>
          <w:tcPr>
            <w:tcW w:w="2900" w:type="dxa"/>
            <w:shd w:val="clear" w:color="auto" w:fill="F2F2F2"/>
          </w:tcPr>
          <w:p>
            <w:pPr>
              <w:spacing w:before="40" w:after="40"/>
              <w:rPr>
                <w:sz w:val="19"/>
              </w:rPr>
            </w:pPr>
            <w:r>
              <w:rPr>
                <w:b/>
                <w:sz w:val="19"/>
              </w:rPr>
              <w:t xml:space="preserve">Held-out likelihood</w:t>
            </w:r>
          </w:p>
        </w:tc>
        <w:tc>
          <w:tcPr>
            <w:tcW w:w="2150" w:type="dxa"/>
            <w:shd w:val="clear" w:color="auto" w:fill="F2F2F2"/>
          </w:tcPr>
          <w:p>
            <w:pPr>
              <w:spacing w:before="40" w:after="40"/>
              <w:rPr>
                <w:sz w:val="19"/>
              </w:rPr>
            </w:pPr>
            <w:r>
              <w:rPr>
                <w:b/>
                <w:sz w:val="19"/>
              </w:rPr>
              <w:t xml:space="preserve">Cohesion</w:t>
            </w:r>
          </w:p>
        </w:tc>
        <w:tc>
          <w:tcPr>
            <w:tcW w:w="2150" w:type="dxa"/>
            <w:shd w:val="clear" w:color="auto" w:fill="F2F2F2"/>
          </w:tcPr>
          <w:p>
            <w:pPr>
              <w:spacing w:before="40" w:after="40"/>
              <w:rPr>
                <w:sz w:val="19"/>
              </w:rPr>
            </w:pPr>
            <w:r>
              <w:rPr>
                <w:b/>
                <w:sz w:val="19"/>
              </w:rPr>
              <w:t xml:space="preserve">Distinctness</w:t>
            </w:r>
          </w:p>
        </w:tc>
      </w:tr>
      <w:tr>
        <w:tc>
          <w:tcPr>
            <w:tcW w:w="1800" w:type="dxa"/>
          </w:tcPr>
          <w:p>
            <w:pPr>
              <w:spacing w:before="40" w:after="40"/>
              <w:rPr>
                <w:sz w:val="19"/>
              </w:rPr>
            </w:pPr>
            <w:r>
              <w:rPr>
                <w:sz w:val="19"/>
              </w:rPr>
              <w:t xml:space="preserve">5</w:t>
            </w:r>
          </w:p>
        </w:tc>
        <w:tc>
          <w:tcPr>
            <w:tcW w:w="2900" w:type="dxa"/>
          </w:tcPr>
          <w:p>
            <w:pPr>
              <w:spacing w:before="40" w:after="40"/>
              <w:rPr>
                <w:sz w:val="19"/>
              </w:rPr>
            </w:pPr>
            <w:r>
              <w:rPr>
                <w:sz w:val="19"/>
              </w:rPr>
              <w:t xml:space="preserve">−6.803</w:t>
            </w:r>
          </w:p>
        </w:tc>
        <w:tc>
          <w:tcPr>
            <w:tcW w:w="2150" w:type="dxa"/>
          </w:tcPr>
          <w:p>
            <w:pPr>
              <w:spacing w:before="40" w:after="40"/>
              <w:rPr>
                <w:sz w:val="19"/>
              </w:rPr>
            </w:pPr>
            <w:r>
              <w:rPr>
                <w:sz w:val="19"/>
              </w:rPr>
              <w:t xml:space="preserve">−8.9</w:t>
            </w:r>
          </w:p>
        </w:tc>
        <w:tc>
          <w:tcPr>
            <w:tcW w:w="2150" w:type="dxa"/>
          </w:tcPr>
          <w:p>
            <w:pPr>
              <w:spacing w:before="40" w:after="40"/>
              <w:rPr>
                <w:sz w:val="19"/>
              </w:rPr>
            </w:pPr>
            <w:r>
              <w:rPr>
                <w:sz w:val="19"/>
              </w:rPr>
              <w:t xml:space="preserve">8.08</w:t>
            </w:r>
          </w:p>
        </w:tc>
      </w:tr>
      <w:tr>
        <w:tc>
          <w:tcPr>
            <w:tcW w:w="1800" w:type="dxa"/>
          </w:tcPr>
          <w:p>
            <w:pPr>
              <w:spacing w:before="40" w:after="40"/>
              <w:rPr>
                <w:sz w:val="19"/>
              </w:rPr>
            </w:pPr>
            <w:r>
              <w:rPr>
                <w:sz w:val="19"/>
              </w:rPr>
              <w:t xml:space="preserve">10</w:t>
            </w:r>
          </w:p>
        </w:tc>
        <w:tc>
          <w:tcPr>
            <w:tcW w:w="2900" w:type="dxa"/>
          </w:tcPr>
          <w:p>
            <w:pPr>
              <w:spacing w:before="40" w:after="40"/>
              <w:rPr>
                <w:sz w:val="19"/>
              </w:rPr>
            </w:pPr>
            <w:r>
              <w:rPr>
                <w:sz w:val="19"/>
              </w:rPr>
              <w:t xml:space="preserve">−6.752</w:t>
            </w:r>
          </w:p>
        </w:tc>
        <w:tc>
          <w:tcPr>
            <w:tcW w:w="2150" w:type="dxa"/>
          </w:tcPr>
          <w:p>
            <w:pPr>
              <w:spacing w:before="40" w:after="40"/>
              <w:rPr>
                <w:sz w:val="19"/>
              </w:rPr>
            </w:pPr>
            <w:r>
              <w:rPr>
                <w:sz w:val="19"/>
              </w:rPr>
              <w:t xml:space="preserve">−13.1</w:t>
            </w:r>
          </w:p>
        </w:tc>
        <w:tc>
          <w:tcPr>
            <w:tcW w:w="2150" w:type="dxa"/>
          </w:tcPr>
          <w:p>
            <w:pPr>
              <w:spacing w:before="40" w:after="40"/>
              <w:rPr>
                <w:sz w:val="19"/>
              </w:rPr>
            </w:pPr>
            <w:r>
              <w:rPr>
                <w:sz w:val="19"/>
              </w:rPr>
              <w:t xml:space="preserve">8.62</w:t>
            </w:r>
          </w:p>
        </w:tc>
      </w:tr>
      <w:tr>
        <w:tc>
          <w:tcPr>
            <w:tcW w:w="1800" w:type="dxa"/>
          </w:tcPr>
          <w:p>
            <w:pPr>
              <w:spacing w:before="40" w:after="40"/>
              <w:rPr>
                <w:sz w:val="19"/>
              </w:rPr>
            </w:pPr>
            <w:r>
              <w:rPr>
                <w:sz w:val="19"/>
              </w:rPr>
              <w:t xml:space="preserve">15</w:t>
            </w:r>
          </w:p>
        </w:tc>
        <w:tc>
          <w:tcPr>
            <w:tcW w:w="2900" w:type="dxa"/>
          </w:tcPr>
          <w:p>
            <w:pPr>
              <w:spacing w:before="40" w:after="40"/>
              <w:rPr>
                <w:sz w:val="19"/>
              </w:rPr>
            </w:pPr>
            <w:r>
              <w:rPr>
                <w:sz w:val="19"/>
              </w:rPr>
              <w:t xml:space="preserve">−6.726</w:t>
            </w:r>
          </w:p>
        </w:tc>
        <w:tc>
          <w:tcPr>
            <w:tcW w:w="2150" w:type="dxa"/>
          </w:tcPr>
          <w:p>
            <w:pPr>
              <w:spacing w:before="40" w:after="40"/>
              <w:rPr>
                <w:sz w:val="19"/>
              </w:rPr>
            </w:pPr>
            <w:r>
              <w:rPr>
                <w:sz w:val="19"/>
              </w:rPr>
              <w:t xml:space="preserve">−14.5</w:t>
            </w:r>
          </w:p>
        </w:tc>
        <w:tc>
          <w:tcPr>
            <w:tcW w:w="2150" w:type="dxa"/>
          </w:tcPr>
          <w:p>
            <w:pPr>
              <w:spacing w:before="40" w:after="40"/>
              <w:rPr>
                <w:sz w:val="19"/>
              </w:rPr>
            </w:pPr>
            <w:r>
              <w:rPr>
                <w:sz w:val="19"/>
              </w:rPr>
              <w:t xml:space="preserve">8.82</w:t>
            </w:r>
          </w:p>
        </w:tc>
      </w:tr>
      <w:tr>
        <w:tc>
          <w:tcPr>
            <w:tcW w:w="1800" w:type="dxa"/>
          </w:tcPr>
          <w:p>
            <w:pPr>
              <w:spacing w:before="40" w:after="40"/>
              <w:rPr>
                <w:sz w:val="19"/>
              </w:rPr>
            </w:pPr>
            <w:r>
              <w:rPr>
                <w:sz w:val="19"/>
              </w:rPr>
              <w:t xml:space="preserve">20</w:t>
            </w:r>
          </w:p>
        </w:tc>
        <w:tc>
          <w:tcPr>
            <w:tcW w:w="2900" w:type="dxa"/>
          </w:tcPr>
          <w:p>
            <w:pPr>
              <w:spacing w:before="40" w:after="40"/>
              <w:rPr>
                <w:sz w:val="19"/>
              </w:rPr>
            </w:pPr>
            <w:r>
              <w:rPr>
                <w:sz w:val="19"/>
              </w:rPr>
              <w:t xml:space="preserve">−6.721  (best)</w:t>
            </w:r>
          </w:p>
        </w:tc>
        <w:tc>
          <w:tcPr>
            <w:tcW w:w="2150" w:type="dxa"/>
          </w:tcPr>
          <w:p>
            <w:pPr>
              <w:spacing w:before="40" w:after="40"/>
              <w:rPr>
                <w:sz w:val="19"/>
              </w:rPr>
            </w:pPr>
            <w:r>
              <w:rPr>
                <w:sz w:val="19"/>
              </w:rPr>
              <w:t xml:space="preserve">−18.5</w:t>
            </w:r>
          </w:p>
        </w:tc>
        <w:tc>
          <w:tcPr>
            <w:tcW w:w="2150" w:type="dxa"/>
          </w:tcPr>
          <w:p>
            <w:pPr>
              <w:spacing w:before="40" w:after="40"/>
              <w:rPr>
                <w:sz w:val="19"/>
              </w:rPr>
            </w:pPr>
            <w:r>
              <w:rPr>
                <w:sz w:val="19"/>
              </w:rPr>
              <w:t xml:space="preserve">8.95</w:t>
            </w:r>
          </w:p>
        </w:tc>
      </w:tr>
      <w:tr>
        <w:tc>
          <w:tcPr>
            <w:tcW w:w="1800" w:type="dxa"/>
          </w:tcPr>
          <w:p>
            <w:pPr>
              <w:spacing w:before="40" w:after="40"/>
              <w:rPr>
                <w:sz w:val="19"/>
              </w:rPr>
            </w:pPr>
            <w:r>
              <w:rPr>
                <w:sz w:val="19"/>
              </w:rPr>
              <w:t xml:space="preserve">25</w:t>
            </w:r>
          </w:p>
        </w:tc>
        <w:tc>
          <w:tcPr>
            <w:tcW w:w="2900" w:type="dxa"/>
          </w:tcPr>
          <w:p>
            <w:pPr>
              <w:spacing w:before="40" w:after="40"/>
              <w:rPr>
                <w:sz w:val="19"/>
              </w:rPr>
            </w:pPr>
            <w:r>
              <w:rPr>
                <w:sz w:val="19"/>
              </w:rPr>
              <w:t xml:space="preserve">−6.735</w:t>
            </w:r>
          </w:p>
        </w:tc>
        <w:tc>
          <w:tcPr>
            <w:tcW w:w="2150" w:type="dxa"/>
          </w:tcPr>
          <w:p>
            <w:pPr>
              <w:spacing w:before="40" w:after="40"/>
              <w:rPr>
                <w:sz w:val="19"/>
              </w:rPr>
            </w:pPr>
            <w:r>
              <w:rPr>
                <w:sz w:val="19"/>
              </w:rPr>
              <w:t xml:space="preserve">−21.7</w:t>
            </w:r>
          </w:p>
        </w:tc>
        <w:tc>
          <w:tcPr>
            <w:tcW w:w="2150" w:type="dxa"/>
          </w:tcPr>
          <w:p>
            <w:pPr>
              <w:spacing w:before="40" w:after="40"/>
              <w:rPr>
                <w:sz w:val="19"/>
              </w:rPr>
            </w:pPr>
            <w:r>
              <w:rPr>
                <w:sz w:val="19"/>
              </w:rPr>
              <w:t xml:space="preserve">9.00</w:t>
            </w:r>
          </w:p>
        </w:tc>
      </w:tr>
      <w:tr>
        <w:tc>
          <w:tcPr>
            <w:tcW w:w="1800" w:type="dxa"/>
          </w:tcPr>
          <w:p>
            <w:pPr>
              <w:spacing w:before="40" w:after="40"/>
              <w:rPr>
                <w:sz w:val="19"/>
              </w:rPr>
            </w:pPr>
            <w:r>
              <w:rPr>
                <w:sz w:val="19"/>
              </w:rPr>
              <w:t xml:space="preserve">30</w:t>
            </w:r>
          </w:p>
        </w:tc>
        <w:tc>
          <w:tcPr>
            <w:tcW w:w="2900" w:type="dxa"/>
          </w:tcPr>
          <w:p>
            <w:pPr>
              <w:spacing w:before="40" w:after="40"/>
              <w:rPr>
                <w:sz w:val="19"/>
              </w:rPr>
            </w:pPr>
            <w:r>
              <w:rPr>
                <w:sz w:val="19"/>
              </w:rPr>
              <w:t xml:space="preserve">−6.736</w:t>
            </w:r>
          </w:p>
        </w:tc>
        <w:tc>
          <w:tcPr>
            <w:tcW w:w="2150" w:type="dxa"/>
          </w:tcPr>
          <w:p>
            <w:pPr>
              <w:spacing w:before="40" w:after="40"/>
              <w:rPr>
                <w:sz w:val="19"/>
              </w:rPr>
            </w:pPr>
            <w:r>
              <w:rPr>
                <w:sz w:val="19"/>
              </w:rPr>
              <w:t xml:space="preserve">−23.7</w:t>
            </w:r>
          </w:p>
        </w:tc>
        <w:tc>
          <w:tcPr>
            <w:tcW w:w="2150" w:type="dxa"/>
          </w:tcPr>
          <w:p>
            <w:pPr>
              <w:spacing w:before="40" w:after="40"/>
              <w:rPr>
                <w:sz w:val="19"/>
              </w:rPr>
            </w:pPr>
            <w:r>
              <w:rPr>
                <w:sz w:val="19"/>
              </w:rPr>
              <w:t xml:space="preserve">9.08</w:t>
            </w:r>
          </w:p>
        </w:tc>
      </w:tr>
    </w:tbl>
    <w:p>
      <w:pPr>
        <w:spacing w:after="200"/>
      </w:pPr>
      <w:r>
        <w:rPr>
          <w:i/>
        </w:rPr>
        <w:t xml:space="preserve">Held-out likelihood: closer to zero is better. Corpus: 379 submissions, one tenth of the text held back.</w:t>
      </w:r>
    </w:p>
    <w:p>
      <w:pPr>
        <w:spacing w:after="140"/>
      </w:pPr>
      <w:r>
        <w:t xml:space="preserve">Checks 2 to 4 held. The comparison repeated at fifteen and twenty-five topics preserved every main result — inclusion enlarged, data rights, legal accountability and frontier risk reduced — and if anything the alternative models are harsher, with data rights falling to almost nothing. Two details emerged: at fifteen and twenty-five topics the youth theme stops existing on its own and is absorbed into inclusion, which is one reason twenty was preferred; and the direction of change for gender is not consistent across models, so this document makes no claim about whether that theme grew or shrank, only about how its framing changed. Removing the thirteen near-identical campaign submissions moved no theme's share by more than 1.6 percentage points, changed no ordering, and every theme reappeared in a model rebuilt without them. The rebuild without stemming is discussed in section 7, item 4.</w:t>
      </w:r>
    </w:p>
    <w:p>
      <w:pPr>
        <w:pStyle w:val="Heading1"/>
        <w:keepNext/>
        <w:spacing w:after="140"/>
      </w:pPr>
      <w:r>
        <w:t xml:space="preserve">6. Case Study: Geneva 2026</w:t>
      </w:r>
    </w:p>
    <w:p>
      <w:pPr>
        <w:pStyle w:val="Heading2"/>
        <w:keepNext/>
        <w:spacing w:after="110"/>
      </w:pPr>
      <w:r>
        <w:t xml:space="preserve">6.1  The three collections</w:t>
      </w:r>
    </w:p>
    <w:p>
      <w:pPr>
        <w:spacing w:after="140"/>
      </w:pPr>
      <w:r>
        <w:t xml:space="preserve">Three sets of documents from the same process were compared: the 379 English-language written submissions from civil society organizations, responding to the Dialogue's structured call for input; the 55 concept notes proposing side events, submitted by outside organizations — civil society, universities, companies, governments and international organizations; and the seven session notes written by the UN secretariat for the official programme, comprising the four thematic clusters, the session on governance initiatives, and the two plenaries.</w:t>
      </w:r>
    </w:p>
    <w:p>
      <w:pPr>
        <w:spacing w:after="140"/>
      </w:pPr>
      <w:r>
        <w:t xml:space="preserve">A twenty-topic model was fitted on the submissions alone. Eighteen of the twenty topics are substantive; the remaining two are fragments generated by the submission form's checkbox fields rather than anything anyone wrote, and are excluded, accounting for the roughly three per cent by which the reported shares fall short of 100.</w:t>
      </w:r>
    </w:p>
    <w:p>
      <w:pPr>
        <w:pStyle w:val="Heading2"/>
        <w:keepNext/>
        <w:spacing w:after="110"/>
      </w:pPr>
      <w:r>
        <w:t xml:space="preserve">6.2  What civil society said</w:t>
      </w:r>
    </w:p>
    <w:p>
      <w:pPr>
        <w:spacing w:after="140"/>
      </w:pPr>
      <w:r>
        <w:t xml:space="preserve">Two features of the distribution are worth noting before anything else. Civil society's agenda is genuinely broad: no theme accounts for more than about an eighth of the writing. And the ordering is itself a finding — the largest theme is a demand for participation, not a warning about a specific technology, while the theme most visible in public debate about AI, catastrophic risk from advanced systems, sits eleventh.</w:t>
      </w:r>
    </w:p>
    <w:tbl>
      <w:tblPr>
        <w:tblW w:w="9000" w:type="dxa"/>
        <w:tblBorders>
          <w:top w:val="single" w:sz="4" w:color="A6A6A6"/>
          <w:left w:val="none" w:sz="0" w:color="auto"/>
          <w:bottom w:val="single" w:sz="4" w:color="A6A6A6"/>
          <w:right w:val="none" w:sz="0" w:color="auto"/>
          <w:insideH w:val="single" w:sz="4" w:color="D9D9D9"/>
          <w:insideV w:val="none" w:sz="0" w:color="auto"/>
        </w:tblBorders>
        <w:tblCellMar>
          <w:top w:w="60" w:type="dxa"/>
          <w:bottom w:w="60" w:type="dxa"/>
          <w:left w:w="100" w:type="dxa"/>
          <w:right w:w="100" w:type="dxa"/>
        </w:tblCellMar>
      </w:tblPr>
      <w:tblGrid>
        <w:gridCol w:w="6600"/>
        <w:gridCol w:w="2400"/>
      </w:tblGrid>
      <w:tr>
        <w:trPr>
          <w:tblHeader/>
        </w:trPr>
        <w:tc>
          <w:tcPr>
            <w:tcW w:w="6600" w:type="dxa"/>
            <w:shd w:val="clear" w:color="auto" w:fill="F2F2F2"/>
          </w:tcPr>
          <w:p>
            <w:pPr>
              <w:spacing w:before="40" w:after="40"/>
              <w:rPr>
                <w:sz w:val="19"/>
              </w:rPr>
            </w:pPr>
            <w:r>
              <w:rPr>
                <w:b/>
                <w:sz w:val="19"/>
              </w:rPr>
              <w:t xml:space="preserve">Theme</w:t>
            </w:r>
          </w:p>
        </w:tc>
        <w:tc>
          <w:tcPr>
            <w:tcW w:w="2400" w:type="dxa"/>
            <w:shd w:val="clear" w:color="auto" w:fill="F2F2F2"/>
          </w:tcPr>
          <w:p>
            <w:pPr>
              <w:spacing w:before="40" w:after="40"/>
              <w:rPr>
                <w:sz w:val="19"/>
              </w:rPr>
            </w:pPr>
            <w:r>
              <w:rPr>
                <w:b/>
                <w:sz w:val="19"/>
              </w:rPr>
              <w:t xml:space="preserve">Share</w:t>
            </w:r>
          </w:p>
        </w:tc>
      </w:tr>
      <w:tr>
        <w:tc>
          <w:tcPr>
            <w:tcW w:w="6600" w:type="dxa"/>
          </w:tcPr>
          <w:p>
            <w:pPr>
              <w:spacing w:before="40" w:after="40"/>
              <w:rPr>
                <w:sz w:val="19"/>
              </w:rPr>
            </w:pPr>
            <w:r>
              <w:rPr>
                <w:sz w:val="19"/>
              </w:rPr>
              <w:t xml:space="preserve">Structural inclusion &amp; capacity-building</w:t>
            </w:r>
          </w:p>
        </w:tc>
        <w:tc>
          <w:tcPr>
            <w:tcW w:w="2400" w:type="dxa"/>
          </w:tcPr>
          <w:p>
            <w:pPr>
              <w:spacing w:before="40" w:after="40"/>
              <w:rPr>
                <w:sz w:val="19"/>
              </w:rPr>
            </w:pPr>
            <w:r>
              <w:rPr>
                <w:sz w:val="19"/>
              </w:rPr>
              <w:t xml:space="preserve">11.9%</w:t>
            </w:r>
          </w:p>
        </w:tc>
      </w:tr>
      <w:tr>
        <w:tc>
          <w:tcPr>
            <w:tcW w:w="6600" w:type="dxa"/>
          </w:tcPr>
          <w:p>
            <w:pPr>
              <w:spacing w:before="40" w:after="40"/>
              <w:rPr>
                <w:sz w:val="19"/>
              </w:rPr>
            </w:pPr>
            <w:r>
              <w:rPr>
                <w:sz w:val="19"/>
              </w:rPr>
              <w:t xml:space="preserve">Data rights &amp; corporate power</w:t>
            </w:r>
          </w:p>
        </w:tc>
        <w:tc>
          <w:tcPr>
            <w:tcW w:w="2400" w:type="dxa"/>
          </w:tcPr>
          <w:p>
            <w:pPr>
              <w:spacing w:before="40" w:after="40"/>
              <w:rPr>
                <w:sz w:val="19"/>
              </w:rPr>
            </w:pPr>
            <w:r>
              <w:rPr>
                <w:sz w:val="19"/>
              </w:rPr>
              <w:t xml:space="preserve">10.9%</w:t>
            </w:r>
          </w:p>
        </w:tc>
      </w:tr>
      <w:tr>
        <w:tc>
          <w:tcPr>
            <w:tcW w:w="6600" w:type="dxa"/>
          </w:tcPr>
          <w:p>
            <w:pPr>
              <w:spacing w:before="40" w:after="40"/>
              <w:rPr>
                <w:sz w:val="19"/>
              </w:rPr>
            </w:pPr>
            <w:r>
              <w:rPr>
                <w:sz w:val="19"/>
              </w:rPr>
              <w:t xml:space="preserve">Operational measurement &amp; implementation</w:t>
            </w:r>
          </w:p>
        </w:tc>
        <w:tc>
          <w:tcPr>
            <w:tcW w:w="2400" w:type="dxa"/>
          </w:tcPr>
          <w:p>
            <w:pPr>
              <w:spacing w:before="40" w:after="40"/>
              <w:rPr>
                <w:sz w:val="19"/>
              </w:rPr>
            </w:pPr>
            <w:r>
              <w:rPr>
                <w:sz w:val="19"/>
              </w:rPr>
              <w:t xml:space="preserve">8.9%</w:t>
            </w:r>
          </w:p>
        </w:tc>
      </w:tr>
      <w:tr>
        <w:tc>
          <w:tcPr>
            <w:tcW w:w="6600" w:type="dxa"/>
          </w:tcPr>
          <w:p>
            <w:pPr>
              <w:spacing w:before="40" w:after="40"/>
              <w:rPr>
                <w:sz w:val="19"/>
              </w:rPr>
            </w:pPr>
            <w:r>
              <w:rPr>
                <w:sz w:val="19"/>
              </w:rPr>
              <w:t xml:space="preserve">Grassroots digital inclusion &amp; youth</w:t>
            </w:r>
          </w:p>
        </w:tc>
        <w:tc>
          <w:tcPr>
            <w:tcW w:w="2400" w:type="dxa"/>
          </w:tcPr>
          <w:p>
            <w:pPr>
              <w:spacing w:before="40" w:after="40"/>
              <w:rPr>
                <w:sz w:val="19"/>
              </w:rPr>
            </w:pPr>
            <w:r>
              <w:rPr>
                <w:sz w:val="19"/>
              </w:rPr>
              <w:t xml:space="preserve">7.3%</w:t>
            </w:r>
          </w:p>
        </w:tc>
      </w:tr>
      <w:tr>
        <w:tc>
          <w:tcPr>
            <w:tcW w:w="6600" w:type="dxa"/>
          </w:tcPr>
          <w:p>
            <w:pPr>
              <w:spacing w:before="40" w:after="40"/>
              <w:rPr>
                <w:sz w:val="19"/>
              </w:rPr>
            </w:pPr>
            <w:r>
              <w:rPr>
                <w:sz w:val="19"/>
              </w:rPr>
              <w:t xml:space="preserve">Legal &amp; administrative accountability</w:t>
            </w:r>
          </w:p>
        </w:tc>
        <w:tc>
          <w:tcPr>
            <w:tcW w:w="2400" w:type="dxa"/>
          </w:tcPr>
          <w:p>
            <w:pPr>
              <w:spacing w:before="40" w:after="40"/>
              <w:rPr>
                <w:sz w:val="19"/>
              </w:rPr>
            </w:pPr>
            <w:r>
              <w:rPr>
                <w:sz w:val="19"/>
              </w:rPr>
              <w:t xml:space="preserve">6.1%</w:t>
            </w:r>
          </w:p>
        </w:tc>
      </w:tr>
      <w:tr>
        <w:tc>
          <w:tcPr>
            <w:tcW w:w="6600" w:type="dxa"/>
          </w:tcPr>
          <w:p>
            <w:pPr>
              <w:spacing w:before="40" w:after="40"/>
              <w:rPr>
                <w:sz w:val="19"/>
              </w:rPr>
            </w:pPr>
            <w:r>
              <w:rPr>
                <w:sz w:val="19"/>
              </w:rPr>
              <w:t xml:space="preserve">Technical standards, sandboxes &amp; compute</w:t>
            </w:r>
          </w:p>
        </w:tc>
        <w:tc>
          <w:tcPr>
            <w:tcW w:w="2400" w:type="dxa"/>
          </w:tcPr>
          <w:p>
            <w:pPr>
              <w:spacing w:before="40" w:after="40"/>
              <w:rPr>
                <w:sz w:val="19"/>
              </w:rPr>
            </w:pPr>
            <w:r>
              <w:rPr>
                <w:sz w:val="19"/>
              </w:rPr>
              <w:t xml:space="preserve">5.6%</w:t>
            </w:r>
          </w:p>
        </w:tc>
      </w:tr>
      <w:tr>
        <w:tc>
          <w:tcPr>
            <w:tcW w:w="6600" w:type="dxa"/>
          </w:tcPr>
          <w:p>
            <w:pPr>
              <w:spacing w:before="40" w:after="40"/>
              <w:rPr>
                <w:sz w:val="19"/>
              </w:rPr>
            </w:pPr>
            <w:r>
              <w:rPr>
                <w:sz w:val="19"/>
              </w:rPr>
              <w:t xml:space="preserve">Children's rights &amp; legal remedy</w:t>
            </w:r>
          </w:p>
        </w:tc>
        <w:tc>
          <w:tcPr>
            <w:tcW w:w="2400" w:type="dxa"/>
          </w:tcPr>
          <w:p>
            <w:pPr>
              <w:spacing w:before="40" w:after="40"/>
              <w:rPr>
                <w:sz w:val="19"/>
              </w:rPr>
            </w:pPr>
            <w:r>
              <w:rPr>
                <w:sz w:val="19"/>
              </w:rPr>
              <w:t xml:space="preserve">5.1%</w:t>
            </w:r>
          </w:p>
        </w:tc>
      </w:tr>
      <w:tr>
        <w:tc>
          <w:tcPr>
            <w:tcW w:w="6600" w:type="dxa"/>
          </w:tcPr>
          <w:p>
            <w:pPr>
              <w:spacing w:before="40" w:after="40"/>
              <w:rPr>
                <w:sz w:val="19"/>
              </w:rPr>
            </w:pPr>
            <w:r>
              <w:rPr>
                <w:sz w:val="19"/>
              </w:rPr>
              <w:t xml:space="preserve">Informal, plain-spoken submissions</w:t>
            </w:r>
          </w:p>
        </w:tc>
        <w:tc>
          <w:tcPr>
            <w:tcW w:w="2400" w:type="dxa"/>
          </w:tcPr>
          <w:p>
            <w:pPr>
              <w:spacing w:before="40" w:after="40"/>
              <w:rPr>
                <w:sz w:val="19"/>
              </w:rPr>
            </w:pPr>
            <w:r>
              <w:rPr>
                <w:sz w:val="19"/>
              </w:rPr>
              <w:t xml:space="preserve">5.1%</w:t>
            </w:r>
          </w:p>
        </w:tc>
      </w:tr>
      <w:tr>
        <w:tc>
          <w:tcPr>
            <w:tcW w:w="6600" w:type="dxa"/>
          </w:tcPr>
          <w:p>
            <w:pPr>
              <w:spacing w:before="40" w:after="40"/>
              <w:rPr>
                <w:sz w:val="19"/>
              </w:rPr>
            </w:pPr>
            <w:r>
              <w:rPr>
                <w:sz w:val="19"/>
              </w:rPr>
              <w:t xml:space="preserve">Environment &amp; sustainability</w:t>
            </w:r>
          </w:p>
        </w:tc>
        <w:tc>
          <w:tcPr>
            <w:tcW w:w="2400" w:type="dxa"/>
          </w:tcPr>
          <w:p>
            <w:pPr>
              <w:spacing w:before="40" w:after="40"/>
              <w:rPr>
                <w:sz w:val="19"/>
              </w:rPr>
            </w:pPr>
            <w:r>
              <w:rPr>
                <w:sz w:val="19"/>
              </w:rPr>
              <w:t xml:space="preserve">4.5%</w:t>
            </w:r>
          </w:p>
        </w:tc>
      </w:tr>
      <w:tr>
        <w:tc>
          <w:tcPr>
            <w:tcW w:w="6600" w:type="dxa"/>
          </w:tcPr>
          <w:p>
            <w:pPr>
              <w:spacing w:before="40" w:after="40"/>
              <w:rPr>
                <w:sz w:val="19"/>
              </w:rPr>
            </w:pPr>
            <w:r>
              <w:rPr>
                <w:sz w:val="19"/>
              </w:rPr>
              <w:t xml:space="preserve">Gender &amp; labour justice</w:t>
            </w:r>
          </w:p>
        </w:tc>
        <w:tc>
          <w:tcPr>
            <w:tcW w:w="2400" w:type="dxa"/>
          </w:tcPr>
          <w:p>
            <w:pPr>
              <w:spacing w:before="40" w:after="40"/>
              <w:rPr>
                <w:sz w:val="19"/>
              </w:rPr>
            </w:pPr>
            <w:r>
              <w:rPr>
                <w:sz w:val="19"/>
              </w:rPr>
              <w:t xml:space="preserve">4.4%</w:t>
            </w:r>
          </w:p>
        </w:tc>
      </w:tr>
      <w:tr>
        <w:tc>
          <w:tcPr>
            <w:tcW w:w="6600" w:type="dxa"/>
          </w:tcPr>
          <w:p>
            <w:pPr>
              <w:spacing w:before="40" w:after="40"/>
              <w:rPr>
                <w:sz w:val="19"/>
              </w:rPr>
            </w:pPr>
            <w:r>
              <w:rPr>
                <w:sz w:val="19"/>
              </w:rPr>
              <w:t xml:space="preserve">Frontier AI &amp; existential risk</w:t>
            </w:r>
          </w:p>
        </w:tc>
        <w:tc>
          <w:tcPr>
            <w:tcW w:w="2400" w:type="dxa"/>
          </w:tcPr>
          <w:p>
            <w:pPr>
              <w:spacing w:before="40" w:after="40"/>
              <w:rPr>
                <w:sz w:val="19"/>
              </w:rPr>
            </w:pPr>
            <w:r>
              <w:rPr>
                <w:sz w:val="19"/>
              </w:rPr>
              <w:t xml:space="preserve">4.2%</w:t>
            </w:r>
          </w:p>
        </w:tc>
      </w:tr>
      <w:tr>
        <w:tc>
          <w:tcPr>
            <w:tcW w:w="6600" w:type="dxa"/>
          </w:tcPr>
          <w:p>
            <w:pPr>
              <w:spacing w:before="40" w:after="40"/>
              <w:rPr>
                <w:sz w:val="19"/>
              </w:rPr>
            </w:pPr>
            <w:r>
              <w:rPr>
                <w:sz w:val="19"/>
              </w:rPr>
              <w:t xml:space="preserve">Education &amp; emotional uses of AI</w:t>
            </w:r>
          </w:p>
        </w:tc>
        <w:tc>
          <w:tcPr>
            <w:tcW w:w="2400" w:type="dxa"/>
          </w:tcPr>
          <w:p>
            <w:pPr>
              <w:spacing w:before="40" w:after="40"/>
              <w:rPr>
                <w:sz w:val="19"/>
              </w:rPr>
            </w:pPr>
            <w:r>
              <w:rPr>
                <w:sz w:val="19"/>
              </w:rPr>
              <w:t xml:space="preserve">4.1%</w:t>
            </w:r>
          </w:p>
        </w:tc>
      </w:tr>
      <w:tr>
        <w:tc>
          <w:tcPr>
            <w:tcW w:w="6600" w:type="dxa"/>
          </w:tcPr>
          <w:p>
            <w:pPr>
              <w:spacing w:before="40" w:after="40"/>
              <w:rPr>
                <w:sz w:val="19"/>
              </w:rPr>
            </w:pPr>
            <w:r>
              <w:rPr>
                <w:sz w:val="19"/>
              </w:rPr>
              <w:t xml:space="preserve">Data sovereignty &amp; local deployment</w:t>
            </w:r>
          </w:p>
        </w:tc>
        <w:tc>
          <w:tcPr>
            <w:tcW w:w="2400" w:type="dxa"/>
          </w:tcPr>
          <w:p>
            <w:pPr>
              <w:spacing w:before="40" w:after="40"/>
              <w:rPr>
                <w:sz w:val="19"/>
              </w:rPr>
            </w:pPr>
            <w:r>
              <w:rPr>
                <w:sz w:val="19"/>
              </w:rPr>
              <w:t xml:space="preserve">4.0%</w:t>
            </w:r>
          </w:p>
        </w:tc>
      </w:tr>
      <w:tr>
        <w:tc>
          <w:tcPr>
            <w:tcW w:w="6600" w:type="dxa"/>
          </w:tcPr>
          <w:p>
            <w:pPr>
              <w:spacing w:before="40" w:after="40"/>
              <w:rPr>
                <w:sz w:val="19"/>
              </w:rPr>
            </w:pPr>
            <w:r>
              <w:rPr>
                <w:sz w:val="19"/>
              </w:rPr>
              <w:t xml:space="preserve">Assurance, verification &amp; observatories</w:t>
            </w:r>
          </w:p>
        </w:tc>
        <w:tc>
          <w:tcPr>
            <w:tcW w:w="2400" w:type="dxa"/>
          </w:tcPr>
          <w:p>
            <w:pPr>
              <w:spacing w:before="40" w:after="40"/>
              <w:rPr>
                <w:sz w:val="19"/>
              </w:rPr>
            </w:pPr>
            <w:r>
              <w:rPr>
                <w:sz w:val="19"/>
              </w:rPr>
              <w:t xml:space="preserve">3.7%</w:t>
            </w:r>
          </w:p>
        </w:tc>
      </w:tr>
      <w:tr>
        <w:tc>
          <w:tcPr>
            <w:tcW w:w="6600" w:type="dxa"/>
          </w:tcPr>
          <w:p>
            <w:pPr>
              <w:spacing w:before="40" w:after="40"/>
              <w:rPr>
                <w:sz w:val="19"/>
              </w:rPr>
            </w:pPr>
            <w:r>
              <w:rPr>
                <w:sz w:val="19"/>
              </w:rPr>
              <w:t xml:space="preserve">Measuring corporate behaviour</w:t>
            </w:r>
          </w:p>
        </w:tc>
        <w:tc>
          <w:tcPr>
            <w:tcW w:w="2400" w:type="dxa"/>
          </w:tcPr>
          <w:p>
            <w:pPr>
              <w:spacing w:before="40" w:after="40"/>
              <w:rPr>
                <w:sz w:val="19"/>
              </w:rPr>
            </w:pPr>
            <w:r>
              <w:rPr>
                <w:sz w:val="19"/>
              </w:rPr>
              <w:t xml:space="preserve">3.6%</w:t>
            </w:r>
          </w:p>
        </w:tc>
      </w:tr>
      <w:tr>
        <w:tc>
          <w:tcPr>
            <w:tcW w:w="6600" w:type="dxa"/>
          </w:tcPr>
          <w:p>
            <w:pPr>
              <w:spacing w:before="40" w:after="40"/>
              <w:rPr>
                <w:sz w:val="19"/>
              </w:rPr>
            </w:pPr>
            <w:r>
              <w:rPr>
                <w:sz w:val="19"/>
              </w:rPr>
              <w:t xml:space="preserve">Dialogue design &amp; multistakeholder process</w:t>
            </w:r>
          </w:p>
        </w:tc>
        <w:tc>
          <w:tcPr>
            <w:tcW w:w="2400" w:type="dxa"/>
          </w:tcPr>
          <w:p>
            <w:pPr>
              <w:spacing w:before="40" w:after="40"/>
              <w:rPr>
                <w:sz w:val="19"/>
              </w:rPr>
            </w:pPr>
            <w:r>
              <w:rPr>
                <w:sz w:val="19"/>
              </w:rPr>
              <w:t xml:space="preserve">2.8%</w:t>
            </w:r>
          </w:p>
        </w:tc>
      </w:tr>
      <w:tr>
        <w:tc>
          <w:tcPr>
            <w:tcW w:w="6600" w:type="dxa"/>
          </w:tcPr>
          <w:p>
            <w:pPr>
              <w:spacing w:before="40" w:after="40"/>
              <w:rPr>
                <w:sz w:val="19"/>
              </w:rPr>
            </w:pPr>
            <w:r>
              <w:rPr>
                <w:sz w:val="19"/>
              </w:rPr>
              <w:t xml:space="preserve">Calls to halt AI development</w:t>
            </w:r>
          </w:p>
        </w:tc>
        <w:tc>
          <w:tcPr>
            <w:tcW w:w="2400" w:type="dxa"/>
          </w:tcPr>
          <w:p>
            <w:pPr>
              <w:spacing w:before="40" w:after="40"/>
              <w:rPr>
                <w:sz w:val="19"/>
              </w:rPr>
            </w:pPr>
            <w:r>
              <w:rPr>
                <w:sz w:val="19"/>
              </w:rPr>
              <w:t xml:space="preserve">2.8%</w:t>
            </w:r>
          </w:p>
        </w:tc>
      </w:tr>
      <w:tr>
        <w:tc>
          <w:tcPr>
            <w:tcW w:w="6600" w:type="dxa"/>
          </w:tcPr>
          <w:p>
            <w:pPr>
              <w:spacing w:before="40" w:after="40"/>
              <w:rPr>
                <w:sz w:val="19"/>
              </w:rPr>
            </w:pPr>
            <w:r>
              <w:rPr>
                <w:sz w:val="19"/>
              </w:rPr>
              <w:t xml:space="preserve">Humanitarian law, surveillance &amp; conflict</w:t>
            </w:r>
          </w:p>
        </w:tc>
        <w:tc>
          <w:tcPr>
            <w:tcW w:w="2400" w:type="dxa"/>
          </w:tcPr>
          <w:p>
            <w:pPr>
              <w:spacing w:before="40" w:after="40"/>
              <w:rPr>
                <w:sz w:val="19"/>
              </w:rPr>
            </w:pPr>
            <w:r>
              <w:rPr>
                <w:sz w:val="19"/>
              </w:rPr>
              <w:t xml:space="preserve">2.3%</w:t>
            </w:r>
          </w:p>
        </w:tc>
      </w:tr>
    </w:tbl>
    <w:p>
      <w:pPr>
        <w:spacing w:after="200"/>
      </w:pPr>
      <w:r>
        <w:rPr>
          <w:i/>
        </w:rPr>
        <w:t xml:space="preserve">All eighteen substantive themes found in the 379 submissions. Shares are of everything civil society wrote.</w:t>
      </w:r>
    </w:p>
    <w:p>
      <w:pPr>
        <w:pStyle w:val="Heading2"/>
        <w:keepNext/>
        <w:spacing w:after="110"/>
      </w:pPr>
      <w:r>
        <w:t xml:space="preserve">6.3  The side events</w:t>
      </w:r>
    </w:p>
    <w:p>
      <w:pPr>
        <w:spacing w:after="140"/>
      </w:pPr>
      <w:r>
        <w:t xml:space="preserve">Taken as a whole the 55 proposals track the submissions reasonably well, but the match varies considerably from theme to theme. Three themes arrive more or less intact: youth, with eleven proposals engaging substantially and several organized by young people themselves; legal accountability, in fact better represented among the proposals than in the submissions, with fifteen of 55 engaging substantially and governments among its carriers, including Costa Rica's science ministry with ECLAC and African policy institutes; and inclusion and capacity-building, likewise with fifteen proposals.</w:t>
      </w:r>
    </w:p>
    <w:p>
      <w:pPr>
        <w:spacing w:after="140"/>
      </w:pPr>
      <w:r>
        <w:t xml:space="preserve">Two themes arrive only in part. Gender and labour has three substantial carriers, though those three retain the structural framing found in the submissions. Frontier risk keeps almost exactly its share of space — 4.1% against 4.2% — but the speakers change: at the side events the theme is carried by professional AI-safety institutes, while the groups that demanded a halt to development in the submissions proposed no event. The subject remains; the demand does not.</w:t>
      </w:r>
    </w:p>
    <w:p>
      <w:pPr>
        <w:spacing w:after="140"/>
      </w:pPr>
      <w:r>
        <w:t xml:space="preserve">One theme is effectively missing. Data rights and corporate power, the second-largest theme of the submissions, is the core subject of no proposal; only one of the 55 crosses the 30% engagement mark. Compensation, licensing and corporate concentration are not on offer as session topics.</w:t>
      </w:r>
    </w:p>
    <w:p>
      <w:pPr>
        <w:spacing w:after="140"/>
      </w:pPr>
      <w:r>
        <w:t xml:space="preserve">The proposals also emphasize something the submissions did not. Environment and sustainability is the largest single topic of the proposal pool, at 11.4% against 4.5% in the submissions, led by a high-level session co-organized by Campaign for Nature with the French government, UNEP, ITU and UNESCO. It is worth noting which kind of theme grows on the way to Geneva: side events require resources, accreditation and institutional partners, and the theme that expanded is the one with states and international organizations among its sponsors.</w:t>
      </w:r>
    </w:p>
    <w:p>
      <w:pPr>
        <w:pStyle w:val="Heading2"/>
        <w:keepNext/>
        <w:spacing w:after="110"/>
      </w:pPr>
      <w:r>
        <w:t xml:space="preserve">6.4  The official programme</w:t>
      </w:r>
    </w:p>
    <w:p>
      <w:pPr>
        <w:spacing w:after="140"/>
      </w:pPr>
      <w:r>
        <w:t xml:space="preserve">The seven session notes are the institution's own framing of the Dialogue, and they are considerably more selective than the side events. One theme is strongly represented: inclusion and capacity-building, at 25.8% of the programme's content, more than double its share of the submissions, with five of the seven sessions engaging substantially. Cluster 2, “Bridging AI Divides,” is devoted to it entirely.</w:t>
      </w:r>
    </w:p>
    <w:p>
      <w:pPr>
        <w:spacing w:after="140"/>
      </w:pPr>
      <w:r>
        <w:t xml:space="preserve">No other civil society theme reaches substantial engagement in any official session. Data rights appears in Cluster 1's economic discussion as a risk clause and as open-source policy; the submissions' language of ownership, compensation and moratorium does not occur. Legal accountability has a nominal home in Cluster 4, which names the difficulty but proposes due diligence, impact assessments and the UN Guiding Principles as practical tools; binding rules are not discussed. Frontier risk survives in the phrase “safe, secure and trustworthy” in Cluster 3, a session about interoperability and standards. Gender and labour appears as a listing of groups facing differentiated impacts, without the structural analysis found in the submissions and still present at the side events. Youth is discussed mainly under child protection.</w:t>
      </w:r>
    </w:p>
    <w:p>
      <w:pPr>
        <w:spacing w:after="140"/>
      </w:pPr>
      <w:r>
        <w:t xml:space="preserve">Two subjects are more prominent in the official notes than in the submissions. Implementation and interoperability language accounts for 20.9% of the programme against 8.9% of the submissions, and dominates Cluster 3 and the governance-initiatives session. The environment stands at 11.1%, embedded as one of Cluster 1's five lenses.</w:t>
      </w:r>
    </w:p>
    <w:p>
      <w:pPr>
        <w:pStyle w:val="Heading2"/>
        <w:keepNext/>
        <w:spacing w:after="110"/>
      </w:pPr>
      <w:r>
        <w:t xml:space="preserve">6.5  The three collections together</w:t>
      </w:r>
    </w:p>
    <w:tbl>
      <w:tblPr>
        <w:tblW w:w="9000" w:type="dxa"/>
        <w:tblBorders>
          <w:top w:val="single" w:sz="4" w:color="A6A6A6"/>
          <w:left w:val="none" w:sz="0" w:color="auto"/>
          <w:bottom w:val="single" w:sz="4" w:color="A6A6A6"/>
          <w:right w:val="none" w:sz="0" w:color="auto"/>
          <w:insideH w:val="single" w:sz="4" w:color="D9D9D9"/>
          <w:insideV w:val="none" w:sz="0" w:color="auto"/>
        </w:tblBorders>
        <w:tblCellMar>
          <w:top w:w="60" w:type="dxa"/>
          <w:bottom w:w="60" w:type="dxa"/>
          <w:left w:w="100" w:type="dxa"/>
          <w:right w:w="100" w:type="dxa"/>
        </w:tblCellMar>
      </w:tblPr>
      <w:tblGrid>
        <w:gridCol w:w="3600"/>
        <w:gridCol w:w="1700"/>
        <w:gridCol w:w="2100"/>
        <w:gridCol w:w="1600"/>
      </w:tblGrid>
      <w:tr>
        <w:trPr>
          <w:tblHeader/>
        </w:trPr>
        <w:tc>
          <w:tcPr>
            <w:tcW w:w="3600" w:type="dxa"/>
            <w:shd w:val="clear" w:color="auto" w:fill="F2F2F2"/>
          </w:tcPr>
          <w:p>
            <w:pPr>
              <w:spacing w:before="40" w:after="40"/>
              <w:rPr>
                <w:sz w:val="19"/>
              </w:rPr>
            </w:pPr>
            <w:r>
              <w:rPr>
                <w:b/>
                <w:sz w:val="19"/>
              </w:rPr>
              <w:t xml:space="preserve">Theme</w:t>
            </w:r>
          </w:p>
        </w:tc>
        <w:tc>
          <w:tcPr>
            <w:tcW w:w="1700" w:type="dxa"/>
            <w:shd w:val="clear" w:color="auto" w:fill="F2F2F2"/>
          </w:tcPr>
          <w:p>
            <w:pPr>
              <w:spacing w:before="40" w:after="40"/>
              <w:rPr>
                <w:sz w:val="19"/>
              </w:rPr>
            </w:pPr>
            <w:r>
              <w:rPr>
                <w:b/>
                <w:sz w:val="19"/>
              </w:rPr>
              <w:t xml:space="preserve">Civil society</w:t>
            </w:r>
          </w:p>
        </w:tc>
        <w:tc>
          <w:tcPr>
            <w:tcW w:w="2100" w:type="dxa"/>
            <w:shd w:val="clear" w:color="auto" w:fill="F2F2F2"/>
          </w:tcPr>
          <w:p>
            <w:pPr>
              <w:spacing w:before="40" w:after="40"/>
              <w:rPr>
                <w:sz w:val="19"/>
              </w:rPr>
            </w:pPr>
            <w:r>
              <w:rPr>
                <w:b/>
                <w:sz w:val="19"/>
              </w:rPr>
              <w:t xml:space="preserve">Official programme</w:t>
            </w:r>
          </w:p>
        </w:tc>
        <w:tc>
          <w:tcPr>
            <w:tcW w:w="1600" w:type="dxa"/>
            <w:shd w:val="clear" w:color="auto" w:fill="F2F2F2"/>
          </w:tcPr>
          <w:p>
            <w:pPr>
              <w:spacing w:before="40" w:after="40"/>
              <w:rPr>
                <w:sz w:val="19"/>
              </w:rPr>
            </w:pPr>
            <w:r>
              <w:rPr>
                <w:b/>
                <w:sz w:val="19"/>
              </w:rPr>
              <w:t xml:space="preserve">Ratio</w:t>
            </w:r>
          </w:p>
        </w:tc>
      </w:tr>
      <w:tr>
        <w:tc>
          <w:tcPr>
            <w:tcW w:w="3600" w:type="dxa"/>
          </w:tcPr>
          <w:p>
            <w:pPr>
              <w:spacing w:before="40" w:after="40"/>
              <w:rPr>
                <w:sz w:val="19"/>
              </w:rPr>
            </w:pPr>
            <w:r>
              <w:rPr>
                <w:sz w:val="19"/>
              </w:rPr>
              <w:t xml:space="preserve">Environment &amp; sustainability</w:t>
            </w:r>
          </w:p>
        </w:tc>
        <w:tc>
          <w:tcPr>
            <w:tcW w:w="1700" w:type="dxa"/>
          </w:tcPr>
          <w:p>
            <w:pPr>
              <w:spacing w:before="40" w:after="40"/>
              <w:rPr>
                <w:sz w:val="19"/>
              </w:rPr>
            </w:pPr>
            <w:r>
              <w:rPr>
                <w:sz w:val="19"/>
              </w:rPr>
              <w:t xml:space="preserve">4.5%</w:t>
            </w:r>
          </w:p>
        </w:tc>
        <w:tc>
          <w:tcPr>
            <w:tcW w:w="2100" w:type="dxa"/>
          </w:tcPr>
          <w:p>
            <w:pPr>
              <w:spacing w:before="40" w:after="40"/>
              <w:rPr>
                <w:sz w:val="19"/>
              </w:rPr>
            </w:pPr>
            <w:r>
              <w:rPr>
                <w:sz w:val="19"/>
              </w:rPr>
              <w:t xml:space="preserve">11.1%</w:t>
            </w:r>
          </w:p>
        </w:tc>
        <w:tc>
          <w:tcPr>
            <w:tcW w:w="1600" w:type="dxa"/>
          </w:tcPr>
          <w:p>
            <w:pPr>
              <w:spacing w:before="40" w:after="40"/>
              <w:rPr>
                <w:sz w:val="19"/>
              </w:rPr>
            </w:pPr>
            <w:r>
              <w:rPr>
                <w:sz w:val="19"/>
              </w:rPr>
              <w:t xml:space="preserve">×2.5</w:t>
            </w:r>
          </w:p>
        </w:tc>
      </w:tr>
      <w:tr>
        <w:tc>
          <w:tcPr>
            <w:tcW w:w="3600" w:type="dxa"/>
          </w:tcPr>
          <w:p>
            <w:pPr>
              <w:spacing w:before="40" w:after="40"/>
              <w:rPr>
                <w:sz w:val="19"/>
              </w:rPr>
            </w:pPr>
            <w:r>
              <w:rPr>
                <w:sz w:val="19"/>
              </w:rPr>
              <w:t xml:space="preserve">Implementation &amp; interoperability</w:t>
            </w:r>
          </w:p>
        </w:tc>
        <w:tc>
          <w:tcPr>
            <w:tcW w:w="1700" w:type="dxa"/>
          </w:tcPr>
          <w:p>
            <w:pPr>
              <w:spacing w:before="40" w:after="40"/>
              <w:rPr>
                <w:sz w:val="19"/>
              </w:rPr>
            </w:pPr>
            <w:r>
              <w:rPr>
                <w:sz w:val="19"/>
              </w:rPr>
              <w:t xml:space="preserve">8.9%</w:t>
            </w:r>
          </w:p>
        </w:tc>
        <w:tc>
          <w:tcPr>
            <w:tcW w:w="2100" w:type="dxa"/>
          </w:tcPr>
          <w:p>
            <w:pPr>
              <w:spacing w:before="40" w:after="40"/>
              <w:rPr>
                <w:sz w:val="19"/>
              </w:rPr>
            </w:pPr>
            <w:r>
              <w:rPr>
                <w:sz w:val="19"/>
              </w:rPr>
              <w:t xml:space="preserve">20.9%</w:t>
            </w:r>
          </w:p>
        </w:tc>
        <w:tc>
          <w:tcPr>
            <w:tcW w:w="1600" w:type="dxa"/>
          </w:tcPr>
          <w:p>
            <w:pPr>
              <w:spacing w:before="40" w:after="40"/>
              <w:rPr>
                <w:sz w:val="19"/>
              </w:rPr>
            </w:pPr>
            <w:r>
              <w:rPr>
                <w:sz w:val="19"/>
              </w:rPr>
              <w:t xml:space="preserve">×2.3</w:t>
            </w:r>
          </w:p>
        </w:tc>
      </w:tr>
      <w:tr>
        <w:tc>
          <w:tcPr>
            <w:tcW w:w="3600" w:type="dxa"/>
          </w:tcPr>
          <w:p>
            <w:pPr>
              <w:spacing w:before="40" w:after="40"/>
              <w:rPr>
                <w:sz w:val="19"/>
              </w:rPr>
            </w:pPr>
            <w:r>
              <w:rPr>
                <w:sz w:val="19"/>
              </w:rPr>
              <w:t xml:space="preserve">Structural inclusion &amp; capacity</w:t>
            </w:r>
          </w:p>
        </w:tc>
        <w:tc>
          <w:tcPr>
            <w:tcW w:w="1700" w:type="dxa"/>
          </w:tcPr>
          <w:p>
            <w:pPr>
              <w:spacing w:before="40" w:after="40"/>
              <w:rPr>
                <w:sz w:val="19"/>
              </w:rPr>
            </w:pPr>
            <w:r>
              <w:rPr>
                <w:sz w:val="19"/>
              </w:rPr>
              <w:t xml:space="preserve">11.9%</w:t>
            </w:r>
          </w:p>
        </w:tc>
        <w:tc>
          <w:tcPr>
            <w:tcW w:w="2100" w:type="dxa"/>
          </w:tcPr>
          <w:p>
            <w:pPr>
              <w:spacing w:before="40" w:after="40"/>
              <w:rPr>
                <w:sz w:val="19"/>
              </w:rPr>
            </w:pPr>
            <w:r>
              <w:rPr>
                <w:sz w:val="19"/>
              </w:rPr>
              <w:t xml:space="preserve">25.8%</w:t>
            </w:r>
          </w:p>
        </w:tc>
        <w:tc>
          <w:tcPr>
            <w:tcW w:w="1600" w:type="dxa"/>
          </w:tcPr>
          <w:p>
            <w:pPr>
              <w:spacing w:before="40" w:after="40"/>
              <w:rPr>
                <w:sz w:val="19"/>
              </w:rPr>
            </w:pPr>
            <w:r>
              <w:rPr>
                <w:sz w:val="19"/>
              </w:rPr>
              <w:t xml:space="preserve">×2.2</w:t>
            </w:r>
          </w:p>
        </w:tc>
      </w:tr>
      <w:tr>
        <w:tc>
          <w:tcPr>
            <w:tcW w:w="3600" w:type="dxa"/>
          </w:tcPr>
          <w:p>
            <w:pPr>
              <w:spacing w:before="40" w:after="40"/>
              <w:rPr>
                <w:sz w:val="19"/>
              </w:rPr>
            </w:pPr>
            <w:r>
              <w:rPr>
                <w:sz w:val="19"/>
              </w:rPr>
              <w:t xml:space="preserve">Gender &amp; labour justice</w:t>
            </w:r>
          </w:p>
        </w:tc>
        <w:tc>
          <w:tcPr>
            <w:tcW w:w="1700" w:type="dxa"/>
          </w:tcPr>
          <w:p>
            <w:pPr>
              <w:spacing w:before="40" w:after="40"/>
              <w:rPr>
                <w:sz w:val="19"/>
              </w:rPr>
            </w:pPr>
            <w:r>
              <w:rPr>
                <w:sz w:val="19"/>
              </w:rPr>
              <w:t xml:space="preserve">4.4%</w:t>
            </w:r>
          </w:p>
        </w:tc>
        <w:tc>
          <w:tcPr>
            <w:tcW w:w="2100" w:type="dxa"/>
          </w:tcPr>
          <w:p>
            <w:pPr>
              <w:spacing w:before="40" w:after="40"/>
              <w:rPr>
                <w:sz w:val="19"/>
              </w:rPr>
            </w:pPr>
            <w:r>
              <w:rPr>
                <w:sz w:val="19"/>
              </w:rPr>
              <w:t xml:space="preserve">3.4%</w:t>
            </w:r>
          </w:p>
        </w:tc>
        <w:tc>
          <w:tcPr>
            <w:tcW w:w="1600" w:type="dxa"/>
          </w:tcPr>
          <w:p>
            <w:pPr>
              <w:spacing w:before="40" w:after="40"/>
              <w:rPr>
                <w:sz w:val="19"/>
              </w:rPr>
            </w:pPr>
            <w:r>
              <w:rPr>
                <w:sz w:val="19"/>
              </w:rPr>
              <w:t xml:space="preserve">not robust</w:t>
            </w:r>
          </w:p>
        </w:tc>
      </w:tr>
      <w:tr>
        <w:tc>
          <w:tcPr>
            <w:tcW w:w="3600" w:type="dxa"/>
          </w:tcPr>
          <w:p>
            <w:pPr>
              <w:spacing w:before="40" w:after="40"/>
              <w:rPr>
                <w:sz w:val="19"/>
              </w:rPr>
            </w:pPr>
            <w:r>
              <w:rPr>
                <w:sz w:val="19"/>
              </w:rPr>
              <w:t xml:space="preserve">Grassroots inclusion &amp; youth</w:t>
            </w:r>
          </w:p>
        </w:tc>
        <w:tc>
          <w:tcPr>
            <w:tcW w:w="1700" w:type="dxa"/>
          </w:tcPr>
          <w:p>
            <w:pPr>
              <w:spacing w:before="40" w:after="40"/>
              <w:rPr>
                <w:sz w:val="19"/>
              </w:rPr>
            </w:pPr>
            <w:r>
              <w:rPr>
                <w:sz w:val="19"/>
              </w:rPr>
              <w:t xml:space="preserve">7.3%</w:t>
            </w:r>
          </w:p>
        </w:tc>
        <w:tc>
          <w:tcPr>
            <w:tcW w:w="2100" w:type="dxa"/>
          </w:tcPr>
          <w:p>
            <w:pPr>
              <w:spacing w:before="40" w:after="40"/>
              <w:rPr>
                <w:sz w:val="19"/>
              </w:rPr>
            </w:pPr>
            <w:r>
              <w:rPr>
                <w:sz w:val="19"/>
              </w:rPr>
              <w:t xml:space="preserve">2.9%</w:t>
            </w:r>
          </w:p>
        </w:tc>
        <w:tc>
          <w:tcPr>
            <w:tcW w:w="1600" w:type="dxa"/>
          </w:tcPr>
          <w:p>
            <w:pPr>
              <w:spacing w:before="40" w:after="40"/>
              <w:rPr>
                <w:sz w:val="19"/>
              </w:rPr>
            </w:pPr>
            <w:r>
              <w:rPr>
                <w:sz w:val="19"/>
              </w:rPr>
              <w:t xml:space="preserve">×0.40</w:t>
            </w:r>
          </w:p>
        </w:tc>
      </w:tr>
      <w:tr>
        <w:tc>
          <w:tcPr>
            <w:tcW w:w="3600" w:type="dxa"/>
          </w:tcPr>
          <w:p>
            <w:pPr>
              <w:spacing w:before="40" w:after="40"/>
              <w:rPr>
                <w:sz w:val="19"/>
              </w:rPr>
            </w:pPr>
            <w:r>
              <w:rPr>
                <w:sz w:val="19"/>
              </w:rPr>
              <w:t xml:space="preserve">Data rights &amp; corporate power</w:t>
            </w:r>
          </w:p>
        </w:tc>
        <w:tc>
          <w:tcPr>
            <w:tcW w:w="1700" w:type="dxa"/>
          </w:tcPr>
          <w:p>
            <w:pPr>
              <w:spacing w:before="40" w:after="40"/>
              <w:rPr>
                <w:sz w:val="19"/>
              </w:rPr>
            </w:pPr>
            <w:r>
              <w:rPr>
                <w:sz w:val="19"/>
              </w:rPr>
              <w:t xml:space="preserve">10.9%</w:t>
            </w:r>
          </w:p>
        </w:tc>
        <w:tc>
          <w:tcPr>
            <w:tcW w:w="2100" w:type="dxa"/>
          </w:tcPr>
          <w:p>
            <w:pPr>
              <w:spacing w:before="40" w:after="40"/>
              <w:rPr>
                <w:sz w:val="19"/>
              </w:rPr>
            </w:pPr>
            <w:r>
              <w:rPr>
                <w:sz w:val="19"/>
              </w:rPr>
              <w:t xml:space="preserve">3.5%</w:t>
            </w:r>
          </w:p>
        </w:tc>
        <w:tc>
          <w:tcPr>
            <w:tcW w:w="1600" w:type="dxa"/>
          </w:tcPr>
          <w:p>
            <w:pPr>
              <w:spacing w:before="40" w:after="40"/>
              <w:rPr>
                <w:sz w:val="19"/>
              </w:rPr>
            </w:pPr>
            <w:r>
              <w:rPr>
                <w:sz w:val="19"/>
              </w:rPr>
              <w:t xml:space="preserve">×0.32</w:t>
            </w:r>
          </w:p>
        </w:tc>
      </w:tr>
      <w:tr>
        <w:tc>
          <w:tcPr>
            <w:tcW w:w="3600" w:type="dxa"/>
          </w:tcPr>
          <w:p>
            <w:pPr>
              <w:spacing w:before="40" w:after="40"/>
              <w:rPr>
                <w:sz w:val="19"/>
              </w:rPr>
            </w:pPr>
            <w:r>
              <w:rPr>
                <w:sz w:val="19"/>
              </w:rPr>
              <w:t xml:space="preserve">Legal &amp; administrative accountability</w:t>
            </w:r>
          </w:p>
        </w:tc>
        <w:tc>
          <w:tcPr>
            <w:tcW w:w="1700" w:type="dxa"/>
          </w:tcPr>
          <w:p>
            <w:pPr>
              <w:spacing w:before="40" w:after="40"/>
              <w:rPr>
                <w:sz w:val="19"/>
              </w:rPr>
            </w:pPr>
            <w:r>
              <w:rPr>
                <w:sz w:val="19"/>
              </w:rPr>
              <w:t xml:space="preserve">6.1%</w:t>
            </w:r>
          </w:p>
        </w:tc>
        <w:tc>
          <w:tcPr>
            <w:tcW w:w="2100" w:type="dxa"/>
          </w:tcPr>
          <w:p>
            <w:pPr>
              <w:spacing w:before="40" w:after="40"/>
              <w:rPr>
                <w:sz w:val="19"/>
              </w:rPr>
            </w:pPr>
            <w:r>
              <w:rPr>
                <w:sz w:val="19"/>
              </w:rPr>
              <w:t xml:space="preserve">1.7%</w:t>
            </w:r>
          </w:p>
        </w:tc>
        <w:tc>
          <w:tcPr>
            <w:tcW w:w="1600" w:type="dxa"/>
          </w:tcPr>
          <w:p>
            <w:pPr>
              <w:spacing w:before="40" w:after="40"/>
              <w:rPr>
                <w:sz w:val="19"/>
              </w:rPr>
            </w:pPr>
            <w:r>
              <w:rPr>
                <w:sz w:val="19"/>
              </w:rPr>
              <w:t xml:space="preserve">×0.28</w:t>
            </w:r>
          </w:p>
        </w:tc>
      </w:tr>
      <w:tr>
        <w:tc>
          <w:tcPr>
            <w:tcW w:w="3600" w:type="dxa"/>
          </w:tcPr>
          <w:p>
            <w:pPr>
              <w:spacing w:before="40" w:after="40"/>
              <w:rPr>
                <w:sz w:val="19"/>
              </w:rPr>
            </w:pPr>
            <w:r>
              <w:rPr>
                <w:sz w:val="19"/>
              </w:rPr>
              <w:t xml:space="preserve">Frontier AI &amp; existential risk</w:t>
            </w:r>
          </w:p>
        </w:tc>
        <w:tc>
          <w:tcPr>
            <w:tcW w:w="1700" w:type="dxa"/>
          </w:tcPr>
          <w:p>
            <w:pPr>
              <w:spacing w:before="40" w:after="40"/>
              <w:rPr>
                <w:sz w:val="19"/>
              </w:rPr>
            </w:pPr>
            <w:r>
              <w:rPr>
                <w:sz w:val="19"/>
              </w:rPr>
              <w:t xml:space="preserve">4.2%</w:t>
            </w:r>
          </w:p>
        </w:tc>
        <w:tc>
          <w:tcPr>
            <w:tcW w:w="2100" w:type="dxa"/>
          </w:tcPr>
          <w:p>
            <w:pPr>
              <w:spacing w:before="40" w:after="40"/>
              <w:rPr>
                <w:sz w:val="19"/>
              </w:rPr>
            </w:pPr>
            <w:r>
              <w:rPr>
                <w:sz w:val="19"/>
              </w:rPr>
              <w:t xml:space="preserve">1.0%</w:t>
            </w:r>
          </w:p>
        </w:tc>
        <w:tc>
          <w:tcPr>
            <w:tcW w:w="1600" w:type="dxa"/>
          </w:tcPr>
          <w:p>
            <w:pPr>
              <w:spacing w:before="40" w:after="40"/>
              <w:rPr>
                <w:sz w:val="19"/>
              </w:rPr>
            </w:pPr>
            <w:r>
              <w:rPr>
                <w:sz w:val="19"/>
              </w:rPr>
              <w:t xml:space="preserve">×0.24</w:t>
            </w:r>
          </w:p>
        </w:tc>
      </w:tr>
    </w:tbl>
    <w:p>
      <w:pPr>
        <w:spacing w:after="200"/>
      </w:pPr>
      <w:r>
        <w:rPr>
          <w:i/>
        </w:rPr>
        <w:t xml:space="preserve">Share of each collection's content. The direction of change for gender is not consistent across model settings, so no size claim is made for it.</w:t>
      </w:r>
    </w:p>
    <w:tbl>
      <w:tblPr>
        <w:tblW w:w="9000" w:type="dxa"/>
        <w:tblBorders>
          <w:top w:val="single" w:sz="4" w:color="A6A6A6"/>
          <w:left w:val="none" w:sz="0" w:color="auto"/>
          <w:bottom w:val="single" w:sz="4" w:color="A6A6A6"/>
          <w:right w:val="none" w:sz="0" w:color="auto"/>
          <w:insideH w:val="single" w:sz="4" w:color="D9D9D9"/>
          <w:insideV w:val="none" w:sz="0" w:color="auto"/>
        </w:tblBorders>
        <w:tblCellMar>
          <w:top w:w="60" w:type="dxa"/>
          <w:bottom w:w="60" w:type="dxa"/>
          <w:left w:w="100" w:type="dxa"/>
          <w:right w:w="100" w:type="dxa"/>
        </w:tblCellMar>
      </w:tblPr>
      <w:tblGrid>
        <w:gridCol w:w="2300"/>
        <w:gridCol w:w="1900"/>
        <w:gridCol w:w="4800"/>
      </w:tblGrid>
      <w:tr>
        <w:trPr>
          <w:tblHeader/>
        </w:trPr>
        <w:tc>
          <w:tcPr>
            <w:tcW w:w="2300" w:type="dxa"/>
            <w:shd w:val="clear" w:color="auto" w:fill="F2F2F2"/>
          </w:tcPr>
          <w:p>
            <w:pPr>
              <w:spacing w:before="40" w:after="40"/>
              <w:rPr>
                <w:sz w:val="19"/>
              </w:rPr>
            </w:pPr>
            <w:r>
              <w:rPr>
                <w:b/>
                <w:sz w:val="19"/>
              </w:rPr>
              <w:t xml:space="preserve">Theme</w:t>
            </w:r>
          </w:p>
        </w:tc>
        <w:tc>
          <w:tcPr>
            <w:tcW w:w="1900" w:type="dxa"/>
            <w:shd w:val="clear" w:color="auto" w:fill="F2F2F2"/>
          </w:tcPr>
          <w:p>
            <w:pPr>
              <w:spacing w:before="40" w:after="40"/>
              <w:rPr>
                <w:sz w:val="19"/>
              </w:rPr>
            </w:pPr>
            <w:r>
              <w:rPr>
                <w:b/>
                <w:sz w:val="19"/>
              </w:rPr>
              <w:t xml:space="preserve">Outcome</w:t>
            </w:r>
          </w:p>
        </w:tc>
        <w:tc>
          <w:tcPr>
            <w:tcW w:w="4800" w:type="dxa"/>
            <w:shd w:val="clear" w:color="auto" w:fill="F2F2F2"/>
          </w:tcPr>
          <w:p>
            <w:pPr>
              <w:spacing w:before="40" w:after="40"/>
              <w:rPr>
                <w:sz w:val="19"/>
              </w:rPr>
            </w:pPr>
            <w:r>
              <w:rPr>
                <w:b/>
                <w:sz w:val="19"/>
              </w:rPr>
              <w:t xml:space="preserve">What happened</w:t>
            </w:r>
          </w:p>
        </w:tc>
      </w:tr>
      <w:tr>
        <w:tc>
          <w:tcPr>
            <w:tcW w:w="2300" w:type="dxa"/>
          </w:tcPr>
          <w:p>
            <w:pPr>
              <w:spacing w:before="40" w:after="40"/>
              <w:rPr>
                <w:sz w:val="19"/>
              </w:rPr>
            </w:pPr>
            <w:r>
              <w:rPr>
                <w:sz w:val="19"/>
              </w:rPr>
              <w:t xml:space="preserve">Structural inclusion</w:t>
            </w:r>
          </w:p>
        </w:tc>
        <w:tc>
          <w:tcPr>
            <w:tcW w:w="1900" w:type="dxa"/>
          </w:tcPr>
          <w:p>
            <w:pPr>
              <w:spacing w:before="40" w:after="40"/>
              <w:rPr>
                <w:sz w:val="19"/>
              </w:rPr>
            </w:pPr>
            <w:r>
              <w:rPr>
                <w:sz w:val="19"/>
              </w:rPr>
              <w:t xml:space="preserve">Amplified</w:t>
            </w:r>
          </w:p>
        </w:tc>
        <w:tc>
          <w:tcPr>
            <w:tcW w:w="4800" w:type="dxa"/>
          </w:tcPr>
          <w:p>
            <w:pPr>
              <w:spacing w:before="40" w:after="40"/>
              <w:rPr>
                <w:sz w:val="19"/>
              </w:rPr>
            </w:pPr>
            <w:r>
              <w:rPr>
                <w:sz w:val="19"/>
              </w:rPr>
              <w:t xml:space="preserve">Enlarged at every stage, but reframed: the submissions treat inclusion as a question of power (“a real voice”), the official notes as a programme of assistance, with gaps to bridge and capacity to build.</w:t>
            </w:r>
          </w:p>
        </w:tc>
      </w:tr>
      <w:tr>
        <w:tc>
          <w:tcPr>
            <w:tcW w:w="2300" w:type="dxa"/>
          </w:tcPr>
          <w:p>
            <w:pPr>
              <w:spacing w:before="40" w:after="40"/>
              <w:rPr>
                <w:sz w:val="19"/>
              </w:rPr>
            </w:pPr>
            <w:r>
              <w:rPr>
                <w:sz w:val="19"/>
              </w:rPr>
              <w:t xml:space="preserve">Environment &amp; sustainability</w:t>
            </w:r>
          </w:p>
        </w:tc>
        <w:tc>
          <w:tcPr>
            <w:tcW w:w="1900" w:type="dxa"/>
          </w:tcPr>
          <w:p>
            <w:pPr>
              <w:spacing w:before="40" w:after="40"/>
              <w:rPr>
                <w:sz w:val="19"/>
              </w:rPr>
            </w:pPr>
            <w:r>
              <w:rPr>
                <w:sz w:val="19"/>
              </w:rPr>
              <w:t xml:space="preserve">Amplified</w:t>
            </w:r>
          </w:p>
        </w:tc>
        <w:tc>
          <w:tcPr>
            <w:tcW w:w="4800" w:type="dxa"/>
          </w:tcPr>
          <w:p>
            <w:pPr>
              <w:spacing w:before="40" w:after="40"/>
              <w:rPr>
                <w:sz w:val="19"/>
              </w:rPr>
            </w:pPr>
            <w:r>
              <w:rPr>
                <w:sz w:val="19"/>
              </w:rPr>
              <w:t xml:space="preserve">The one theme both the side events and the official programme enlarge, carried by a high-level session co-organized with the French government, UNEP, ITU and UNESCO.</w:t>
            </w:r>
          </w:p>
        </w:tc>
      </w:tr>
      <w:tr>
        <w:tc>
          <w:tcPr>
            <w:tcW w:w="2300" w:type="dxa"/>
          </w:tcPr>
          <w:p>
            <w:pPr>
              <w:spacing w:before="40" w:after="40"/>
              <w:rPr>
                <w:sz w:val="19"/>
              </w:rPr>
            </w:pPr>
            <w:r>
              <w:rPr>
                <w:sz w:val="19"/>
              </w:rPr>
              <w:t xml:space="preserve">Data rights &amp; corporate power</w:t>
            </w:r>
          </w:p>
        </w:tc>
        <w:tc>
          <w:tcPr>
            <w:tcW w:w="1900" w:type="dxa"/>
          </w:tcPr>
          <w:p>
            <w:pPr>
              <w:spacing w:before="40" w:after="40"/>
              <w:rPr>
                <w:sz w:val="19"/>
              </w:rPr>
            </w:pPr>
            <w:r>
              <w:rPr>
                <w:sz w:val="19"/>
              </w:rPr>
              <w:t xml:space="preserve">Engulfed</w:t>
            </w:r>
          </w:p>
        </w:tc>
        <w:tc>
          <w:tcPr>
            <w:tcW w:w="4800" w:type="dxa"/>
          </w:tcPr>
          <w:p>
            <w:pPr>
              <w:spacing w:before="40" w:after="40"/>
              <w:rPr>
                <w:sz w:val="19"/>
              </w:rPr>
            </w:pPr>
            <w:r>
              <w:rPr>
                <w:sz w:val="19"/>
              </w:rPr>
              <w:t xml:space="preserve">The core subject of no side-event proposal. In the official notes its subject matter survives only as access gaps and open-source policy. The question of who profits and who should pay is no longer posed.</w:t>
            </w:r>
          </w:p>
        </w:tc>
      </w:tr>
      <w:tr>
        <w:tc>
          <w:tcPr>
            <w:tcW w:w="2300" w:type="dxa"/>
          </w:tcPr>
          <w:p>
            <w:pPr>
              <w:spacing w:before="40" w:after="40"/>
              <w:rPr>
                <w:sz w:val="19"/>
              </w:rPr>
            </w:pPr>
            <w:r>
              <w:rPr>
                <w:sz w:val="19"/>
              </w:rPr>
              <w:t xml:space="preserve">Legal accountability</w:t>
            </w:r>
          </w:p>
        </w:tc>
        <w:tc>
          <w:tcPr>
            <w:tcW w:w="1900" w:type="dxa"/>
          </w:tcPr>
          <w:p>
            <w:pPr>
              <w:spacing w:before="40" w:after="40"/>
              <w:rPr>
                <w:sz w:val="19"/>
              </w:rPr>
            </w:pPr>
            <w:r>
              <w:rPr>
                <w:sz w:val="19"/>
              </w:rPr>
              <w:t xml:space="preserve">Diluted</w:t>
            </w:r>
          </w:p>
        </w:tc>
        <w:tc>
          <w:tcPr>
            <w:tcW w:w="4800" w:type="dxa"/>
          </w:tcPr>
          <w:p>
            <w:pPr>
              <w:spacing w:before="40" w:after="40"/>
              <w:rPr>
                <w:sz w:val="19"/>
              </w:rPr>
            </w:pPr>
            <w:r>
              <w:rPr>
                <w:sz w:val="19"/>
              </w:rPr>
              <w:t xml:space="preserve">Carried upward by the side events, where governments were among its advocates, then softened into due-diligence instruments, with much of the discussion routed through child protection. Binding rules drop out.</w:t>
            </w:r>
          </w:p>
        </w:tc>
      </w:tr>
      <w:tr>
        <w:tc>
          <w:tcPr>
            <w:tcW w:w="2300" w:type="dxa"/>
          </w:tcPr>
          <w:p>
            <w:pPr>
              <w:spacing w:before="40" w:after="40"/>
              <w:rPr>
                <w:sz w:val="19"/>
              </w:rPr>
            </w:pPr>
            <w:r>
              <w:rPr>
                <w:sz w:val="19"/>
              </w:rPr>
              <w:t xml:space="preserve">Frontier AI risk</w:t>
            </w:r>
          </w:p>
        </w:tc>
        <w:tc>
          <w:tcPr>
            <w:tcW w:w="1900" w:type="dxa"/>
          </w:tcPr>
          <w:p>
            <w:pPr>
              <w:spacing w:before="40" w:after="40"/>
              <w:rPr>
                <w:sz w:val="19"/>
              </w:rPr>
            </w:pPr>
            <w:r>
              <w:rPr>
                <w:sz w:val="19"/>
              </w:rPr>
              <w:t xml:space="preserve">Diluted; its demand excluded</w:t>
            </w:r>
          </w:p>
        </w:tc>
        <w:tc>
          <w:tcPr>
            <w:tcW w:w="4800" w:type="dxa"/>
          </w:tcPr>
          <w:p>
            <w:pPr>
              <w:spacing w:before="40" w:after="40"/>
              <w:rPr>
                <w:sz w:val="19"/>
              </w:rPr>
            </w:pPr>
            <w:r>
              <w:rPr>
                <w:sz w:val="19"/>
              </w:rPr>
              <w:t xml:space="preserve">The side events replaced moratorium activists with safety institutes; the official notes kept the adjectives and attached them to a session on interoperability. The strand calling for a halt registers 0.0%.</w:t>
            </w:r>
          </w:p>
        </w:tc>
      </w:tr>
      <w:tr>
        <w:tc>
          <w:tcPr>
            <w:tcW w:w="2300" w:type="dxa"/>
          </w:tcPr>
          <w:p>
            <w:pPr>
              <w:spacing w:before="40" w:after="40"/>
              <w:rPr>
                <w:sz w:val="19"/>
              </w:rPr>
            </w:pPr>
            <w:r>
              <w:rPr>
                <w:sz w:val="19"/>
              </w:rPr>
              <w:t xml:space="preserve">Grassroots inclusion &amp; youth</w:t>
            </w:r>
          </w:p>
        </w:tc>
        <w:tc>
          <w:tcPr>
            <w:tcW w:w="1900" w:type="dxa"/>
          </w:tcPr>
          <w:p>
            <w:pPr>
              <w:spacing w:before="40" w:after="40"/>
              <w:rPr>
                <w:sz w:val="19"/>
              </w:rPr>
            </w:pPr>
            <w:r>
              <w:rPr>
                <w:sz w:val="19"/>
              </w:rPr>
              <w:t xml:space="preserve">Diluted</w:t>
            </w:r>
          </w:p>
        </w:tc>
        <w:tc>
          <w:tcPr>
            <w:tcW w:w="4800" w:type="dxa"/>
          </w:tcPr>
          <w:p>
            <w:pPr>
              <w:spacing w:before="40" w:after="40"/>
              <w:rPr>
                <w:sz w:val="19"/>
              </w:rPr>
            </w:pPr>
            <w:r>
              <w:rPr>
                <w:sz w:val="19"/>
              </w:rPr>
              <w:t xml:space="preserve">From participation to protection. Youth-led side events preserved the participatory framing; the official programme treats young people as subjects of protection and targets of capacity-building.</w:t>
            </w:r>
          </w:p>
        </w:tc>
      </w:tr>
      <w:tr>
        <w:tc>
          <w:tcPr>
            <w:tcW w:w="2300" w:type="dxa"/>
          </w:tcPr>
          <w:p>
            <w:pPr>
              <w:spacing w:before="40" w:after="40"/>
              <w:rPr>
                <w:sz w:val="19"/>
              </w:rPr>
            </w:pPr>
            <w:r>
              <w:rPr>
                <w:sz w:val="19"/>
              </w:rPr>
              <w:t xml:space="preserve">Gender &amp; labour justice</w:t>
            </w:r>
          </w:p>
        </w:tc>
        <w:tc>
          <w:tcPr>
            <w:tcW w:w="1900" w:type="dxa"/>
          </w:tcPr>
          <w:p>
            <w:pPr>
              <w:spacing w:before="40" w:after="40"/>
              <w:rPr>
                <w:sz w:val="19"/>
              </w:rPr>
            </w:pPr>
            <w:r>
              <w:rPr>
                <w:sz w:val="19"/>
              </w:rPr>
              <w:t xml:space="preserve">Reframed</w:t>
            </w:r>
          </w:p>
        </w:tc>
        <w:tc>
          <w:tcPr>
            <w:tcW w:w="4800" w:type="dxa"/>
          </w:tcPr>
          <w:p>
            <w:pPr>
              <w:spacing w:before="40" w:after="40"/>
              <w:rPr>
                <w:sz w:val="19"/>
              </w:rPr>
            </w:pPr>
            <w:r>
              <w:rPr>
                <w:sz w:val="19"/>
              </w:rPr>
              <w:t xml:space="preserve">Volume roughly unchanged and not robust across settings, so no size claim is made. What changes is kind: a structural analysis of power becomes a listing of vulnerable groups.</w:t>
            </w:r>
          </w:p>
        </w:tc>
      </w:tr>
    </w:tbl>
    <w:p>
      <w:pPr>
        <w:spacing w:after="120"/>
      </w:pPr>
      <w:r>
        <w:t xml:space="preserve"/>
      </w:r>
    </w:p>
    <w:p>
      <w:pPr>
        <w:spacing w:after="140"/>
      </w:pPr>
      <w:r>
        <w:t xml:space="preserve">In summary: the theme that asks for participation was enlarged at every stage, while the themes that ask for constraints on corporations, governments or AI developers were reduced, softened, or absorbed into other agendas. The strongest filtering occurred not at the side events but in the secretariat's own framing documents.</w:t>
      </w:r>
    </w:p>
    <w:p>
      <w:pPr>
        <w:pStyle w:val="Heading2"/>
        <w:keepNext/>
        <w:spacing w:after="110"/>
      </w:pPr>
      <w:r>
        <w:t xml:space="preserve">6.6  Correction to version 1</w:t>
      </w:r>
    </w:p>
    <w:p>
      <w:pPr>
        <w:spacing w:after="140"/>
      </w:pPr>
      <w:r>
        <w:t xml:space="preserve">Version 1 of this document reported the environmental and biodiversity theme as a case of silence — “no cluster existed” — and presented two organizations' pre-event prediction, that there was “not even an option to select ecological impacts of AI,” as confirmed correct by the actual agenda.</w:t>
      </w:r>
    </w:p>
    <w:p>
      <w:pPr>
        <w:spacing w:after="140"/>
      </w:pPr>
      <w:r>
        <w:rPr>
          <w:b/>
        </w:rPr>
        <w:t xml:space="preserve">That classification is withdrawn. </w:t>
      </w:r>
      <w:r>
        <w:t xml:space="preserve">The theme accounts for 11.1% of the official programme, embedded as one of Cluster 1's five lenses, and it is the single theme that grows across both institutional collections, from 4.5% of the submissions to 11.4% of the side-event proposals and 11.1% of the official notes. It is amplified, not silent.</w:t>
      </w:r>
    </w:p>
    <w:p>
      <w:pPr>
        <w:spacing w:after="140"/>
      </w:pPr>
      <w:r>
        <w:t xml:space="preserve">The v1 reading mistook the absence of a dedicated cluster for the absence of the theme — precisely the error the four-outcome scale in section 4.3 exists to prevent. It is worth being clear about what the corrected finding does and does not say. It does not say the organizations concerned were wrong to expect exclusion; it says the theme grew where it acquired state and inter-governmental sponsors, which is a claim about the price of admission rather than about institutional responsiveness.</w:t>
      </w:r>
    </w:p>
    <w:p>
      <w:pPr>
        <w:pStyle w:val="Heading1"/>
        <w:keepNext/>
        <w:spacing w:after="140"/>
      </w:pPr>
      <w:r>
        <w:t xml:space="preserve">7. Open Corrections</w:t>
      </w:r>
    </w:p>
    <w:p>
      <w:pPr>
        <w:spacing w:after="140"/>
      </w:pPr>
      <w:r>
        <w:t xml:space="preserve">These block publication of the pilot in any form and are listed here rather than in the limitations, because each is a defect to be fixed rather than a boundary to be respected.</w:t>
      </w:r>
    </w:p>
    <w:p>
      <w:pPr>
        <w:ind w:left="420" w:hanging="420"/>
        <w:spacing w:after="90"/>
      </w:pPr>
      <w:r>
        <w:rPr>
          <w:b/>
        </w:rPr>
        <w:t xml:space="preserve">1.  </w:t>
      </w:r>
      <w:r>
        <w:rPr>
          <w:b/>
        </w:rPr>
        <w:t xml:space="preserve">The corpus counts do not reconcile. </w:t>
      </w:r>
      <w:r>
        <w:t xml:space="preserve">The published data files hold 400 submissions and 56 proposals, with no empty rows and no duplicate identifiers; the analysis reports 379 and 55. The stated derivation — 400 minus 20 non-English — gives 380, not 379. The likely cause is documents silently dropped when the vocabulary is pruned. Until this is resolved, the claim that the corpus is not a sample but every published English-language submission cannot be made.</w:t>
      </w:r>
    </w:p>
    <w:p>
      <w:pPr>
        <w:ind w:left="420" w:hanging="420"/>
        <w:spacing w:after="90"/>
      </w:pPr>
      <w:r>
        <w:rPr>
          <w:b/>
        </w:rPr>
        <w:t xml:space="preserve">2.  </w:t>
      </w:r>
      <w:r>
        <w:rPr>
          <w:b/>
        </w:rPr>
        <w:t xml:space="preserve">The institutional-style control has not been run. </w:t>
      </w:r>
      <w:r>
        <w:t xml:space="preserve">Check 5 of the robustness protocol. Until it is, the amplification findings remain open to the objection that they measure how the institution writes rather than what it heard.</w:t>
      </w:r>
    </w:p>
    <w:p>
      <w:pPr>
        <w:ind w:left="420" w:hanging="420"/>
        <w:spacing w:after="90"/>
      </w:pPr>
      <w:r>
        <w:rPr>
          <w:b/>
        </w:rPr>
        <w:t xml:space="preserve">3.  </w:t>
      </w:r>
      <w:r>
        <w:rPr>
          <w:b/>
        </w:rPr>
        <w:t xml:space="preserve">Document weighting is unstated. </w:t>
      </w:r>
      <w:r>
        <w:t xml:space="preserve">The seven official notes range from roughly 1,700 to 8,400 characters. Whether a collection's share is a plain mean of document shares or one weighted by length changes the headline figures at this number of documents. Both should be reported.</w:t>
      </w:r>
    </w:p>
    <w:p>
      <w:pPr>
        <w:ind w:left="420" w:hanging="420"/>
        <w:spacing w:after="90"/>
      </w:pPr>
      <w:r>
        <w:rPr>
          <w:b/>
        </w:rPr>
        <w:t xml:space="preserve">4.  </w:t>
      </w:r>
      <w:r>
        <w:rPr>
          <w:b/>
        </w:rPr>
        <w:t xml:space="preserve">The rebuild without stemming is oversold. </w:t>
      </w:r>
      <w:r>
        <w:t xml:space="preserve">Two of the six themes did not reappear with recognizable vocabulary, so the set as a whole should not be described as robust to text-cleaning choices. One of the two is informative rather than fatal: legal accountability resolved into a Latin American and African vocabulary, consistent with the side events, where the argument was carried by Costa Rica's science ministry with ECLAC and by African policy institutes. That is a lead about who carries the demand, and should be pursued rather than reported as noise.</w:t>
      </w:r>
    </w:p>
    <w:p>
      <w:pPr>
        <w:ind w:left="420" w:hanging="420"/>
        <w:spacing w:after="90"/>
      </w:pPr>
      <w:r>
        <w:rPr>
          <w:b/>
        </w:rPr>
        <w:t xml:space="preserve">5.  </w:t>
      </w:r>
      <w:r>
        <w:rPr>
          <w:b/>
        </w:rPr>
        <w:t xml:space="preserve">Interpretive coding is single-reader. </w:t>
      </w:r>
      <w:r>
        <w:t xml:space="preserve">Naming the themes and classifying their outcomes were done by one person. Written decision rules, a second reader applying them, and the agreement between the two reported, are the standard next step.</w:t>
      </w:r>
    </w:p>
    <w:p>
      <w:pPr>
        <w:pStyle w:val="Heading1"/>
        <w:keepNext/>
        <w:spacing w:after="140"/>
      </w:pPr>
      <w:r>
        <w:t xml:space="preserve">8. Reproducing the Analysis</w:t>
      </w:r>
    </w:p>
    <w:p>
      <w:pPr>
        <w:spacing w:after="140"/>
      </w:pPr>
      <w:r>
        <w:t xml:space="preserve">The Voice phase is packaged as a parameterized R function, tested for reproducibility against the pilot corpora: identical topic prevalence and characteristic-word output on repeat runs with the same seed. Requirements: R (tested on 4.6.0) with stm, quanteda, quanteda.textstats, dplyr, readr, tidyr, stringr, LDAvis and cld2. Each collection is a single CSV file, one row per document, with an identifier column and one or more text columns.</w:t>
      </w:r>
    </w:p>
    <w:p>
      <w:pPr>
        <w:spacing w:after="0"/>
        <w:ind w:left="280"/>
        <w:rPr>
          <w:rFonts w:ascii="Consolas" w:hAnsi="Consolas"/>
          <w:sz w:val="18"/>
        </w:rPr>
      </w:pPr>
      <w:r>
        <w:rPr>
          <w:rFonts w:ascii="Consolas" w:hAnsi="Consolas"/>
          <w:sz w:val="18"/>
          <w:color w:val="333333"/>
        </w:rPr>
        <w:t xml:space="preserve">source("R/voice.R")</w:t>
      </w:r>
    </w:p>
    <w:p>
      <w:pPr>
        <w:spacing w:after="0"/>
        <w:ind w:left="280"/>
        <w:rPr>
          <w:rFonts w:ascii="Consolas" w:hAnsi="Consolas"/>
          <w:sz w:val="18"/>
        </w:rPr>
      </w:pPr>
      <w:r>
        <w:rPr>
          <w:rFonts w:ascii="Consolas" w:hAnsi="Consolas"/>
          <w:sz w:val="18"/>
          <w:color w:val="333333"/>
        </w:rPr>
        <w:t xml:space="preserve"/>
      </w:r>
    </w:p>
    <w:p>
      <w:pPr>
        <w:spacing w:after="0"/>
        <w:ind w:left="280"/>
        <w:rPr>
          <w:rFonts w:ascii="Consolas" w:hAnsi="Consolas"/>
          <w:sz w:val="18"/>
        </w:rPr>
      </w:pPr>
      <w:r>
        <w:rPr>
          <w:rFonts w:ascii="Consolas" w:hAnsi="Consolas"/>
          <w:sz w:val="18"/>
          <w:color w:val="333333"/>
        </w:rPr>
        <w:t xml:space="preserve">result &lt;- run_echo_voice(</w:t>
      </w:r>
    </w:p>
    <w:p>
      <w:pPr>
        <w:spacing w:after="0"/>
        <w:ind w:left="280"/>
        <w:rPr>
          <w:rFonts w:ascii="Consolas" w:hAnsi="Consolas"/>
          <w:sz w:val="18"/>
        </w:rPr>
      </w:pPr>
      <w:r>
        <w:rPr>
          <w:rFonts w:ascii="Consolas" w:hAnsi="Consolas"/>
          <w:sz w:val="18"/>
          <w:color w:val="333333"/>
        </w:rPr>
        <w:t xml:space="preserve">  csv_path             = "submissions.csv",</w:t>
      </w:r>
    </w:p>
    <w:p>
      <w:pPr>
        <w:spacing w:after="0"/>
        <w:ind w:left="280"/>
        <w:rPr>
          <w:rFonts w:ascii="Consolas" w:hAnsi="Consolas"/>
          <w:sz w:val="18"/>
        </w:rPr>
      </w:pPr>
      <w:r>
        <w:rPr>
          <w:rFonts w:ascii="Consolas" w:hAnsi="Consolas"/>
          <w:sz w:val="18"/>
          <w:color w:val="333333"/>
        </w:rPr>
        <w:t xml:space="preserve">  text_cols            = c("q1", "q2", "q3"),   # concatenated per Step 2.0</w:t>
      </w:r>
    </w:p>
    <w:p>
      <w:pPr>
        <w:spacing w:after="0"/>
        <w:ind w:left="280"/>
        <w:rPr>
          <w:rFonts w:ascii="Consolas" w:hAnsi="Consolas"/>
          <w:sz w:val="18"/>
        </w:rPr>
      </w:pPr>
      <w:r>
        <w:rPr>
          <w:rFonts w:ascii="Consolas" w:hAnsi="Consolas"/>
          <w:sz w:val="18"/>
          <w:color w:val="333333"/>
        </w:rPr>
        <w:t xml:space="preserve">  id_col               = "ID",</w:t>
      </w:r>
    </w:p>
    <w:p>
      <w:pPr>
        <w:spacing w:after="0"/>
        <w:ind w:left="280"/>
        <w:rPr>
          <w:rFonts w:ascii="Consolas" w:hAnsi="Consolas"/>
          <w:sz w:val="18"/>
        </w:rPr>
      </w:pPr>
      <w:r>
        <w:rPr>
          <w:rFonts w:ascii="Consolas" w:hAnsi="Consolas"/>
          <w:sz w:val="18"/>
          <w:color w:val="333333"/>
        </w:rPr>
        <w:t xml:space="preserve">  meta_cols            = c("Organization", "Region"),</w:t>
      </w:r>
    </w:p>
    <w:p>
      <w:pPr>
        <w:spacing w:after="0"/>
        <w:ind w:left="280"/>
        <w:rPr>
          <w:rFonts w:ascii="Consolas" w:hAnsi="Consolas"/>
          <w:sz w:val="18"/>
        </w:rPr>
      </w:pPr>
      <w:r>
        <w:rPr>
          <w:rFonts w:ascii="Consolas" w:hAnsi="Consolas"/>
          <w:sz w:val="18"/>
          <w:color w:val="333333"/>
        </w:rPr>
        <w:t xml:space="preserve">  k_candidates         = c(10, 15, 20, 25),     # scale to corpus size</w:t>
      </w:r>
    </w:p>
    <w:p>
      <w:pPr>
        <w:spacing w:after="0"/>
        <w:ind w:left="280"/>
        <w:rPr>
          <w:rFonts w:ascii="Consolas" w:hAnsi="Consolas"/>
          <w:sz w:val="18"/>
        </w:rPr>
      </w:pPr>
      <w:r>
        <w:rPr>
          <w:rFonts w:ascii="Consolas" w:hAnsi="Consolas"/>
          <w:sz w:val="18"/>
          <w:color w:val="333333"/>
        </w:rPr>
        <w:t xml:space="preserve">  prevalence_covariate = "Region",</w:t>
      </w:r>
    </w:p>
    <w:p>
      <w:pPr>
        <w:spacing w:after="0"/>
        <w:ind w:left="280"/>
        <w:rPr>
          <w:rFonts w:ascii="Consolas" w:hAnsi="Consolas"/>
          <w:sz w:val="18"/>
        </w:rPr>
      </w:pPr>
      <w:r>
        <w:rPr>
          <w:rFonts w:ascii="Consolas" w:hAnsi="Consolas"/>
          <w:sz w:val="18"/>
          <w:color w:val="333333"/>
        </w:rPr>
        <w:t xml:space="preserve">  output_dir           = "voice_output",</w:t>
      </w:r>
    </w:p>
    <w:p>
      <w:pPr>
        <w:spacing w:after="0"/>
        <w:ind w:left="280"/>
        <w:rPr>
          <w:rFonts w:ascii="Consolas" w:hAnsi="Consolas"/>
          <w:sz w:val="18"/>
        </w:rPr>
      </w:pPr>
      <w:r>
        <w:rPr>
          <w:rFonts w:ascii="Consolas" w:hAnsi="Consolas"/>
          <w:sz w:val="18"/>
          <w:color w:val="333333"/>
        </w:rPr>
        <w:t xml:space="preserve">  seed                 = 1234</w:t>
      </w:r>
    </w:p>
    <w:p>
      <w:pPr>
        <w:spacing w:after="0"/>
        <w:ind w:left="280"/>
        <w:rPr>
          <w:rFonts w:ascii="Consolas" w:hAnsi="Consolas"/>
          <w:sz w:val="18"/>
        </w:rPr>
      </w:pPr>
      <w:r>
        <w:rPr>
          <w:rFonts w:ascii="Consolas" w:hAnsi="Consolas"/>
          <w:sz w:val="18"/>
          <w:color w:val="333333"/>
        </w:rPr>
        <w:t xml:space="preserve">)</w:t>
      </w:r>
    </w:p>
    <w:p>
      <w:pPr>
        <w:spacing w:after="0"/>
        <w:ind w:left="280"/>
        <w:rPr>
          <w:rFonts w:ascii="Consolas" w:hAnsi="Consolas"/>
          <w:sz w:val="18"/>
        </w:rPr>
      </w:pPr>
      <w:r>
        <w:rPr>
          <w:rFonts w:ascii="Consolas" w:hAnsi="Consolas"/>
          <w:sz w:val="18"/>
          <w:color w:val="333333"/>
        </w:rPr>
        <w:t xml:space="preserve"/>
      </w:r>
    </w:p>
    <w:p>
      <w:pPr>
        <w:spacing w:after="0"/>
        <w:ind w:left="280"/>
        <w:rPr>
          <w:rFonts w:ascii="Consolas" w:hAnsi="Consolas"/>
          <w:sz w:val="18"/>
        </w:rPr>
      </w:pPr>
      <w:r>
        <w:rPr>
          <w:rFonts w:ascii="Consolas" w:hAnsi="Consolas"/>
          <w:sz w:val="18"/>
          <w:color w:val="333333"/>
        </w:rPr>
        <w:t xml:space="preserve"># Read the topic labels for each candidate, apply the two failure signs,</w:t>
      </w:r>
    </w:p>
    <w:p>
      <w:pPr>
        <w:spacing w:after="0"/>
        <w:ind w:left="280"/>
        <w:rPr>
          <w:rFonts w:ascii="Consolas" w:hAnsi="Consolas"/>
          <w:sz w:val="18"/>
        </w:rPr>
      </w:pPr>
      <w:r>
        <w:rPr>
          <w:rFonts w:ascii="Consolas" w:hAnsi="Consolas"/>
          <w:sz w:val="18"/>
          <w:color w:val="333333"/>
        </w:rPr>
        <w:t xml:space="preserve"># corroborate against held-out likelihood, then fix K:</w:t>
      </w:r>
    </w:p>
    <w:p>
      <w:pPr>
        <w:spacing w:after="0"/>
        <w:ind w:left="280"/>
        <w:rPr>
          <w:rFonts w:ascii="Consolas" w:hAnsi="Consolas"/>
          <w:sz w:val="18"/>
        </w:rPr>
      </w:pPr>
      <w:r>
        <w:rPr>
          <w:rFonts w:ascii="Consolas" w:hAnsi="Consolas"/>
          <w:sz w:val="18"/>
          <w:color w:val="333333"/>
        </w:rPr>
        <w:t xml:space="preserve">final &lt;- finalize_topic_model(result, k = 20)</w:t>
      </w:r>
    </w:p>
    <w:p>
      <w:pPr>
        <w:spacing w:after="0"/>
        <w:ind w:left="280"/>
        <w:rPr>
          <w:rFonts w:ascii="Consolas" w:hAnsi="Consolas"/>
          <w:sz w:val="18"/>
        </w:rPr>
      </w:pPr>
      <w:r>
        <w:rPr>
          <w:rFonts w:ascii="Consolas" w:hAnsi="Consolas"/>
          <w:sz w:val="18"/>
          <w:color w:val="333333"/>
        </w:rPr>
        <w:t xml:space="preserve">final$topic_table</w:t>
      </w:r>
    </w:p>
    <w:p>
      <w:pPr>
        <w:spacing w:after="140"/>
      </w:pPr>
      <w:r>
        <w:t xml:space="preserve"/>
      </w:r>
    </w:p>
    <w:p>
      <w:pPr>
        <w:spacing w:after="140"/>
      </w:pPr>
      <w:r>
        <w:t xml:space="preserve">Phase 3 then aligns each institutional collection to the fitted vocabulary, scores it against the frozen model, and reports vocabulary coverage per collection. The outcome classification is read off the shares together with the close reading; it is not produced by the code, and should not be. For the Signal phase, compile the participation checkpoint log described in section 4.1 from the process's own registration and submission records.</w:t>
      </w:r>
    </w:p>
    <w:p>
      <w:pPr>
        <w:pStyle w:val="Heading1"/>
        <w:keepNext/>
        <w:spacing w:after="140"/>
      </w:pPr>
      <w:r>
        <w:t xml:space="preserve">9. Known Limitations</w:t>
      </w:r>
    </w:p>
    <w:p>
      <w:pPr>
        <w:ind w:left="420" w:hanging="420"/>
        <w:spacing w:after="90"/>
      </w:pPr>
      <w:r>
        <w:t xml:space="preserve">•  </w:t>
      </w:r>
      <w:r>
        <w:rPr>
          <w:b/>
        </w:rPr>
        <w:t xml:space="preserve">Self-selection. </w:t>
      </w:r>
      <w:r>
        <w:t xml:space="preserve">The submissions are not a sample but a census of what was published; the real limit is that only organizations that knew about the consultation and had the capacity to respond appear at all. The corpus represents civil society as it reached the institution, not civil society.</w:t>
      </w:r>
    </w:p>
    <w:p>
      <w:pPr>
        <w:ind w:left="420" w:hanging="420"/>
        <w:spacing w:after="90"/>
      </w:pPr>
      <w:r>
        <w:t xml:space="preserve">•  </w:t>
      </w:r>
      <w:r>
        <w:rPr>
          <w:b/>
        </w:rPr>
        <w:t xml:space="preserve">Institutional prose, not proceedings. </w:t>
      </w:r>
      <w:r>
        <w:t xml:space="preserve">The session notes describe how the agenda is framed, not what is said in the rooms.</w:t>
      </w:r>
    </w:p>
    <w:p>
      <w:pPr>
        <w:ind w:left="420" w:hanging="420"/>
        <w:spacing w:after="90"/>
      </w:pPr>
      <w:r>
        <w:t xml:space="preserve">•  </w:t>
      </w:r>
      <w:r>
        <w:rPr>
          <w:b/>
        </w:rPr>
        <w:t xml:space="preserve">Proposals are offers, not selections. </w:t>
      </w:r>
      <w:r>
        <w:t xml:space="preserve">The side-event concept notes show what was pitched, not what the institution accepted.</w:t>
      </w:r>
    </w:p>
    <w:p>
      <w:pPr>
        <w:ind w:left="420" w:hanging="420"/>
        <w:spacing w:after="90"/>
      </w:pPr>
      <w:r>
        <w:t xml:space="preserve">•  </w:t>
      </w:r>
      <w:r>
        <w:rPr>
          <w:b/>
        </w:rPr>
        <w:t xml:space="preserve">The instrument is bounded by its source. </w:t>
      </w:r>
      <w:r>
        <w:t xml:space="preserve">It can only detect themes civil society raised. The independent-model check bounds this limitation; it does not remove it.</w:t>
      </w:r>
    </w:p>
    <w:p>
      <w:pPr>
        <w:ind w:left="420" w:hanging="420"/>
        <w:spacing w:after="90"/>
      </w:pPr>
      <w:r>
        <w:t xml:space="preserve">•  </w:t>
      </w:r>
      <w:r>
        <w:rPr>
          <w:b/>
        </w:rPr>
        <w:t xml:space="preserve">Shares are of text, not counts of organizations. </w:t>
      </w:r>
      <w:r>
        <w:t xml:space="preserve">A theme at 11.9% accounts for that share of what was written, not the proportion of organizations that mentioned it.</w:t>
      </w:r>
    </w:p>
    <w:p>
      <w:pPr>
        <w:ind w:left="420" w:hanging="420"/>
        <w:spacing w:after="90"/>
      </w:pPr>
      <w:r>
        <w:t xml:space="preserve">•  </w:t>
      </w:r>
      <w:r>
        <w:rPr>
          <w:b/>
        </w:rPr>
        <w:t xml:space="preserve">Small institutional collections. </w:t>
      </w:r>
      <w:r>
        <w:t xml:space="preserve">With seven documents, the programme's percentages are descriptions rather than statistical estimates, and no confidence interval should be attached to them.</w:t>
      </w:r>
    </w:p>
    <w:p>
      <w:pPr>
        <w:ind w:left="420" w:hanging="420"/>
        <w:spacing w:after="90"/>
      </w:pPr>
      <w:r>
        <w:t xml:space="preserve">•  </w:t>
      </w:r>
      <w:r>
        <w:rPr>
          <w:b/>
        </w:rPr>
        <w:t xml:space="preserve">Heuristics calibrated on two corpora. </w:t>
      </w:r>
      <w:r>
        <w:t xml:space="preserve">The 0.85 near-duplicate threshold and the 6–20 documents-per-topic guidance were validated on corpora of 379 and 55 documents; recalibrate before applying them to substantially different sizes or genres.</w:t>
      </w:r>
    </w:p>
    <w:p>
      <w:pPr>
        <w:ind w:left="420" w:hanging="420"/>
        <w:spacing w:after="90"/>
      </w:pPr>
      <w:r>
        <w:t xml:space="preserve">•  </w:t>
      </w:r>
      <w:r>
        <w:rPr>
          <w:b/>
        </w:rPr>
        <w:t xml:space="preserve">Correspondence, not causation. </w:t>
      </w:r>
      <w:r>
        <w:t xml:space="preserve">Restated because it is the limitation most easily lost in summary: the method establishes that a theme is or is not present in what the institution wrote. Attributing that presence to civil society's input requires the Signal phase and process tracing.</w:t>
      </w:r>
    </w:p>
    <w:sectPr>
      <w:pgSz w:w="11906" w:h="16838"/>
      <w:pgMar w:top="1440" w:right="1440" w:bottom="1440" w:left="1440" w:header="708" w:footer="708" w:gutter="0"/>
    </w:sectPr>
  </w:body>
</w:document>
</file>

<file path=word/styles.xml><?xml version="1.0" encoding="utf-8"?>
<w:styles xmlns:w="http://schemas.openxmlformats.org/wordprocessingml/2006/main">
  <w:docDefaults>
    <w:rPrDefault>
      <w:rPr>
        <w:rFonts w:ascii="Calibri" w:hAnsi="Calibri" w:cs="Calibri"/>
        <w:sz w:val="21"/>
        <w:szCs w:val="21"/>
      </w:rPr>
    </w:rPrDefault>
    <w:pPrDefault>
      <w:pPr>
        <w:spacing w:after="140" w:line="276" w:lineRule="auto"/>
        <w:jc w:val="both"/>
      </w:pPr>
    </w:pPrDefault>
  </w:docDefaults>
  <w:style w:type="paragraph" w:default="1" w:styleId="Normal">
    <w:name w:val="Normal"/>
    <w:qFormat/>
  </w:style>
  <w:style w:type="paragraph" w:styleId="Title">
    <w:name w:val="Title"/>
    <w:basedOn w:val="Normal"/>
    <w:qFormat/>
    <w:pPr>
      <w:spacing w:before="0" w:after="60"/>
    </w:pPr>
    <w:rPr>
      <w:rFonts w:ascii="Cambria" w:hAnsi="Cambria"/>
      <w:b/>
      <w:color w:val="1A1A1A"/>
      <w:sz w:val="56"/>
    </w:rPr>
  </w:style>
  <w:style w:type="paragraph" w:styleId="Subtitle">
    <w:name w:val="Subtitle"/>
    <w:basedOn w:val="Normal"/>
    <w:qFormat/>
    <w:pPr>
      <w:spacing w:before="0" w:after="100"/>
    </w:pPr>
    <w:rPr>
      <w:rFonts w:ascii="Cambria" w:hAnsi="Cambria"/>
      <w:color w:val="404040"/>
      <w:sz w:val="26"/>
    </w:rPr>
  </w:style>
  <w:style w:type="paragraph" w:styleId="Heading1">
    <w:name w:val="heading 1"/>
    <w:basedOn w:val="Normal"/>
    <w:qFormat/>
    <w:pPr>
      <w:spacing w:before="320" w:after="140"/>
      <w:outlineLvl w:val="0"/>
    </w:pPr>
    <w:rPr>
      <w:rFonts w:ascii="Cambria" w:hAnsi="Cambria"/>
      <w:b/>
      <w:color w:val="1A1A1A"/>
      <w:sz w:val="30"/>
    </w:rPr>
  </w:style>
  <w:style w:type="paragraph" w:styleId="Heading2">
    <w:name w:val="heading 2"/>
    <w:basedOn w:val="Normal"/>
    <w:qFormat/>
    <w:pPr>
      <w:spacing w:before="240" w:after="110"/>
      <w:outlineLvl w:val="1"/>
    </w:pPr>
    <w:rPr>
      <w:rFonts w:ascii="Cambria" w:hAnsi="Cambria"/>
      <w:b/>
      <w:color w:val="262626"/>
      <w:sz w:val="24"/>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

<file path=docProps/core.xml><?xml version="1.0" encoding="utf-8"?>
<cp:coreProperties xmlns:cp="http://schemas.openxmlformats.org/package/2006/metadata/core-properties" xmlns:dc="http://purl.org/dc/elements/1.1/" xmlns:dcterms="http://purl.org/dc/terms/" xmlns:xsi="http://www.w3.org/2001/XMLSchema-instance">
  <dc:title>Echo Audit — Methodology (Protocol v2)</dc:title>
  <dc:creator>Pedro Maia</dc:creator>
  <cp:revision>2</cp:revision>
  <dcterms:created xsi:type="dcterms:W3CDTF">2026-09-04T00:00:00Z</dcterms:created>
</cp:coreProperties>
</file>