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0"/>
        <w:jc w:val="center"/>
      </w:pPr>
      <w:r>
        <w:rPr>
          <w:b/>
          <w:color w:val="2A78D6"/>
          <w:sz w:val="72"/>
        </w:rPr>
        <w:t>Echo Audit</w:t>
      </w:r>
    </w:p>
    <w:p>
      <w:pPr>
        <w:spacing w:after="800"/>
        <w:jc w:val="center"/>
      </w:pPr>
      <w:r>
        <w:rPr>
          <w:color w:val="52514E"/>
          <w:sz w:val="30"/>
        </w:rPr>
        <w:t>A Methodology for Measuring Whether Civil Society Input</w:t>
        <w:br/>
        <w:t>Shapes Multilateral AI Governance Outcomes</w:t>
      </w:r>
    </w:p>
    <w:p>
      <w:pPr>
        <w:jc w:val="center"/>
      </w:pPr>
      <w:r>
        <w:rPr>
          <w:i/>
          <w:color w:val="52514E"/>
          <w:sz w:val="22"/>
        </w:rPr>
        <w:t>Protocol v1 · Pilot application: the Global Dialogue on AI Governance, Geneva, 6–7 July 2026</w:t>
      </w:r>
    </w:p>
    <w:p>
      <w:r>
        <w:br w:type="page"/>
      </w:r>
    </w:p>
    <w:p>
      <w:pPr>
        <w:pStyle w:val="Heading1"/>
      </w:pPr>
      <w:r>
        <w:t>Executive Summary</w:t>
      </w:r>
    </w:p>
    <w:p>
      <w:pPr>
        <w:spacing w:after="160"/>
      </w:pPr>
      <w:r>
        <w:rPr>
          <w:b w:val="0"/>
          <w:i w:val="0"/>
          <w:sz w:val="22"/>
        </w:rPr>
        <w:t>Civil society organizations (CSOs) invest significant resources responding to multilateral consultations — writing position papers, coordinating coalitions, and proposing sessions for events like the UN's Global Dialogue on AI Governance. What is rarely measured is whether that input actually shapes what the process produces, or whether it is simply recorded and set aside. Echo Audit is a three-phase methodology that makes this measurable: it identifies the recurring themes across a body of civil society input using computational grounded theory (Nelson 2020), then systematically checks whether those themes received a genuine place in the governance process's actual agenda, deliberations, and outputs.</w:t>
      </w:r>
    </w:p>
    <w:p>
      <w:pPr>
        <w:spacing w:after="160"/>
      </w:pPr>
      <w:r>
        <w:rPr>
          <w:b w:val="0"/>
          <w:i w:val="0"/>
          <w:sz w:val="22"/>
        </w:rPr>
        <w:t>Applied to the inaugural Global Dialogue on AI Governance (Geneva, July 2026), the pilot application analyzed 379 civil society written submissions and 55 side-event concept notes, surfaced the recurring concerns using structural topic modeling, and cross-checked six of the most prominent themes against the Dialogue's official four-cluster agenda and closing statements. The result: one theme received a genuine dedicated track; four were acknowledged but diffused into broad, non-binding categories; and one — the environmental and biodiversity impact of AI — received no place on the agenda at all, exactly as the submitting organizations had themselves predicted in writing before the event.</w:t>
      </w:r>
    </w:p>
    <w:p>
      <w:pPr>
        <w:pStyle w:val="Heading1"/>
      </w:pPr>
      <w:r>
        <w:t>1. The Problem</w:t>
      </w:r>
    </w:p>
    <w:p>
      <w:pPr>
        <w:spacing w:after="160"/>
      </w:pPr>
      <w:r>
        <w:rPr>
          <w:b w:val="0"/>
          <w:i w:val="0"/>
          <w:sz w:val="22"/>
        </w:rPr>
        <w:t>Multilateral consultations increasingly invite written input from civil society as a matter of procedural legitimacy. But an invitation to submit input is not the same as a mechanism for verifying that the input mattered. Existing accountability instruments — Human Rights Impact Assessments, Algorithmic Impact Assessments — evaluate the downstream effects of a technology or policy once deployed. None of them ask the upstream question this protocol is built around: did the process that claims to have listened actually change its structure, agenda, or output because of what it heard?</w:t>
      </w:r>
    </w:p>
    <w:p>
      <w:pPr>
        <w:spacing w:after="160"/>
      </w:pPr>
      <w:r>
        <w:rPr>
          <w:b w:val="0"/>
          <w:i w:val="0"/>
          <w:sz w:val="22"/>
        </w:rPr>
        <w:t>Without an answer to that question, “multi-stakeholder participation” risks becoming a procedural checkbox — civil society's input is collected, filed, and cited as evidence of inclusiveness, whether or not it shaped anything. Echo Audit gives civil society coalitions and researchers a repeatable way to test that claim against public evidence, rather than relying on an organizer's own account of how inclusive a process was.</w:t>
      </w:r>
    </w:p>
    <w:p>
      <w:pPr>
        <w:pStyle w:val="Heading1"/>
      </w:pPr>
      <w:r>
        <w:t>2. The Echo Audit Framework</w:t>
      </w:r>
    </w:p>
    <w:p>
      <w:pPr>
        <w:spacing w:after="160"/>
      </w:pPr>
      <w:r>
        <w:rPr>
          <w:b w:val="0"/>
          <w:i w:val="0"/>
          <w:sz w:val="22"/>
        </w:rPr>
        <w:t>The framework has three phases, named for an acoustic metaphor: a voice is raised (Signal), captured and analyzed (Voice), and then checked for whether it comes back changed — or at all — in the room's response (Echo).</w:t>
      </w:r>
    </w:p>
    <w:tbl>
      <w:tblPr>
        <w:tblStyle w:val="LightGrid-Accent1"/>
        <w:tblW w:type="auto" w:w="0"/>
        <w:jc w:val="center"/>
        <w:tblLook w:firstColumn="1" w:firstRow="1" w:lastColumn="0" w:lastRow="0" w:noHBand="0" w:noVBand="1" w:val="04A0"/>
      </w:tblPr>
      <w:tblGrid>
        <w:gridCol w:w="3120"/>
        <w:gridCol w:w="3120"/>
        <w:gridCol w:w="3120"/>
      </w:tblGrid>
      <w:tr>
        <w:tc>
          <w:tcPr>
            <w:tcW w:type="dxa" w:w="1584"/>
            <w:shd w:val="clear" w:color="auto" w:fill="2A78D6"/>
          </w:tcPr>
          <w:p>
            <w:r/>
            <w:r>
              <w:rPr>
                <w:b/>
                <w:color w:val="FFFFFF"/>
                <w:sz w:val="20"/>
              </w:rPr>
              <w:t>Phase</w:t>
            </w:r>
          </w:p>
        </w:tc>
        <w:tc>
          <w:tcPr>
            <w:tcW w:type="dxa" w:w="5184"/>
            <w:shd w:val="clear" w:color="auto" w:fill="2A78D6"/>
          </w:tcPr>
          <w:p>
            <w:r/>
            <w:r>
              <w:rPr>
                <w:b/>
                <w:color w:val="FFFFFF"/>
                <w:sz w:val="20"/>
              </w:rPr>
              <w:t>Question it answers</w:t>
            </w:r>
          </w:p>
        </w:tc>
        <w:tc>
          <w:tcPr>
            <w:tcW w:type="dxa" w:w="3456"/>
            <w:shd w:val="clear" w:color="auto" w:fill="2A78D6"/>
          </w:tcPr>
          <w:p>
            <w:r/>
            <w:r>
              <w:rPr>
                <w:b/>
                <w:color w:val="FFFFFF"/>
                <w:sz w:val="20"/>
              </w:rPr>
              <w:t>Output</w:t>
            </w:r>
          </w:p>
        </w:tc>
      </w:tr>
      <w:tr>
        <w:tc>
          <w:tcPr>
            <w:tcW w:type="dxa" w:w="1584"/>
          </w:tcPr>
          <w:p>
            <w:r/>
            <w:r>
              <w:rPr>
                <w:sz w:val="19"/>
              </w:rPr>
              <w:t>Signal</w:t>
            </w:r>
          </w:p>
        </w:tc>
        <w:tc>
          <w:tcPr>
            <w:tcW w:type="dxa" w:w="5184"/>
          </w:tcPr>
          <w:p>
            <w:r/>
            <w:r>
              <w:rPr>
                <w:sz w:val="19"/>
              </w:rPr>
              <w:t>Who engaged, when, and through what channel, before the governance moment?</w:t>
            </w:r>
          </w:p>
        </w:tc>
        <w:tc>
          <w:tcPr>
            <w:tcW w:type="dxa" w:w="3456"/>
          </w:tcPr>
          <w:p>
            <w:r/>
            <w:r>
              <w:rPr>
                <w:sz w:val="19"/>
              </w:rPr>
              <w:t>Participation checkpoint log</w:t>
            </w:r>
          </w:p>
        </w:tc>
      </w:tr>
      <w:tr>
        <w:tc>
          <w:tcPr>
            <w:tcW w:type="dxa" w:w="1584"/>
          </w:tcPr>
          <w:p>
            <w:r/>
            <w:r>
              <w:rPr>
                <w:sz w:val="19"/>
              </w:rPr>
              <w:t>Voice</w:t>
            </w:r>
          </w:p>
        </w:tc>
        <w:tc>
          <w:tcPr>
            <w:tcW w:type="dxa" w:w="5184"/>
          </w:tcPr>
          <w:p>
            <w:r/>
            <w:r>
              <w:rPr>
                <w:sz w:val="19"/>
              </w:rPr>
              <w:t>What did participants actually say, independent of what happens to it?</w:t>
            </w:r>
          </w:p>
        </w:tc>
        <w:tc>
          <w:tcPr>
            <w:tcW w:type="dxa" w:w="3456"/>
          </w:tcPr>
          <w:p>
            <w:r/>
            <w:r>
              <w:rPr>
                <w:sz w:val="19"/>
              </w:rPr>
              <w:t>Topic model + labeled themes + representative-document reading</w:t>
            </w:r>
          </w:p>
        </w:tc>
      </w:tr>
      <w:tr>
        <w:tc>
          <w:tcPr>
            <w:tcW w:type="dxa" w:w="1584"/>
          </w:tcPr>
          <w:p>
            <w:r/>
            <w:r>
              <w:rPr>
                <w:sz w:val="19"/>
              </w:rPr>
              <w:t>Echo</w:t>
            </w:r>
          </w:p>
        </w:tc>
        <w:tc>
          <w:tcPr>
            <w:tcW w:type="dxa" w:w="5184"/>
          </w:tcPr>
          <w:p>
            <w:r/>
            <w:r>
              <w:rPr>
                <w:sz w:val="19"/>
              </w:rPr>
              <w:t>Did Voice reach the room and show up in what got decided or produced?</w:t>
            </w:r>
          </w:p>
        </w:tc>
        <w:tc>
          <w:tcPr>
            <w:tcW w:type="dxa" w:w="3456"/>
          </w:tcPr>
          <w:p>
            <w:r/>
            <w:r>
              <w:rPr>
                <w:sz w:val="19"/>
              </w:rPr>
              <w:t>Echo Score: full echo / partial echo / silence, per theme</w:t>
            </w:r>
          </w:p>
        </w:tc>
      </w:tr>
    </w:tbl>
    <w:p>
      <w:pPr>
        <w:spacing w:after="80"/>
      </w:pPr>
    </w:p>
    <w:p>
      <w:pPr>
        <w:spacing w:after="160"/>
      </w:pPr>
      <w:r>
        <w:rPr>
          <w:b w:val="0"/>
          <w:i/>
          <w:color w:val="52514E"/>
          <w:sz w:val="22"/>
        </w:rPr>
        <w:t>Each phase can be run independently — Voice is a legitimate corpus analysis in its own right, without Signal or Echo — but the protocol's distinct contribution is chaining them: Voice establishes what was said; Echo establishes whether saying it mattered.</w:t>
      </w:r>
    </w:p>
    <w:p>
      <w:pPr>
        <w:spacing w:after="160"/>
      </w:pPr>
      <w:r>
        <w:rPr>
          <w:b w:val="0"/>
          <w:i w:val="0"/>
          <w:sz w:val="22"/>
        </w:rPr>
        <w:t>The Voice phase builds directly on Nelson, L.K. (2020). “Computational Grounded Theory: A Methodological Framework.” Sociological Methods &amp; Research 49(1):3–42, which itself formalizes a three-step process of pattern detection, pattern refinement through guided reading, and pattern confirmation. Echo Audit's Voice phase implements those three steps; Signal and Echo are original extensions built to answer the accountability question Nelson's framework does not address on its own.</w:t>
      </w:r>
    </w:p>
    <w:p>
      <w:pPr>
        <w:pStyle w:val="Heading1"/>
      </w:pPr>
      <w:r>
        <w:t>3. Methodology in Detail</w:t>
      </w:r>
    </w:p>
    <w:p>
      <w:pPr>
        <w:pStyle w:val="Heading2"/>
      </w:pPr>
      <w:r>
        <w:t>3.1 Phase 1: Signal</w:t>
      </w:r>
    </w:p>
    <w:p>
      <w:pPr>
        <w:spacing w:after="160"/>
      </w:pPr>
      <w:r>
        <w:rPr>
          <w:b w:val="0"/>
          <w:i w:val="0"/>
          <w:sz w:val="22"/>
        </w:rPr>
        <w:t>Track participation in the run-up to the governance moment. Minimum fields per checkpoint: who (organization or individual), when, channel (written submission, event registration, session proposal, attendance), and whether the channel required prior resourcing — travel, translation, technical capacity — that could itself bias who is able to participate at all. As of this version, Signal is tracked manually per project; it has not yet been generalized into reusable code (see Section 6, Limitations).</w:t>
      </w:r>
    </w:p>
    <w:p>
      <w:pPr>
        <w:pStyle w:val="Heading2"/>
      </w:pPr>
      <w:r>
        <w:t>3.2 Phase 2: Voice</w:t>
      </w:r>
    </w:p>
    <w:p>
      <w:pPr>
        <w:spacing w:after="40"/>
      </w:pPr>
      <w:r>
        <w:rPr>
          <w:b/>
          <w:i w:val="0"/>
          <w:sz w:val="22"/>
        </w:rPr>
        <w:t>Step 2.0 — Corpus assembly.</w:t>
      </w:r>
    </w:p>
    <w:p>
      <w:pPr>
        <w:spacing w:after="160"/>
      </w:pPr>
      <w:r>
        <w:rPr>
          <w:b w:val="0"/>
          <w:i w:val="0"/>
          <w:sz w:val="22"/>
        </w:rPr>
        <w:t>One document equals one participant's full input. Where the source data has multiple sub-questions per respondent, concatenate them into a single text field. Retain whatever metadata exists (organization, region, stakeholder type, submission channel) as columns alongside the text.</w:t>
      </w:r>
    </w:p>
    <w:p>
      <w:pPr>
        <w:spacing w:after="40"/>
      </w:pPr>
      <w:r>
        <w:rPr>
          <w:b/>
          <w:i w:val="0"/>
          <w:sz w:val="22"/>
        </w:rPr>
        <w:t>Step 2.1 — Language filtering.</w:t>
      </w:r>
    </w:p>
    <w:p>
      <w:pPr>
        <w:spacing w:after="160"/>
      </w:pPr>
      <w:r>
        <w:rPr>
          <w:b w:val="0"/>
          <w:i w:val="0"/>
          <w:sz w:val="22"/>
        </w:rPr>
        <w:t>Detect language per document and restrict lexical and topic-modeling steps to the majority language; set the remainder aside for separate manual reading. Mixing languages without filtering produces topics that reduce to “this document is in language X” rather than a substantive theme — an outcome the pilot run encountered directly, not a hypothetical risk.</w:t>
      </w:r>
    </w:p>
    <w:p>
      <w:pPr>
        <w:spacing w:after="40"/>
      </w:pPr>
      <w:r>
        <w:rPr>
          <w:b/>
          <w:i w:val="0"/>
          <w:sz w:val="22"/>
        </w:rPr>
        <w:t>Step 2.2 — Near-duplicate detection.</w:t>
      </w:r>
    </w:p>
    <w:p>
      <w:pPr>
        <w:spacing w:after="160"/>
      </w:pPr>
      <w:r>
        <w:rPr>
          <w:b w:val="0"/>
          <w:i w:val="0"/>
          <w:sz w:val="22"/>
        </w:rPr>
        <w:t>Cosine similarity on a bag-of-words document-feature matrix, threshold 0.85. Flag pairs above threshold before any lexical or topic analysis. Duplicate or near-duplicate submissions — coordinated campaigns, or a single joint-signatory coalition letter filed under multiple organization names — inflate a topic's apparent prevalence and can masquerade as independent convergence. The decision to dedupe, downweight, or analyze the cluster as its own category must be made explicitly and documented, not absorbed silently into the topic model.</w:t>
      </w:r>
    </w:p>
    <w:p>
      <w:pPr>
        <w:spacing w:after="160"/>
      </w:pPr>
      <w:r>
        <w:rPr>
          <w:b w:val="0"/>
          <w:i/>
          <w:color w:val="52514E"/>
          <w:sz w:val="20"/>
        </w:rPr>
        <w:t>This is not a hypothetical risk: the pilot corpus contained a “Stop AI” campaign-style petition cluster and a Future of Life Institute joint-signatory submission cross-filed under four different organization names, which would have inflated one topic's measured prevalence by roughly four times if not caught at this step.</w:t>
      </w:r>
    </w:p>
    <w:p>
      <w:pPr>
        <w:spacing w:after="40"/>
      </w:pPr>
      <w:r>
        <w:rPr>
          <w:b/>
          <w:i w:val="0"/>
          <w:sz w:val="22"/>
        </w:rPr>
        <w:t>Step 2.3 — Lexical selection (difference of proportions).</w:t>
      </w:r>
    </w:p>
    <w:p>
      <w:pPr>
        <w:spacing w:after="160"/>
      </w:pPr>
      <w:r>
        <w:rPr>
          <w:b w:val="0"/>
          <w:i w:val="0"/>
          <w:sz w:val="22"/>
        </w:rPr>
        <w:t>The Monroe, Colaresi &amp; Quinn (2008) difference-of-proportions score between two natural subgroups in the corpus (e.g., by region). This step requires an actual, reliably-populated two-group split in the metadata. Where none exists — as in the 55-document concept-note corpus, where a side-event/thematic-cluster distinction was only inconsistently stated in the text — skip this step rather than force a noisy proxy grouping and report it as a finding.</w:t>
      </w:r>
    </w:p>
    <w:p>
      <w:pPr>
        <w:spacing w:after="40"/>
      </w:pPr>
      <w:r>
        <w:rPr>
          <w:b/>
          <w:i w:val="0"/>
          <w:sz w:val="22"/>
        </w:rPr>
        <w:t>Step 2.4 — Structural Topic Model and model selection.</w:t>
      </w:r>
    </w:p>
    <w:p>
      <w:pPr>
        <w:spacing w:after="160"/>
      </w:pPr>
      <w:r>
        <w:rPr>
          <w:b w:val="0"/>
          <w:i w:val="0"/>
          <w:sz w:val="22"/>
        </w:rPr>
        <w:t>Fit a Structural Topic Model (Roberts, Stewart &amp; Tingley) across a range of candidate topic counts (K), scaled to corpus size rather than fixed. Guidance from the two pilot corpora: aim for roughly 6–20 documents per topic. Forcing a higher K below approximately 5 documents per topic collapses topics into generic frame-word repetition; this was empirically confirmed by forcing K=20 onto the 55-document concept-note corpus, which produced twenty topics nearly all reducible to “govern, global, session, will” with no substantive differentiator.</w:t>
      </w:r>
    </w:p>
    <w:p>
      <w:pPr>
        <w:spacing w:after="160"/>
      </w:pPr>
      <w:r>
        <w:rPr>
          <w:b w:val="0"/>
          <w:i w:val="0"/>
          <w:sz w:val="22"/>
        </w:rPr>
        <w:t>Apply Nelson's two failure signs when reading each candidate model's output to choose K:</w:t>
      </w:r>
    </w:p>
    <w:p>
      <w:pPr>
        <w:pStyle w:val="ListBullet"/>
        <w:spacing w:after="80"/>
      </w:pPr>
      <w:r>
        <w:rPr>
          <w:sz w:val="22"/>
        </w:rPr>
        <w:t>Too few topics: distinct issues merge into one, with no differentiator beyond corpus-wide frame words.</w:t>
      </w:r>
    </w:p>
    <w:p>
      <w:pPr>
        <w:pStyle w:val="ListBullet"/>
        <w:spacing w:after="80"/>
      </w:pPr>
      <w:r>
        <w:rPr>
          <w:sz w:val="22"/>
        </w:rPr>
        <w:t>Too many topics: one issue splits across near-duplicate topics whose highest-probability word lists are nearly identical.</w:t>
      </w:r>
    </w:p>
    <w:p>
      <w:pPr>
        <w:spacing w:after="160"/>
      </w:pPr>
      <w:r>
        <w:rPr>
          <w:b w:val="0"/>
          <w:i/>
          <w:color w:val="52514E"/>
          <w:sz w:val="22"/>
        </w:rPr>
        <w:t>Model selection is a qualitative judgment call, not a statistic to automate — document the specific evidence (which topics merged or split at which K) rather than asserting the final choice without justification.</w:t>
      </w:r>
    </w:p>
    <w:p>
      <w:pPr>
        <w:spacing w:after="40"/>
      </w:pPr>
      <w:r>
        <w:rPr>
          <w:b/>
          <w:i w:val="0"/>
          <w:sz w:val="22"/>
        </w:rPr>
        <w:t>Step 2.5 — Guided deep reading.</w:t>
      </w:r>
    </w:p>
    <w:p>
      <w:pPr>
        <w:spacing w:after="160"/>
      </w:pPr>
      <w:r>
        <w:rPr>
          <w:b w:val="0"/>
          <w:i w:val="0"/>
          <w:sz w:val="22"/>
        </w:rPr>
        <w:t>For each retained topic, surface its highest-weight representative documents and read them in full. This is the step where a ranked list of words becomes an actual argument someone is making. A document's topic weight close to 1.0 indicates a clean, nearly-monothematic example; weight in the 0.3–0.5 range indicates a blended, more ambiguous case. If even the highest-weight documents for a topic read as incoherent, that is a signal to revisit the choice of K, not merely a hard-to-read topic.</w:t>
      </w:r>
    </w:p>
    <w:p>
      <w:pPr>
        <w:spacing w:after="40"/>
      </w:pPr>
      <w:r>
        <w:rPr>
          <w:b/>
          <w:i w:val="0"/>
          <w:sz w:val="22"/>
        </w:rPr>
        <w:t>Step 2.6 — Pattern confirmation.</w:t>
      </w:r>
    </w:p>
    <w:p>
      <w:pPr>
        <w:spacing w:after="160"/>
      </w:pPr>
      <w:r>
        <w:rPr>
          <w:b w:val="0"/>
          <w:i w:val="0"/>
          <w:sz w:val="22"/>
        </w:rPr>
        <w:t>Once Steps 2.4–2.5 suggest a genuine, specific pattern, test it deductively across the entire corpus rather than only the documents read closely. Readability and lexical-diversity metrics are one dictionary-free option; grouping by topic weight, rather than raw metadata, is often more informative once a specific hypothesis is in hand.</w:t>
      </w:r>
    </w:p>
    <w:p>
      <w:pPr>
        <w:pStyle w:val="Heading2"/>
      </w:pPr>
      <w:r>
        <w:t>3.3 Phase 3: Echo</w:t>
      </w:r>
    </w:p>
    <w:p>
      <w:pPr>
        <w:spacing w:after="160"/>
      </w:pPr>
      <w:r>
        <w:rPr>
          <w:b w:val="0"/>
          <w:i w:val="0"/>
          <w:sz w:val="22"/>
        </w:rPr>
        <w:t>Cross-check Voice's topics against what the governance process actually did:</w:t>
      </w:r>
    </w:p>
    <w:p>
      <w:pPr>
        <w:pStyle w:val="ListBullet"/>
        <w:spacing w:after="80"/>
      </w:pPr>
      <w:r>
        <w:rPr>
          <w:sz w:val="22"/>
        </w:rPr>
        <w:t>Map each Voice topic (or a curated shortlist of its highest-prevalence topics) onto the process's real program structure — official thematic clusters, session titles, or whatever agenda document exists.</w:t>
      </w:r>
    </w:p>
    <w:p>
      <w:pPr>
        <w:pStyle w:val="ListBullet"/>
        <w:spacing w:after="80"/>
      </w:pPr>
      <w:r>
        <w:rPr>
          <w:sz w:val="22"/>
        </w:rPr>
        <w:t>Classify each mapping as Full Echo (the topic received a dedicated session or cluster), Partial Echo (diffused into a broader cluster with no dedicated slot), or Silence (no corresponding cluster at all, despite measurable prevalence in Voice).</w:t>
      </w:r>
    </w:p>
    <w:p>
      <w:pPr>
        <w:pStyle w:val="ListBullet"/>
        <w:spacing w:after="80"/>
      </w:pPr>
      <w:r>
        <w:rPr>
          <w:sz w:val="22"/>
        </w:rPr>
        <w:t>Cross-check against any outcome document, closing statement, or co-chairs' summary: does the topic appear in what was actually decided, or only in what was said?</w:t>
      </w:r>
    </w:p>
    <w:p>
      <w:pPr>
        <w:pStyle w:val="ListBullet"/>
        <w:spacing w:after="80"/>
      </w:pPr>
      <w:r>
        <w:rPr>
          <w:sz w:val="22"/>
        </w:rPr>
        <w:t>Compute an Echo Score: the prevalence-weighted share of Voice topics landing in each of the three categories.</w:t>
      </w:r>
    </w:p>
    <w:p>
      <w:pPr>
        <w:spacing w:after="160"/>
      </w:pPr>
      <w:r>
        <w:rPr>
          <w:b w:val="0"/>
          <w:i w:val="0"/>
          <w:sz w:val="22"/>
        </w:rPr>
        <w:t>As of this version, Echo is a manual mapping exercise per project; it has not yet been generalized into reusable code (see Section 6, Limitations).</w:t>
      </w:r>
    </w:p>
    <w:p>
      <w:r>
        <w:br w:type="page"/>
      </w:r>
    </w:p>
    <w:p>
      <w:pPr>
        <w:pStyle w:val="Heading1"/>
      </w:pPr>
      <w:r>
        <w:t>4. Case Study: Geneva 2026 Global Dialogue on AI Governance</w:t>
      </w:r>
    </w:p>
    <w:p>
      <w:pPr>
        <w:spacing w:after="160"/>
      </w:pPr>
      <w:r>
        <w:rPr>
          <w:b w:val="0"/>
          <w:i w:val="0"/>
          <w:sz w:val="22"/>
        </w:rPr>
        <w:t>The pilot application analyzed two corpora scraped from the Dialogue's public website and documentation: 379 civil society written submissions (English-language, after filtering 20 non-English submissions from an initial 400) responding to the Dialogue's structured call for input, and 55 concept notes for side events and thematic-cluster sessions proposed by participating organizations.</w:t>
      </w:r>
    </w:p>
    <w:p>
      <w:pPr>
        <w:pStyle w:val="Heading2"/>
      </w:pPr>
      <w:r>
        <w:t>4.1 Voice: CSO written submissions</w:t>
      </w:r>
    </w:p>
    <w:p>
      <w:pPr>
        <w:spacing w:after="160"/>
      </w:pPr>
      <w:r>
        <w:rPr>
          <w:b w:val="0"/>
          <w:i w:val="0"/>
          <w:sz w:val="22"/>
        </w:rPr>
        <w:t>A 20-topic Structural Topic Model (chosen over candidates of 10, 15, and 25 by the model-selection criteria in Section 3.2) surfaced a wide range of concerns, with no single theme dominating the corpus. The five most prevalent:</w:t>
      </w:r>
    </w:p>
    <w:tbl>
      <w:tblPr>
        <w:tblStyle w:val="LightGrid-Accent1"/>
        <w:tblW w:type="auto" w:w="0"/>
        <w:jc w:val="center"/>
        <w:tblLook w:firstColumn="1" w:firstRow="1" w:lastColumn="0" w:lastRow="0" w:noHBand="0" w:noVBand="1" w:val="04A0"/>
      </w:tblPr>
      <w:tblGrid>
        <w:gridCol w:w="3120"/>
        <w:gridCol w:w="3120"/>
        <w:gridCol w:w="3120"/>
      </w:tblGrid>
      <w:tr>
        <w:tc>
          <w:tcPr>
            <w:tcW w:type="dxa" w:w="864"/>
            <w:shd w:val="clear" w:color="auto" w:fill="2A78D6"/>
          </w:tcPr>
          <w:p>
            <w:r/>
            <w:r>
              <w:rPr>
                <w:b/>
                <w:color w:val="FFFFFF"/>
                <w:sz w:val="20"/>
              </w:rPr>
              <w:t>Rank</w:t>
            </w:r>
          </w:p>
        </w:tc>
        <w:tc>
          <w:tcPr>
            <w:tcW w:type="dxa" w:w="6480"/>
            <w:shd w:val="clear" w:color="auto" w:fill="2A78D6"/>
          </w:tcPr>
          <w:p>
            <w:r/>
            <w:r>
              <w:rPr>
                <w:b/>
                <w:color w:val="FFFFFF"/>
                <w:sz w:val="20"/>
              </w:rPr>
              <w:t>Theme</w:t>
            </w:r>
          </w:p>
        </w:tc>
        <w:tc>
          <w:tcPr>
            <w:tcW w:type="dxa" w:w="2880"/>
            <w:shd w:val="clear" w:color="auto" w:fill="2A78D6"/>
          </w:tcPr>
          <w:p>
            <w:r/>
            <w:r>
              <w:rPr>
                <w:b/>
                <w:color w:val="FFFFFF"/>
                <w:sz w:val="20"/>
              </w:rPr>
              <w:t>Share of corpus</w:t>
            </w:r>
          </w:p>
        </w:tc>
      </w:tr>
      <w:tr>
        <w:tc>
          <w:tcPr>
            <w:tcW w:type="dxa" w:w="864"/>
          </w:tcPr>
          <w:p>
            <w:r/>
            <w:r>
              <w:rPr>
                <w:sz w:val="19"/>
              </w:rPr>
              <w:t>1</w:t>
            </w:r>
          </w:p>
        </w:tc>
        <w:tc>
          <w:tcPr>
            <w:tcW w:type="dxa" w:w="6480"/>
          </w:tcPr>
          <w:p>
            <w:r/>
            <w:r>
              <w:rPr>
                <w:sz w:val="19"/>
              </w:rPr>
              <w:t>Multi-stakeholder inclusion &amp; capacity-building</w:t>
            </w:r>
          </w:p>
        </w:tc>
        <w:tc>
          <w:tcPr>
            <w:tcW w:type="dxa" w:w="2880"/>
          </w:tcPr>
          <w:p>
            <w:r/>
            <w:r>
              <w:rPr>
                <w:sz w:val="19"/>
              </w:rPr>
              <w:t>12.2%</w:t>
            </w:r>
          </w:p>
        </w:tc>
      </w:tr>
      <w:tr>
        <w:tc>
          <w:tcPr>
            <w:tcW w:type="dxa" w:w="864"/>
          </w:tcPr>
          <w:p>
            <w:r/>
            <w:r>
              <w:rPr>
                <w:sz w:val="19"/>
              </w:rPr>
              <w:t>2</w:t>
            </w:r>
          </w:p>
        </w:tc>
        <w:tc>
          <w:tcPr>
            <w:tcW w:type="dxa" w:w="6480"/>
          </w:tcPr>
          <w:p>
            <w:r/>
            <w:r>
              <w:rPr>
                <w:sz w:val="19"/>
              </w:rPr>
              <w:t>Corporate power &amp; data/IP rights</w:t>
            </w:r>
          </w:p>
        </w:tc>
        <w:tc>
          <w:tcPr>
            <w:tcW w:type="dxa" w:w="2880"/>
          </w:tcPr>
          <w:p>
            <w:r/>
            <w:r>
              <w:rPr>
                <w:sz w:val="19"/>
              </w:rPr>
              <w:t>10.9%</w:t>
            </w:r>
          </w:p>
        </w:tc>
      </w:tr>
      <w:tr>
        <w:tc>
          <w:tcPr>
            <w:tcW w:type="dxa" w:w="864"/>
          </w:tcPr>
          <w:p>
            <w:r/>
            <w:r>
              <w:rPr>
                <w:sz w:val="19"/>
              </w:rPr>
              <w:t>3</w:t>
            </w:r>
          </w:p>
        </w:tc>
        <w:tc>
          <w:tcPr>
            <w:tcW w:type="dxa" w:w="6480"/>
          </w:tcPr>
          <w:p>
            <w:r/>
            <w:r>
              <w:rPr>
                <w:sz w:val="19"/>
              </w:rPr>
              <w:t>Operational governance &amp; measurement gap</w:t>
            </w:r>
          </w:p>
        </w:tc>
        <w:tc>
          <w:tcPr>
            <w:tcW w:type="dxa" w:w="2880"/>
          </w:tcPr>
          <w:p>
            <w:r/>
            <w:r>
              <w:rPr>
                <w:sz w:val="19"/>
              </w:rPr>
              <w:t>8.7%</w:t>
            </w:r>
          </w:p>
        </w:tc>
      </w:tr>
      <w:tr>
        <w:tc>
          <w:tcPr>
            <w:tcW w:type="dxa" w:w="864"/>
          </w:tcPr>
          <w:p>
            <w:r/>
            <w:r>
              <w:rPr>
                <w:sz w:val="19"/>
              </w:rPr>
              <w:t>4</w:t>
            </w:r>
          </w:p>
        </w:tc>
        <w:tc>
          <w:tcPr>
            <w:tcW w:type="dxa" w:w="6480"/>
          </w:tcPr>
          <w:p>
            <w:r/>
            <w:r>
              <w:rPr>
                <w:sz w:val="19"/>
              </w:rPr>
              <w:t>Digital inclusion / African &amp; youth voices</w:t>
            </w:r>
          </w:p>
        </w:tc>
        <w:tc>
          <w:tcPr>
            <w:tcW w:type="dxa" w:w="2880"/>
          </w:tcPr>
          <w:p>
            <w:r/>
            <w:r>
              <w:rPr>
                <w:sz w:val="19"/>
              </w:rPr>
              <w:t>7.0%</w:t>
            </w:r>
          </w:p>
        </w:tc>
      </w:tr>
      <w:tr>
        <w:tc>
          <w:tcPr>
            <w:tcW w:type="dxa" w:w="864"/>
          </w:tcPr>
          <w:p>
            <w:r/>
            <w:r>
              <w:rPr>
                <w:sz w:val="19"/>
              </w:rPr>
              <w:t>5</w:t>
            </w:r>
          </w:p>
        </w:tc>
        <w:tc>
          <w:tcPr>
            <w:tcW w:type="dxa" w:w="6480"/>
          </w:tcPr>
          <w:p>
            <w:r/>
            <w:r>
              <w:rPr>
                <w:sz w:val="19"/>
              </w:rPr>
              <w:t>Accountability in automated decision-making</w:t>
            </w:r>
          </w:p>
        </w:tc>
        <w:tc>
          <w:tcPr>
            <w:tcW w:type="dxa" w:w="2880"/>
          </w:tcPr>
          <w:p>
            <w:r/>
            <w:r>
              <w:rPr>
                <w:sz w:val="19"/>
              </w:rPr>
              <w:t>6.0%</w:t>
            </w:r>
          </w:p>
        </w:tc>
      </w:tr>
    </w:tbl>
    <w:p>
      <w:pPr>
        <w:spacing w:after="80"/>
      </w:pPr>
    </w:p>
    <w:p>
      <w:pPr>
        <w:pStyle w:val="Heading2"/>
      </w:pPr>
      <w:r>
        <w:t>4.2 Voice: Concept notes (session proposals)</w:t>
      </w:r>
    </w:p>
    <w:p>
      <w:pPr>
        <w:spacing w:after="160"/>
      </w:pPr>
      <w:r>
        <w:rPr>
          <w:b w:val="0"/>
          <w:i w:val="0"/>
          <w:sz w:val="22"/>
        </w:rPr>
        <w:t>An 8-topic model (chosen over candidates of 5 and 10; forcing 20 topics on this smaller, 55-document corpus produced the frame-word collapse described in Section 3.2) surfaced a more evenly distributed, more institutionally-conventional set of themes — consistent with this corpus being a narrower genre (conference session pitches from organizations already resourced to propose one) rather than the more heterogeneous open-input population in the written submissions.</w:t>
      </w:r>
    </w:p>
    <w:tbl>
      <w:tblPr>
        <w:tblStyle w:val="LightGrid-Accent1"/>
        <w:tblW w:type="auto" w:w="0"/>
        <w:jc w:val="center"/>
        <w:tblLook w:firstColumn="1" w:firstRow="1" w:lastColumn="0" w:lastRow="0" w:noHBand="0" w:noVBand="1" w:val="04A0"/>
      </w:tblPr>
      <w:tblGrid>
        <w:gridCol w:w="3120"/>
        <w:gridCol w:w="3120"/>
        <w:gridCol w:w="3120"/>
      </w:tblGrid>
      <w:tr>
        <w:tc>
          <w:tcPr>
            <w:tcW w:type="dxa" w:w="864"/>
            <w:shd w:val="clear" w:color="auto" w:fill="2A78D6"/>
          </w:tcPr>
          <w:p>
            <w:r/>
            <w:r>
              <w:rPr>
                <w:b/>
                <w:color w:val="FFFFFF"/>
                <w:sz w:val="20"/>
              </w:rPr>
              <w:t>Rank</w:t>
            </w:r>
          </w:p>
        </w:tc>
        <w:tc>
          <w:tcPr>
            <w:tcW w:type="dxa" w:w="6480"/>
            <w:shd w:val="clear" w:color="auto" w:fill="2A78D6"/>
          </w:tcPr>
          <w:p>
            <w:r/>
            <w:r>
              <w:rPr>
                <w:b/>
                <w:color w:val="FFFFFF"/>
                <w:sz w:val="20"/>
              </w:rPr>
              <w:t>Theme</w:t>
            </w:r>
          </w:p>
        </w:tc>
        <w:tc>
          <w:tcPr>
            <w:tcW w:type="dxa" w:w="2880"/>
            <w:shd w:val="clear" w:color="auto" w:fill="2A78D6"/>
          </w:tcPr>
          <w:p>
            <w:r/>
            <w:r>
              <w:rPr>
                <w:b/>
                <w:color w:val="FFFFFF"/>
                <w:sz w:val="20"/>
              </w:rPr>
              <w:t>Share of corpus</w:t>
            </w:r>
          </w:p>
        </w:tc>
      </w:tr>
      <w:tr>
        <w:tc>
          <w:tcPr>
            <w:tcW w:type="dxa" w:w="864"/>
          </w:tcPr>
          <w:p>
            <w:r/>
            <w:r>
              <w:rPr>
                <w:sz w:val="19"/>
              </w:rPr>
              <w:t>1</w:t>
            </w:r>
          </w:p>
        </w:tc>
        <w:tc>
          <w:tcPr>
            <w:tcW w:type="dxa" w:w="6480"/>
          </w:tcPr>
          <w:p>
            <w:r/>
            <w:r>
              <w:rPr>
                <w:sz w:val="19"/>
              </w:rPr>
              <w:t>Capacity-building &amp; inclusive development</w:t>
            </w:r>
          </w:p>
        </w:tc>
        <w:tc>
          <w:tcPr>
            <w:tcW w:type="dxa" w:w="2880"/>
          </w:tcPr>
          <w:p>
            <w:r/>
            <w:r>
              <w:rPr>
                <w:sz w:val="19"/>
              </w:rPr>
              <w:t>19.7%</w:t>
            </w:r>
          </w:p>
        </w:tc>
      </w:tr>
      <w:tr>
        <w:tc>
          <w:tcPr>
            <w:tcW w:type="dxa" w:w="864"/>
          </w:tcPr>
          <w:p>
            <w:r/>
            <w:r>
              <w:rPr>
                <w:sz w:val="19"/>
              </w:rPr>
              <w:t>2</w:t>
            </w:r>
          </w:p>
        </w:tc>
        <w:tc>
          <w:tcPr>
            <w:tcW w:type="dxa" w:w="6480"/>
          </w:tcPr>
          <w:p>
            <w:r/>
            <w:r>
              <w:rPr>
                <w:sz w:val="19"/>
              </w:rPr>
              <w:t>African/regional AI deployment &amp; standards</w:t>
            </w:r>
          </w:p>
        </w:tc>
        <w:tc>
          <w:tcPr>
            <w:tcW w:type="dxa" w:w="2880"/>
          </w:tcPr>
          <w:p>
            <w:r/>
            <w:r>
              <w:rPr>
                <w:sz w:val="19"/>
              </w:rPr>
              <w:t>14.4%</w:t>
            </w:r>
          </w:p>
        </w:tc>
      </w:tr>
      <w:tr>
        <w:tc>
          <w:tcPr>
            <w:tcW w:type="dxa" w:w="864"/>
          </w:tcPr>
          <w:p>
            <w:r/>
            <w:r>
              <w:rPr>
                <w:sz w:val="19"/>
              </w:rPr>
              <w:t>3</w:t>
            </w:r>
          </w:p>
        </w:tc>
        <w:tc>
          <w:tcPr>
            <w:tcW w:type="dxa" w:w="6480"/>
          </w:tcPr>
          <w:p>
            <w:r/>
            <w:r>
              <w:rPr>
                <w:sz w:val="19"/>
              </w:rPr>
              <w:t>Gender-responsive cybersecurity &amp; compliance</w:t>
            </w:r>
          </w:p>
        </w:tc>
        <w:tc>
          <w:tcPr>
            <w:tcW w:type="dxa" w:w="2880"/>
          </w:tcPr>
          <w:p>
            <w:r/>
            <w:r>
              <w:rPr>
                <w:sz w:val="19"/>
              </w:rPr>
              <w:t>12.2%</w:t>
            </w:r>
          </w:p>
        </w:tc>
      </w:tr>
      <w:tr>
        <w:tc>
          <w:tcPr>
            <w:tcW w:type="dxa" w:w="864"/>
          </w:tcPr>
          <w:p>
            <w:r/>
            <w:r>
              <w:rPr>
                <w:sz w:val="19"/>
              </w:rPr>
              <w:t>4</w:t>
            </w:r>
          </w:p>
        </w:tc>
        <w:tc>
          <w:tcPr>
            <w:tcW w:type="dxa" w:w="6480"/>
          </w:tcPr>
          <w:p>
            <w:r/>
            <w:r>
              <w:rPr>
                <w:sz w:val="19"/>
              </w:rPr>
              <w:t>Education, IP &amp; Global South interoperability</w:t>
            </w:r>
          </w:p>
        </w:tc>
        <w:tc>
          <w:tcPr>
            <w:tcW w:type="dxa" w:w="2880"/>
          </w:tcPr>
          <w:p>
            <w:r/>
            <w:r>
              <w:rPr>
                <w:sz w:val="19"/>
              </w:rPr>
              <w:t>11.4%</w:t>
            </w:r>
          </w:p>
        </w:tc>
      </w:tr>
      <w:tr>
        <w:tc>
          <w:tcPr>
            <w:tcW w:type="dxa" w:w="864"/>
          </w:tcPr>
          <w:p>
            <w:r/>
            <w:r>
              <w:rPr>
                <w:sz w:val="19"/>
              </w:rPr>
              <w:t>5</w:t>
            </w:r>
          </w:p>
        </w:tc>
        <w:tc>
          <w:tcPr>
            <w:tcW w:type="dxa" w:w="6480"/>
          </w:tcPr>
          <w:p>
            <w:r/>
            <w:r>
              <w:rPr>
                <w:sz w:val="19"/>
              </w:rPr>
              <w:t>Legal/parliamentary oversight &amp; human rights</w:t>
            </w:r>
          </w:p>
        </w:tc>
        <w:tc>
          <w:tcPr>
            <w:tcW w:type="dxa" w:w="2880"/>
          </w:tcPr>
          <w:p>
            <w:r/>
            <w:r>
              <w:rPr>
                <w:sz w:val="19"/>
              </w:rPr>
              <w:t>11.3%</w:t>
            </w:r>
          </w:p>
        </w:tc>
      </w:tr>
    </w:tbl>
    <w:p>
      <w:pPr>
        <w:spacing w:after="80"/>
      </w:pPr>
    </w:p>
    <w:p>
      <w:pPr>
        <w:pStyle w:val="Heading2"/>
      </w:pPr>
      <w:r>
        <w:t>4.3 Echo: cross-checking against the Dialogue's actual agenda</w:t>
      </w:r>
    </w:p>
    <w:p>
      <w:pPr>
        <w:spacing w:after="160"/>
      </w:pPr>
      <w:r>
        <w:rPr>
          <w:b w:val="0"/>
          <w:i w:val="0"/>
          <w:sz w:val="22"/>
        </w:rPr>
        <w:t>The Dialogue's official program structured its two days around four thematic clusters: AI Opportunities and Implications; Bridging AI Divides; Safe, Secure and Trustworthy AI; and Human Rights in AI. Mapping six of the most prevalent and clearly evidenced CSO themes against this structure and the Dialogue's closing statements produced the following:</w:t>
      </w:r>
    </w:p>
    <w:tbl>
      <w:tblPr>
        <w:tblStyle w:val="LightGrid-Accent1"/>
        <w:tblW w:type="auto" w:w="0"/>
        <w:jc w:val="center"/>
        <w:tblLook w:firstColumn="1" w:firstRow="1" w:lastColumn="0" w:lastRow="0" w:noHBand="0" w:noVBand="1" w:val="04A0"/>
      </w:tblPr>
      <w:tblGrid>
        <w:gridCol w:w="3120"/>
        <w:gridCol w:w="3120"/>
        <w:gridCol w:w="3120"/>
      </w:tblGrid>
      <w:tr>
        <w:tc>
          <w:tcPr>
            <w:tcW w:type="dxa" w:w="2880"/>
            <w:shd w:val="clear" w:color="auto" w:fill="2A78D6"/>
          </w:tcPr>
          <w:p>
            <w:r/>
            <w:r>
              <w:rPr>
                <w:b/>
                <w:color w:val="FFFFFF"/>
                <w:sz w:val="20"/>
              </w:rPr>
              <w:t>CSO theme</w:t>
            </w:r>
          </w:p>
        </w:tc>
        <w:tc>
          <w:tcPr>
            <w:tcW w:type="dxa" w:w="1872"/>
            <w:shd w:val="clear" w:color="auto" w:fill="2A78D6"/>
          </w:tcPr>
          <w:p>
            <w:r/>
            <w:r>
              <w:rPr>
                <w:b/>
                <w:color w:val="FFFFFF"/>
                <w:sz w:val="20"/>
              </w:rPr>
              <w:t>Echo status</w:t>
            </w:r>
          </w:p>
        </w:tc>
        <w:tc>
          <w:tcPr>
            <w:tcW w:type="dxa" w:w="5472"/>
            <w:shd w:val="clear" w:color="auto" w:fill="2A78D6"/>
          </w:tcPr>
          <w:p>
            <w:r/>
            <w:r>
              <w:rPr>
                <w:b/>
                <w:color w:val="FFFFFF"/>
                <w:sz w:val="20"/>
              </w:rPr>
              <w:t>Evidence</w:t>
            </w:r>
          </w:p>
        </w:tc>
      </w:tr>
      <w:tr>
        <w:tc>
          <w:tcPr>
            <w:tcW w:type="dxa" w:w="2880"/>
          </w:tcPr>
          <w:p>
            <w:r/>
            <w:r>
              <w:rPr>
                <w:sz w:val="19"/>
              </w:rPr>
              <w:t>Bridging the digital divide / capacity-building</w:t>
            </w:r>
          </w:p>
        </w:tc>
        <w:tc>
          <w:tcPr>
            <w:tcW w:type="dxa" w:w="1872"/>
          </w:tcPr>
          <w:p>
            <w:r/>
            <w:r>
              <w:rPr>
                <w:sz w:val="19"/>
              </w:rPr>
              <w:t>Full echo</w:t>
            </w:r>
          </w:p>
        </w:tc>
        <w:tc>
          <w:tcPr>
            <w:tcW w:type="dxa" w:w="5472"/>
          </w:tcPr>
          <w:p>
            <w:r/>
            <w:r>
              <w:rPr>
                <w:sz w:val="19"/>
              </w:rPr>
              <w:t>A dedicated official cluster existed for this exact theme.</w:t>
            </w:r>
          </w:p>
        </w:tc>
      </w:tr>
      <w:tr>
        <w:tc>
          <w:tcPr>
            <w:tcW w:type="dxa" w:w="2880"/>
          </w:tcPr>
          <w:p>
            <w:r/>
            <w:r>
              <w:rPr>
                <w:sz w:val="19"/>
              </w:rPr>
              <w:t>Multi-stakeholder inclusion</w:t>
            </w:r>
          </w:p>
        </w:tc>
        <w:tc>
          <w:tcPr>
            <w:tcW w:type="dxa" w:w="1872"/>
          </w:tcPr>
          <w:p>
            <w:r/>
            <w:r>
              <w:rPr>
                <w:sz w:val="19"/>
              </w:rPr>
              <w:t>Partial echo</w:t>
            </w:r>
          </w:p>
        </w:tc>
        <w:tc>
          <w:tcPr>
            <w:tcW w:type="dxa" w:w="5472"/>
          </w:tcPr>
          <w:p>
            <w:r/>
            <w:r>
              <w:rPr>
                <w:sz w:val="19"/>
              </w:rPr>
              <w:t>Named in closing remarks as a priority; no binding mechanism established.</w:t>
            </w:r>
          </w:p>
        </w:tc>
      </w:tr>
      <w:tr>
        <w:tc>
          <w:tcPr>
            <w:tcW w:type="dxa" w:w="2880"/>
          </w:tcPr>
          <w:p>
            <w:r/>
            <w:r>
              <w:rPr>
                <w:sz w:val="19"/>
              </w:rPr>
              <w:t>Operational governance / measurement gap</w:t>
            </w:r>
          </w:p>
        </w:tc>
        <w:tc>
          <w:tcPr>
            <w:tcW w:type="dxa" w:w="1872"/>
          </w:tcPr>
          <w:p>
            <w:r/>
            <w:r>
              <w:rPr>
                <w:sz w:val="19"/>
              </w:rPr>
              <w:t>Partial echo (validated)</w:t>
            </w:r>
          </w:p>
        </w:tc>
        <w:tc>
          <w:tcPr>
            <w:tcW w:type="dxa" w:w="5472"/>
          </w:tcPr>
          <w:p>
            <w:r/>
            <w:r>
              <w:rPr>
                <w:sz w:val="19"/>
              </w:rPr>
              <w:t>Co-Chair Rein Tammsaar's closing statement named this exact gap almost verbatim: “the world's challenge is no longer a lack of AI principles, but the absence of practical mechanisms to implement them.”</w:t>
            </w:r>
          </w:p>
        </w:tc>
      </w:tr>
      <w:tr>
        <w:tc>
          <w:tcPr>
            <w:tcW w:type="dxa" w:w="2880"/>
          </w:tcPr>
          <w:p>
            <w:r/>
            <w:r>
              <w:rPr>
                <w:sz w:val="19"/>
              </w:rPr>
              <w:t>Environmental / biodiversity impact of AI</w:t>
            </w:r>
          </w:p>
        </w:tc>
        <w:tc>
          <w:tcPr>
            <w:tcW w:type="dxa" w:w="1872"/>
          </w:tcPr>
          <w:p>
            <w:r/>
            <w:r>
              <w:rPr>
                <w:sz w:val="19"/>
              </w:rPr>
              <w:t>Silence</w:t>
            </w:r>
          </w:p>
        </w:tc>
        <w:tc>
          <w:tcPr>
            <w:tcW w:type="dxa" w:w="5472"/>
          </w:tcPr>
          <w:p>
            <w:r/>
            <w:r>
              <w:rPr>
                <w:sz w:val="19"/>
              </w:rPr>
              <w:t>No cluster existed. Campaign for Nature and Nature and People Foundation had written, before the event, that “there is not even an option to select ecological impacts of AI” — confirmed correct by the actual agenda.</w:t>
            </w:r>
          </w:p>
        </w:tc>
      </w:tr>
      <w:tr>
        <w:tc>
          <w:tcPr>
            <w:tcW w:type="dxa" w:w="2880"/>
          </w:tcPr>
          <w:p>
            <w:r/>
            <w:r>
              <w:rPr>
                <w:sz w:val="19"/>
              </w:rPr>
              <w:t>Gender-based harms / TFGBV</w:t>
            </w:r>
          </w:p>
        </w:tc>
        <w:tc>
          <w:tcPr>
            <w:tcW w:type="dxa" w:w="1872"/>
          </w:tcPr>
          <w:p>
            <w:r/>
            <w:r>
              <w:rPr>
                <w:sz w:val="19"/>
              </w:rPr>
              <w:t>Partial echo</w:t>
            </w:r>
          </w:p>
        </w:tc>
        <w:tc>
          <w:tcPr>
            <w:tcW w:type="dxa" w:w="5472"/>
          </w:tcPr>
          <w:p>
            <w:r/>
            <w:r>
              <w:rPr>
                <w:sz w:val="19"/>
              </w:rPr>
              <w:t>The Gender in Digital Coalition explicitly requested this be “a named, tracked, and reported outcome” rather than folded into general human-rights language. It was folded in as they warned.</w:t>
            </w:r>
          </w:p>
        </w:tc>
      </w:tr>
      <w:tr>
        <w:tc>
          <w:tcPr>
            <w:tcW w:type="dxa" w:w="2880"/>
          </w:tcPr>
          <w:p>
            <w:r/>
            <w:r>
              <w:rPr>
                <w:sz w:val="19"/>
              </w:rPr>
              <w:t>Children's rights &amp; corporate accountability</w:t>
            </w:r>
          </w:p>
        </w:tc>
        <w:tc>
          <w:tcPr>
            <w:tcW w:type="dxa" w:w="1872"/>
          </w:tcPr>
          <w:p>
            <w:r/>
            <w:r>
              <w:rPr>
                <w:sz w:val="19"/>
              </w:rPr>
              <w:t>Partial echo</w:t>
            </w:r>
          </w:p>
        </w:tc>
        <w:tc>
          <w:tcPr>
            <w:tcW w:type="dxa" w:w="5472"/>
          </w:tcPr>
          <w:p>
            <w:r/>
            <w:r>
              <w:rPr>
                <w:sz w:val="19"/>
              </w:rPr>
              <w:t>Same diffusion pattern as gender-based harms: raised prominently, no dedicated track.</w:t>
            </w:r>
          </w:p>
        </w:tc>
      </w:tr>
    </w:tbl>
    <w:p>
      <w:pPr>
        <w:spacing w:after="80"/>
      </w:pPr>
    </w:p>
    <w:p>
      <w:pPr>
        <w:spacing w:after="160"/>
      </w:pPr>
      <w:r>
        <w:rPr>
          <w:b w:val="0"/>
          <w:i/>
          <w:color w:val="52514E"/>
          <w:sz w:val="22"/>
        </w:rPr>
        <w:t>Scorecard across these six themes: 1 full echo, 4 partial echo, 1 silence. This is not yet a complete Echo Score across all 20 CSO topics — several would require session-level recordings or transcripts, which have not yet been reviewed — but it is sufficient to demonstrate the method surfaces concrete, falsifiable, and in this case independently-predicted findings rather than post-hoc interpretation.</w:t>
      </w:r>
    </w:p>
    <w:p>
      <w:r>
        <w:br w:type="page"/>
      </w:r>
    </w:p>
    <w:p>
      <w:pPr>
        <w:pStyle w:val="Heading1"/>
      </w:pPr>
      <w:r>
        <w:t>5. How Other Organizations Can Reproduce This</w:t>
      </w:r>
    </w:p>
    <w:p>
      <w:pPr>
        <w:spacing w:after="160"/>
      </w:pPr>
      <w:r>
        <w:rPr>
          <w:b w:val="0"/>
          <w:i w:val="0"/>
          <w:sz w:val="22"/>
        </w:rPr>
        <w:t>The Voice phase is packaged as a parameterized R function, tested for exact reproducibility against the pilot corpora (identical topic prevalence and FREX word output on repeat runs with the same seed).</w:t>
      </w:r>
    </w:p>
    <w:p>
      <w:pPr>
        <w:pStyle w:val="Heading2"/>
      </w:pPr>
      <w:r>
        <w:t>5.1 Requirements</w:t>
      </w:r>
    </w:p>
    <w:p>
      <w:pPr>
        <w:pStyle w:val="ListBullet"/>
        <w:spacing w:after="80"/>
      </w:pPr>
      <w:r>
        <w:rPr>
          <w:sz w:val="22"/>
        </w:rPr>
        <w:t>R (tested on 4.6.0) with packages: stm, quanteda, quanteda.textstats, tidyverse (dplyr, readr, tidyr, stringr), LDAvis, cld2.</w:t>
      </w:r>
    </w:p>
    <w:p>
      <w:pPr>
        <w:pStyle w:val="ListBullet"/>
        <w:spacing w:after="80"/>
      </w:pPr>
      <w:r>
        <w:rPr>
          <w:sz w:val="22"/>
        </w:rPr>
        <w:t>A corpus as a single CSV file, one row per document, with a text column (or multiple columns to be concatenated) and any available metadata columns.</w:t>
      </w:r>
    </w:p>
    <w:p>
      <w:pPr>
        <w:pStyle w:val="Heading2"/>
      </w:pPr>
      <w:r>
        <w:t>5.2 Steps</w:t>
      </w:r>
    </w:p>
    <w:p>
      <w:pPr>
        <w:pStyle w:val="ListBullet"/>
        <w:spacing w:after="80"/>
      </w:pPr>
      <w:r>
        <w:rPr>
          <w:sz w:val="22"/>
        </w:rPr>
        <w:t>Prepare your corpus as a CSV: one document per row, with an identifier column and one or more text columns.</w:t>
      </w:r>
    </w:p>
    <w:p>
      <w:pPr>
        <w:pStyle w:val="ListBullet"/>
        <w:spacing w:after="80"/>
      </w:pPr>
      <w:r>
        <w:rPr>
          <w:sz w:val="22"/>
        </w:rPr>
        <w:t>source("R/voice.R") and call run_echo_voice(csv_path, text_cols, id_col, meta_cols, k_candidates, prevalence_covariate, output_dir) — this handles language filtering, near-duplicate detection, and fits a Structural Topic Model across your chosen candidate topic counts.</w:t>
      </w:r>
    </w:p>
    <w:p>
      <w:pPr>
        <w:pStyle w:val="ListBullet"/>
        <w:spacing w:after="80"/>
      </w:pPr>
      <w:r>
        <w:rPr>
          <w:sz w:val="22"/>
        </w:rPr>
        <w:t>Read the printed labelTopics() output for each candidate K and apply the two model-selection signs (Section 3.2, Step 2.4) to choose a final K.</w:t>
      </w:r>
    </w:p>
    <w:p>
      <w:pPr>
        <w:pStyle w:val="ListBullet"/>
        <w:spacing w:after="80"/>
      </w:pPr>
      <w:r>
        <w:rPr>
          <w:sz w:val="22"/>
        </w:rPr>
        <w:t>Call finalize_topic_model(result, k = &lt;chosen K&gt;) to produce a ranked topic table, an interactive LDAvis browser, and per-topic representative-document reading files.</w:t>
      </w:r>
    </w:p>
    <w:p>
      <w:pPr>
        <w:pStyle w:val="ListBullet"/>
        <w:spacing w:after="80"/>
      </w:pPr>
      <w:r>
        <w:rPr>
          <w:sz w:val="22"/>
        </w:rPr>
        <w:t>Read the representative documents for each topic (Step 2.5) and, where a pattern is confirmed, run a deductive test across the full corpus (Step 2.6).</w:t>
      </w:r>
    </w:p>
    <w:p>
      <w:pPr>
        <w:pStyle w:val="ListBullet"/>
        <w:spacing w:after="80"/>
      </w:pPr>
      <w:r>
        <w:rPr>
          <w:sz w:val="22"/>
        </w:rPr>
        <w:t>For the Echo phase: obtain the governance process's official program/agenda document and any outcome or closing statement, and manually map your highest-prevalence Voice topics against that structure, classifying each as full echo, partial echo, or silence.</w:t>
      </w:r>
    </w:p>
    <w:p>
      <w:pPr>
        <w:spacing w:after="160"/>
      </w:pPr>
      <w:r>
        <w:rPr>
          <w:b w:val="0"/>
          <w:i w:val="0"/>
          <w:sz w:val="22"/>
        </w:rPr>
        <w:t>The code, the full protocol document this summarizes, and the pilot case study data are organized as: R/ (the Voice-phase functions), protocol/ (this document), and examples/ (the Geneva 2026 pilot runs, provided as a worked reference).</w:t>
      </w:r>
    </w:p>
    <w:p>
      <w:pPr>
        <w:pStyle w:val="Heading1"/>
      </w:pPr>
      <w:r>
        <w:t>6. Known Limitations (v1)</w:t>
      </w:r>
    </w:p>
    <w:p>
      <w:pPr>
        <w:pStyle w:val="ListBullet"/>
        <w:spacing w:after="80"/>
      </w:pPr>
      <w:r>
        <w:rPr>
          <w:sz w:val="22"/>
        </w:rPr>
        <w:t>Signal and Echo are still manual/ad hoc; only Voice is packaged as reusable code as of this version.</w:t>
      </w:r>
    </w:p>
    <w:p>
      <w:pPr>
        <w:pStyle w:val="ListBullet"/>
        <w:spacing w:after="80"/>
      </w:pPr>
      <w:r>
        <w:rPr>
          <w:sz w:val="22"/>
        </w:rPr>
        <w:t>Model selection (Step 2.4) requires human judgment reading labelTopics() output. It is deliberately not automated — forcing it into a single coherence metric without reading the actual topics is a known failure mode, not a shortcut.</w:t>
      </w:r>
    </w:p>
    <w:p>
      <w:pPr>
        <w:pStyle w:val="ListBullet"/>
        <w:spacing w:after="80"/>
      </w:pPr>
      <w:r>
        <w:rPr>
          <w:sz w:val="22"/>
        </w:rPr>
        <w:t>The near-duplicate threshold (0.85 cosine) and docs-per-topic guidance (6–20) are heuristics validated on two corpora (N=379 and N=55); recalibrate before applying to substantially different corpus sizes or genres.</w:t>
      </w:r>
    </w:p>
    <w:p>
      <w:pPr>
        <w:pStyle w:val="ListBullet"/>
        <w:spacing w:after="80"/>
      </w:pPr>
      <w:r>
        <w:rPr>
          <w:sz w:val="22"/>
        </w:rPr>
        <w:t>The Echo Score currently requires a human-curated mapping between Voice topics and the process's program structure; no automated shortcut for this step has been built or validated.</w:t>
      </w:r>
    </w:p>
    <w:p>
      <w:pPr>
        <w:pStyle w:val="ListBullet"/>
        <w:spacing w:after="80"/>
      </w:pPr>
      <w:r>
        <w:rPr>
          <w:sz w:val="22"/>
        </w:rPr>
        <w:t>The Geneva 2026 case study's six-theme scorecard is illustrative, not exhaustive — a complete Echo Score across all Voice topics would require session-level recordings or transcripts not yet reviewed.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B0B0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2A78D6"/>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B0B0B"/>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B0B0B"/>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