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3FC29" w14:textId="77777777" w:rsidR="001C5E8C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RELATÓRIO GERENCIAL DE SIMULAÇÃO</w:t>
      </w:r>
    </w:p>
    <w:p w14:paraId="07EDA3EA" w14:textId="77777777" w:rsidR="001C5E8C" w:rsidRDefault="00000000"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>Exemplo de entrega final — Apostila E4</w:t>
      </w:r>
    </w:p>
    <w:p w14:paraId="42B5F484" w14:textId="77777777" w:rsidR="001C5E8C" w:rsidRDefault="00000000">
      <w:pPr>
        <w:spacing w:after="280"/>
        <w:jc w:val="center"/>
      </w:pPr>
      <w:r>
        <w:rPr>
          <w:i/>
          <w:iCs/>
          <w:color w:val="595959"/>
        </w:rPr>
        <w:t>Gestão de plano de saúde — crescimento de carteira e rede credenciada</w:t>
      </w:r>
    </w:p>
    <w:p w14:paraId="597241BF" w14:textId="7444FA67" w:rsidR="001C5E8C" w:rsidRDefault="00000000">
      <w:pPr>
        <w:spacing w:after="160"/>
      </w:pPr>
      <w:r>
        <w:t>Este documento é um exemplo de como poderia estruturar a entrega final do exercício da Apostila E4 (seção 9): traduzir uma pergunta de gestão real em desenho analítico e comunicar o resultado em um relatório gerencial de cinco blocos (Problema, Métrica, Alternativas, Resultado, Recomendação).</w:t>
      </w:r>
    </w:p>
    <w:p w14:paraId="0F511568" w14:textId="77777777" w:rsidR="001C5E8C" w:rsidRDefault="00000000">
      <w:pPr>
        <w:spacing w:after="160"/>
      </w:pPr>
      <w:r>
        <w:t xml:space="preserve">O cenário deste exemplo é o de uma operadora de plano de saúde que vai incorporar a carteira de uma cooperativa regional menor, crescendo de 20.000 para 27.000 vidas (+35%), </w:t>
      </w:r>
      <w:proofErr w:type="gramStart"/>
      <w:r>
        <w:t>mantendo a mesma</w:t>
      </w:r>
      <w:proofErr w:type="gramEnd"/>
      <w:r>
        <w:t xml:space="preserve"> rede credenciada. Todos os números apresentados a seguir foram gerados pelo notebook que acompanha esta apostila (E4_Propostas_</w:t>
      </w:r>
      <w:proofErr w:type="gramStart"/>
      <w:r>
        <w:t>Analises</w:t>
      </w:r>
      <w:proofErr w:type="gramEnd"/>
      <w:r>
        <w:t xml:space="preserve">_Decisao.ipynb), que simula em </w:t>
      </w:r>
      <w:proofErr w:type="spellStart"/>
      <w:r>
        <w:t>SimPy</w:t>
      </w:r>
      <w:proofErr w:type="spellEnd"/>
      <w:r>
        <w:t xml:space="preserve"> a jornada do beneficiário: solicitação de consulta especializada, autorização pela central de auditoria, consulta com o especialista credenciado e, quando necessário, exame complementar de alta complexidade.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5E8C" w14:paraId="3427459E" w14:textId="77777777"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EE22A" w14:textId="77777777" w:rsidR="001C5E8C" w:rsidRDefault="00000000">
            <w:r>
              <w:rPr>
                <w:i/>
                <w:iCs/>
                <w:sz w:val="20"/>
                <w:szCs w:val="20"/>
              </w:rPr>
              <w:t>Aviso metodológico: os parâmetros de demanda, tempo de processamento, probabilidade de exame e custo usados nas simulações são hipóteses didáticas construídas para esta aula, não dados reais de nenhuma operadora. O que deve ser replicado com dados reais é a estrutura do raciocínio (cinco campos de desenho analítico e cinco blocos de comunicação), não os números específicos. O "tempo até a consulta" medido aqui é o tempo interno de regulação e agendamento, sempre muito abaixo do teto regulatório da ANS (RN 566/2022: 14 dias úteis para especialista, 21 dias úteis para exame de alta complexidade), usado neste relatório apenas como referência de background regulatório.</w:t>
            </w:r>
          </w:p>
        </w:tc>
      </w:tr>
    </w:tbl>
    <w:p w14:paraId="61A68880" w14:textId="77777777" w:rsidR="001C5E8C" w:rsidRDefault="001C5E8C">
      <w:pPr>
        <w:spacing w:after="120"/>
      </w:pPr>
    </w:p>
    <w:p w14:paraId="4CCF88FD" w14:textId="77777777" w:rsidR="001C5E8C" w:rsidRDefault="00000000">
      <w:pPr>
        <w:pStyle w:val="Ttulo1"/>
      </w:pPr>
      <w:r>
        <w:t>Resumo executivo</w:t>
      </w:r>
    </w:p>
    <w:p w14:paraId="50C740BA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Crescimento de carteira (Pergunta 1): </w:t>
      </w:r>
      <w:r>
        <w:t>com a rede atual, incorporar 35% mais vidas eleva a espera pelo exame complementar para 10,7 horas e leva a ocupação da rede de exames a 91,6% (zona crítica). Contratar 3 vagas de exame extras (R$ 9.000/mês) já reduz a espera para 1,6 hora, dentro da meta operacional.</w:t>
      </w:r>
    </w:p>
    <w:p w14:paraId="070B1237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Especialista extra vs. central de autorização (Pergunta 2): </w:t>
      </w:r>
      <w:r>
        <w:t>entre os fatores que a diretoria pode de fato decidir, o tempo de autorização tem o maior efeito isolado sobre o tempo até a consulta (53% da variação testada, contra 17% do número de especialistas). A recomendação é priorizar a agilização da central de autorização.</w:t>
      </w:r>
    </w:p>
    <w:p w14:paraId="4EC67802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Risco da cauda da distribuição (Pergunta 3): </w:t>
      </w:r>
      <w:proofErr w:type="gramStart"/>
      <w:r>
        <w:t>apenas 0,91% das solicitações excede</w:t>
      </w:r>
      <w:proofErr w:type="gramEnd"/>
      <w:r>
        <w:t xml:space="preserve"> a meta interna de 24 horas, mas a cauda da distribuição (P95 = 15,7h, P99 = 23,5h) já concentra um custo esperado relevante (≈ R$ 98.760/mês) e a rede de exames passa 61,9% do tempo em zona crítica sem nenhum ajuste — um risco de congestionamento que a média mensal esconde.</w:t>
      </w:r>
    </w:p>
    <w:p w14:paraId="2EF6CF20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Confirmação cruzada: </w:t>
      </w:r>
      <w:r>
        <w:t>a análise de otimização, que testa especialistas e vagas de exame extras em conjunto, mostra que nenhuma alavanca isolada é suficiente: a combinação de menor custo que atende às duas metas ao mesmo tempo é 2 especialistas extra + 3 vagas de exame extra (R$ 33.000/mês).</w:t>
      </w:r>
    </w:p>
    <w:p w14:paraId="4D74D5C4" w14:textId="77777777" w:rsidR="001C5E8C" w:rsidRDefault="00000000">
      <w:pPr>
        <w:pStyle w:val="Ttulo1"/>
      </w:pPr>
      <w:r>
        <w:lastRenderedPageBreak/>
        <w:t>1. Pergunta 1 — Com 35% mais vidas, a rede credenciada mantém o nível de serviço?</w:t>
      </w:r>
    </w:p>
    <w:p w14:paraId="1639A390" w14:textId="77777777" w:rsidR="001C5E8C" w:rsidRDefault="00000000">
      <w:pPr>
        <w:pStyle w:val="Ttulo3"/>
      </w:pPr>
      <w:r>
        <w:t>Tipo de análise: Cenário + Risco</w:t>
      </w:r>
    </w:p>
    <w:p w14:paraId="3C44793E" w14:textId="77777777" w:rsidR="001C5E8C" w:rsidRDefault="00000000">
      <w:pPr>
        <w:spacing w:after="160"/>
      </w:pPr>
      <w:r>
        <w:rPr>
          <w:b/>
          <w:bCs/>
        </w:rPr>
        <w:t xml:space="preserve">Problema: </w:t>
      </w:r>
      <w:r>
        <w:t xml:space="preserve">a operadora vai incorporar a carteira de uma cooperativa regional menor, crescendo de 20.000 para 27.000 vidas (+35%), </w:t>
      </w:r>
      <w:proofErr w:type="gramStart"/>
      <w:r>
        <w:t>mantendo a mesma</w:t>
      </w:r>
      <w:proofErr w:type="gramEnd"/>
      <w:r>
        <w:t xml:space="preserve"> rede credenciada (central de autorização, especialistas, exames). A diretoria assistencial quer saber se a rede aguenta esse crescimento sem perda de nível de serviço.</w:t>
      </w:r>
    </w:p>
    <w:p w14:paraId="29EC26A0" w14:textId="77777777" w:rsidR="001C5E8C" w:rsidRDefault="00000000">
      <w:pPr>
        <w:spacing w:after="160"/>
      </w:pPr>
      <w:r>
        <w:rPr>
          <w:b/>
          <w:bCs/>
        </w:rPr>
        <w:t xml:space="preserve">Métrica: </w:t>
      </w:r>
      <w:r>
        <w:t>tempo médio de espera pelo exame complementar (do fim da consulta até o início do exame) e ocupação da rede de exames (média e fração do tempo em zona crítica, acima de 95%).</w:t>
      </w:r>
    </w:p>
    <w:p w14:paraId="63929F91" w14:textId="77777777" w:rsidR="001C5E8C" w:rsidRDefault="00000000">
      <w:pPr>
        <w:spacing w:after="160"/>
      </w:pPr>
      <w:r>
        <w:rPr>
          <w:b/>
          <w:bCs/>
        </w:rPr>
        <w:t xml:space="preserve">Alternativas: </w:t>
      </w:r>
      <w:r>
        <w:t>manter a capacidade atual (0 vagas extras) ou contratar 3, 6 ou 9 vagas de exame extras, mantendo o número de especialistas credenciados constante.</w:t>
      </w:r>
    </w:p>
    <w:p w14:paraId="0B00568B" w14:textId="77777777" w:rsidR="001C5E8C" w:rsidRDefault="00000000">
      <w:pPr>
        <w:spacing w:after="100"/>
      </w:pPr>
      <w:r>
        <w:rPr>
          <w:b/>
          <w:bCs/>
        </w:rPr>
        <w:t>Resultado: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2100"/>
        <w:gridCol w:w="1700"/>
        <w:gridCol w:w="2260"/>
        <w:gridCol w:w="1560"/>
      </w:tblGrid>
      <w:tr w:rsidR="001C5E8C" w14:paraId="5BC65BF7" w14:textId="77777777">
        <w:trPr>
          <w:tblHeader/>
        </w:trPr>
        <w:tc>
          <w:tcPr>
            <w:tcW w:w="17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D64F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Vagas de exame extra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56EF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Espera pelo exame (h)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FE8A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Ocupação média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EDBD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% do tempo em zona crítica (&gt;95%)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645F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Custo mensal</w:t>
            </w:r>
          </w:p>
        </w:tc>
      </w:tr>
      <w:tr w:rsidR="001C5E8C" w14:paraId="01CE6D62" w14:textId="77777777">
        <w:tc>
          <w:tcPr>
            <w:tcW w:w="17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C2E932" w14:textId="77777777" w:rsidR="001C5E8C" w:rsidRDefault="00000000">
            <w:r>
              <w:rPr>
                <w:sz w:val="20"/>
                <w:szCs w:val="20"/>
              </w:rPr>
              <w:t>0 (base)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91488" w14:textId="77777777" w:rsidR="001C5E8C" w:rsidRDefault="00000000">
            <w:r>
              <w:rPr>
                <w:sz w:val="20"/>
                <w:szCs w:val="20"/>
              </w:rPr>
              <w:t>10,7 (IC95%: 5,4–16,1)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5786E" w14:textId="77777777" w:rsidR="001C5E8C" w:rsidRDefault="00000000">
            <w:r>
              <w:rPr>
                <w:sz w:val="20"/>
                <w:szCs w:val="20"/>
              </w:rPr>
              <w:t>91,6%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9D154" w14:textId="77777777" w:rsidR="001C5E8C" w:rsidRDefault="00000000">
            <w:r>
              <w:rPr>
                <w:sz w:val="20"/>
                <w:szCs w:val="20"/>
              </w:rPr>
              <w:t>61,7%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05449" w14:textId="77777777" w:rsidR="001C5E8C" w:rsidRDefault="00000000">
            <w:r>
              <w:rPr>
                <w:sz w:val="20"/>
                <w:szCs w:val="20"/>
              </w:rPr>
              <w:t>R$ 0</w:t>
            </w:r>
          </w:p>
        </w:tc>
      </w:tr>
      <w:tr w:rsidR="001C5E8C" w14:paraId="7E825D7F" w14:textId="77777777">
        <w:tc>
          <w:tcPr>
            <w:tcW w:w="17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6FB8D" w14:textId="77777777" w:rsidR="001C5E8C" w:rsidRDefault="00000000">
            <w:r>
              <w:rPr>
                <w:b/>
                <w:bCs/>
                <w:sz w:val="20"/>
                <w:szCs w:val="20"/>
              </w:rPr>
              <w:t>+3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D3DD9" w14:textId="77777777" w:rsidR="001C5E8C" w:rsidRDefault="00000000">
            <w:r>
              <w:rPr>
                <w:b/>
                <w:bCs/>
                <w:sz w:val="20"/>
                <w:szCs w:val="20"/>
              </w:rPr>
              <w:t>1,6 (IC95%: 0,8–2,5)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A6E58" w14:textId="77777777" w:rsidR="001C5E8C" w:rsidRDefault="00000000">
            <w:r>
              <w:rPr>
                <w:sz w:val="20"/>
                <w:szCs w:val="20"/>
              </w:rPr>
              <w:t>76,2%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80EDE" w14:textId="77777777" w:rsidR="001C5E8C" w:rsidRDefault="00000000">
            <w:r>
              <w:rPr>
                <w:sz w:val="20"/>
                <w:szCs w:val="20"/>
              </w:rPr>
              <w:t>20,8%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F3FE0" w14:textId="77777777" w:rsidR="001C5E8C" w:rsidRDefault="00000000">
            <w:r>
              <w:rPr>
                <w:b/>
                <w:bCs/>
                <w:sz w:val="20"/>
                <w:szCs w:val="20"/>
              </w:rPr>
              <w:t>R$ 9.000</w:t>
            </w:r>
          </w:p>
        </w:tc>
      </w:tr>
      <w:tr w:rsidR="001C5E8C" w14:paraId="403C9567" w14:textId="77777777">
        <w:tc>
          <w:tcPr>
            <w:tcW w:w="17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49CB58" w14:textId="77777777" w:rsidR="001C5E8C" w:rsidRDefault="00000000">
            <w:r>
              <w:rPr>
                <w:sz w:val="20"/>
                <w:szCs w:val="20"/>
              </w:rPr>
              <w:t>+6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AD2B3" w14:textId="77777777" w:rsidR="001C5E8C" w:rsidRDefault="00000000">
            <w:r>
              <w:rPr>
                <w:sz w:val="20"/>
                <w:szCs w:val="20"/>
              </w:rPr>
              <w:t>0,4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1EDCD" w14:textId="77777777" w:rsidR="001C5E8C" w:rsidRDefault="00000000">
            <w:r>
              <w:rPr>
                <w:sz w:val="20"/>
                <w:szCs w:val="20"/>
              </w:rPr>
              <w:t>67,8%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CA3F9" w14:textId="77777777" w:rsidR="001C5E8C" w:rsidRDefault="00000000">
            <w:r>
              <w:rPr>
                <w:sz w:val="20"/>
                <w:szCs w:val="20"/>
              </w:rPr>
              <w:t>9,2%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B3A69" w14:textId="77777777" w:rsidR="001C5E8C" w:rsidRDefault="00000000">
            <w:r>
              <w:rPr>
                <w:sz w:val="20"/>
                <w:szCs w:val="20"/>
              </w:rPr>
              <w:t>R$ 18.000</w:t>
            </w:r>
          </w:p>
        </w:tc>
      </w:tr>
      <w:tr w:rsidR="001C5E8C" w14:paraId="05A0C3A6" w14:textId="77777777">
        <w:tc>
          <w:tcPr>
            <w:tcW w:w="17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C604A" w14:textId="77777777" w:rsidR="001C5E8C" w:rsidRDefault="00000000">
            <w:r>
              <w:rPr>
                <w:sz w:val="20"/>
                <w:szCs w:val="20"/>
              </w:rPr>
              <w:t>+9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6E8D8" w14:textId="77777777" w:rsidR="001C5E8C" w:rsidRDefault="00000000">
            <w:r>
              <w:rPr>
                <w:sz w:val="20"/>
                <w:szCs w:val="20"/>
              </w:rPr>
              <w:t>0,0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FB150" w14:textId="77777777" w:rsidR="001C5E8C" w:rsidRDefault="00000000">
            <w:r>
              <w:rPr>
                <w:sz w:val="20"/>
                <w:szCs w:val="20"/>
              </w:rPr>
              <w:t>58,6%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213DE" w14:textId="77777777" w:rsidR="001C5E8C" w:rsidRDefault="00000000">
            <w:r>
              <w:rPr>
                <w:sz w:val="20"/>
                <w:szCs w:val="20"/>
              </w:rPr>
              <w:t>2,0%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10244" w14:textId="77777777" w:rsidR="001C5E8C" w:rsidRDefault="00000000">
            <w:r>
              <w:rPr>
                <w:sz w:val="20"/>
                <w:szCs w:val="20"/>
              </w:rPr>
              <w:t>R$ 27.000</w:t>
            </w:r>
          </w:p>
        </w:tc>
      </w:tr>
    </w:tbl>
    <w:p w14:paraId="037E5BB9" w14:textId="77777777" w:rsidR="001C5E8C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1. Espera pelo exame e ocupação por cenário de vagas extras, com 27.000 vidas (20 réplicas por cenário, IC 95%).</w:t>
      </w:r>
    </w:p>
    <w:p w14:paraId="21918653" w14:textId="77777777" w:rsidR="001C5E8C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04073D2" wp14:editId="63A80199">
            <wp:extent cx="5334000" cy="2562225"/>
            <wp:effectExtent l="0" t="0" r="0" b="0"/>
            <wp:docPr id="1" name="Gráfico de cenário: espera pelo exame e ocupação da rede" descr="Gráfico de cenário: espera pelo exame e ocupação da rede" title="Gráfico de cenário: espera pelo exame e ocupação da r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E7E1" w14:textId="77777777" w:rsidR="001C5E8C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Figura 1. Espera pelo exame complementar e ocupação da rede, por cenário (fonte: notebook E4, Etapa 2).</w:t>
      </w:r>
    </w:p>
    <w:p w14:paraId="76FE98BF" w14:textId="52CC3C08" w:rsidR="001C5E8C" w:rsidRDefault="00000000">
      <w:pPr>
        <w:spacing w:after="160"/>
      </w:pPr>
      <w:r>
        <w:t>Efeito colateral monitorado: o tempo até a consulta se altera entre os cenários de vagas de exame (permanece entre 5,5 e 7,0 horas, dentro da variação amostral entre réplicas). Isso confirma que a rede de exames e a fila de especialistas disputam recursos: reforçar os exames resolve o problema do exame, não o do especialista — o gargalo do especialista é retomado nas Perguntas 2 e na síntese de otimização.</w:t>
      </w:r>
    </w:p>
    <w:p w14:paraId="2036DAD0" w14:textId="77777777" w:rsidR="001C5E8C" w:rsidRDefault="00000000">
      <w:pPr>
        <w:spacing w:after="160"/>
      </w:pPr>
      <w:r>
        <w:rPr>
          <w:b/>
          <w:bCs/>
        </w:rPr>
        <w:lastRenderedPageBreak/>
        <w:t xml:space="preserve">Recomendação: </w:t>
      </w:r>
      <w:r>
        <w:t>contratar 3 vagas de exame extras. É a alternativa de menor custo (R$ 9.000/mês) que já reduz a espera pelo exame para um patamar operacionalmente aceitável (abaixo de 2 horas) e leva a ocupação para uma faixa segura, abaixo da zona crítica (76,2%, ante 90%). Contratar 6 ou 9 vagas praticamente elimina a espera, mas com retorno marginal decrescente frente ao custo adicional.</w:t>
      </w:r>
    </w:p>
    <w:p w14:paraId="737527F7" w14:textId="77777777" w:rsidR="001C5E8C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Condição de validade: esta recomendação resolve apenas o gargalo do exame complementar. O tempo até a consulta em si permanece elevado (cerca de 5,5 horas) porque depende da capacidade de especialistas e da central de autorização — tratados nas Perguntas 2 e 3 e reunidos na síntese de otimização (seção 4).</w:t>
      </w:r>
    </w:p>
    <w:p w14:paraId="708B16BA" w14:textId="77777777" w:rsidR="001C5E8C" w:rsidRDefault="00000000">
      <w:pPr>
        <w:pStyle w:val="Ttulo1"/>
      </w:pPr>
      <w:r>
        <w:t>2. Pergunta 2 — Vale mais contratar mais especialistas ou agilizar a central de autorização?</w:t>
      </w:r>
    </w:p>
    <w:p w14:paraId="22F3E245" w14:textId="77777777" w:rsidR="001C5E8C" w:rsidRDefault="00000000">
      <w:pPr>
        <w:pStyle w:val="Ttulo3"/>
      </w:pPr>
      <w:r>
        <w:t>Tipo de análise: Sensibilidade</w:t>
      </w:r>
    </w:p>
    <w:p w14:paraId="013C3EEC" w14:textId="77777777" w:rsidR="001C5E8C" w:rsidRDefault="00000000">
      <w:pPr>
        <w:spacing w:after="160"/>
      </w:pPr>
      <w:r>
        <w:rPr>
          <w:b/>
          <w:bCs/>
        </w:rPr>
        <w:t xml:space="preserve">Problema: </w:t>
      </w:r>
      <w:r>
        <w:t>a diretoria assistencial tem orçamento limitado neste ciclo e precisa decidir entre dois investimentos: contratar mais especialistas credenciados ou agilizar a central de autorização (por exemplo, autorização automática para procedimentos de baixa complexidade, mais auditores médicos, ou digitalização do fluxo). É preciso saber qual etapa da jornada é o maior responsável pelo tempo até a consulta antes de decidir onde investir.</w:t>
      </w:r>
    </w:p>
    <w:p w14:paraId="7F468CA4" w14:textId="77777777" w:rsidR="001C5E8C" w:rsidRDefault="00000000">
      <w:pPr>
        <w:spacing w:after="160"/>
      </w:pPr>
      <w:r>
        <w:rPr>
          <w:b/>
          <w:bCs/>
        </w:rPr>
        <w:t xml:space="preserve">Métrica: </w:t>
      </w:r>
      <w:r>
        <w:t>tempo médio até a consulta (da solicitação à confirmação da consulta com o especialista).</w:t>
      </w:r>
    </w:p>
    <w:p w14:paraId="508E7686" w14:textId="77777777" w:rsidR="001C5E8C" w:rsidRDefault="00000000">
      <w:pPr>
        <w:spacing w:after="160"/>
      </w:pPr>
      <w:r>
        <w:rPr>
          <w:b/>
          <w:bCs/>
        </w:rPr>
        <w:t xml:space="preserve">Alternativas: </w:t>
      </w:r>
      <w:r>
        <w:t>variação isolada de quatro fatores de entrada (tempo de consulta, crescimento de vidas, número de especialistas e tempo de autorização), cada um testado acima e abaixo do cenário-base (2,5 horas de tempo até a consulta, com a carteira atual de 20.000 vidas), mantendo os demais fatores fixos.</w:t>
      </w:r>
    </w:p>
    <w:p w14:paraId="0465DD28" w14:textId="77777777" w:rsidR="001C5E8C" w:rsidRDefault="00000000">
      <w:pPr>
        <w:spacing w:after="100"/>
      </w:pPr>
      <w:r>
        <w:rPr>
          <w:b/>
          <w:bCs/>
        </w:rPr>
        <w:t>Resultado: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1200"/>
        <w:gridCol w:w="1160"/>
      </w:tblGrid>
      <w:tr w:rsidR="001C5E8C" w14:paraId="4907B386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FF47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Fator testado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2607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Cenário “baixo”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AF37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Cenário “alto”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8E33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Efeito (h)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FD5D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% do total</w:t>
            </w:r>
          </w:p>
        </w:tc>
      </w:tr>
      <w:tr w:rsidR="001C5E8C" w14:paraId="20CE7BBA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EF43F" w14:textId="77777777" w:rsidR="001C5E8C" w:rsidRDefault="00000000">
            <w:r>
              <w:rPr>
                <w:b/>
                <w:bCs/>
                <w:sz w:val="20"/>
                <w:szCs w:val="20"/>
              </w:rPr>
              <w:t>Tempo de autorização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CE32F" w14:textId="77777777" w:rsidR="001C5E8C" w:rsidRDefault="00000000">
            <w:r>
              <w:rPr>
                <w:sz w:val="20"/>
                <w:szCs w:val="20"/>
              </w:rPr>
              <w:t>+30% (autorização mais lenta): 5,10 h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47B29" w14:textId="77777777" w:rsidR="001C5E8C" w:rsidRDefault="00000000">
            <w:r>
              <w:rPr>
                <w:sz w:val="20"/>
                <w:szCs w:val="20"/>
              </w:rPr>
              <w:t>−30% (autorização mais ágil): 1,71 h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59BC0" w14:textId="77777777" w:rsidR="001C5E8C" w:rsidRDefault="00000000">
            <w:r>
              <w:rPr>
                <w:b/>
                <w:bCs/>
                <w:sz w:val="20"/>
                <w:szCs w:val="20"/>
              </w:rPr>
              <w:t>3,39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4F603" w14:textId="77777777" w:rsidR="001C5E8C" w:rsidRDefault="00000000">
            <w:r>
              <w:rPr>
                <w:b/>
                <w:bCs/>
                <w:sz w:val="20"/>
                <w:szCs w:val="20"/>
              </w:rPr>
              <w:t>53%</w:t>
            </w:r>
          </w:p>
        </w:tc>
      </w:tr>
      <w:tr w:rsidR="001C5E8C" w14:paraId="5B78382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D4F9C" w14:textId="77777777" w:rsidR="001C5E8C" w:rsidRDefault="00000000">
            <w:r>
              <w:rPr>
                <w:b/>
                <w:bCs/>
                <w:sz w:val="20"/>
                <w:szCs w:val="20"/>
              </w:rPr>
              <w:t>Número de especialistas credenciados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3E09F" w14:textId="77777777" w:rsidR="001C5E8C" w:rsidRDefault="00000000">
            <w:r>
              <w:rPr>
                <w:sz w:val="20"/>
                <w:szCs w:val="20"/>
              </w:rPr>
              <w:t>5 especialistas: 3,46 h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1D2281" w14:textId="77777777" w:rsidR="001C5E8C" w:rsidRDefault="00000000">
            <w:r>
              <w:rPr>
                <w:sz w:val="20"/>
                <w:szCs w:val="20"/>
              </w:rPr>
              <w:t>7 especialistas: 2,35 h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19A89" w14:textId="77777777" w:rsidR="001C5E8C" w:rsidRDefault="00000000">
            <w:r>
              <w:rPr>
                <w:b/>
                <w:bCs/>
                <w:sz w:val="20"/>
                <w:szCs w:val="20"/>
              </w:rPr>
              <w:t>1,11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25448" w14:textId="77777777" w:rsidR="001C5E8C" w:rsidRDefault="00000000">
            <w:r>
              <w:rPr>
                <w:b/>
                <w:bCs/>
                <w:sz w:val="20"/>
                <w:szCs w:val="20"/>
              </w:rPr>
              <w:t>17%</w:t>
            </w:r>
          </w:p>
        </w:tc>
      </w:tr>
      <w:tr w:rsidR="001C5E8C" w14:paraId="5871846A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01773" w14:textId="77777777" w:rsidR="001C5E8C" w:rsidRDefault="00000000">
            <w:r>
              <w:rPr>
                <w:sz w:val="20"/>
                <w:szCs w:val="20"/>
              </w:rPr>
              <w:t>Crescimento de vidas (não controlável)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06F58" w14:textId="77777777" w:rsidR="001C5E8C" w:rsidRDefault="00000000">
            <w:r>
              <w:rPr>
                <w:sz w:val="20"/>
                <w:szCs w:val="20"/>
              </w:rPr>
              <w:t>−20%: 2,18 h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C5145" w14:textId="77777777" w:rsidR="001C5E8C" w:rsidRDefault="00000000">
            <w:r>
              <w:rPr>
                <w:sz w:val="20"/>
                <w:szCs w:val="20"/>
              </w:rPr>
              <w:t>+20%: 3,28 h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696CA" w14:textId="77777777" w:rsidR="001C5E8C" w:rsidRDefault="00000000">
            <w:r>
              <w:rPr>
                <w:sz w:val="20"/>
                <w:szCs w:val="20"/>
              </w:rPr>
              <w:t>1,10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38B3D" w14:textId="77777777" w:rsidR="001C5E8C" w:rsidRDefault="00000000">
            <w:r>
              <w:rPr>
                <w:sz w:val="20"/>
                <w:szCs w:val="20"/>
              </w:rPr>
              <w:t>17%</w:t>
            </w:r>
          </w:p>
        </w:tc>
      </w:tr>
      <w:tr w:rsidR="001C5E8C" w14:paraId="7CC4F66D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1CDDF" w14:textId="77777777" w:rsidR="001C5E8C" w:rsidRDefault="00000000">
            <w:r>
              <w:rPr>
                <w:sz w:val="20"/>
                <w:szCs w:val="20"/>
              </w:rPr>
              <w:t>Tempo de consulta médica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3A50C" w14:textId="77777777" w:rsidR="001C5E8C" w:rsidRDefault="00000000">
            <w:r>
              <w:rPr>
                <w:sz w:val="20"/>
                <w:szCs w:val="20"/>
              </w:rPr>
              <w:t>−20%: 2,35 h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FB0AE" w14:textId="77777777" w:rsidR="001C5E8C" w:rsidRDefault="00000000">
            <w:r>
              <w:rPr>
                <w:sz w:val="20"/>
                <w:szCs w:val="20"/>
              </w:rPr>
              <w:t>+20%: 3,11 h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9A54E" w14:textId="77777777" w:rsidR="001C5E8C" w:rsidRDefault="00000000">
            <w:r>
              <w:rPr>
                <w:sz w:val="20"/>
                <w:szCs w:val="20"/>
              </w:rPr>
              <w:t>0,75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76D9E" w14:textId="77777777" w:rsidR="001C5E8C" w:rsidRDefault="00000000">
            <w:r>
              <w:rPr>
                <w:sz w:val="20"/>
                <w:szCs w:val="20"/>
              </w:rPr>
              <w:t>12%</w:t>
            </w:r>
          </w:p>
        </w:tc>
      </w:tr>
    </w:tbl>
    <w:p w14:paraId="2B2E9DFF" w14:textId="77777777" w:rsidR="001C5E8C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 xml:space="preserve">Tabela 2. Efeito de cada fator sobre o tempo médio até a consulta (20 réplicas por ponta, </w:t>
      </w:r>
      <w:proofErr w:type="spellStart"/>
      <w:r>
        <w:rPr>
          <w:i/>
          <w:iCs/>
          <w:color w:val="595959"/>
          <w:sz w:val="18"/>
          <w:szCs w:val="18"/>
        </w:rPr>
        <w:t>one</w:t>
      </w:r>
      <w:proofErr w:type="spellEnd"/>
      <w:r>
        <w:rPr>
          <w:i/>
          <w:iCs/>
          <w:color w:val="595959"/>
          <w:sz w:val="18"/>
          <w:szCs w:val="18"/>
        </w:rPr>
        <w:t>-</w:t>
      </w:r>
      <w:proofErr w:type="spellStart"/>
      <w:r>
        <w:rPr>
          <w:i/>
          <w:iCs/>
          <w:color w:val="595959"/>
          <w:sz w:val="18"/>
          <w:szCs w:val="18"/>
        </w:rPr>
        <w:t>at</w:t>
      </w:r>
      <w:proofErr w:type="spellEnd"/>
      <w:r>
        <w:rPr>
          <w:i/>
          <w:iCs/>
          <w:color w:val="595959"/>
          <w:sz w:val="18"/>
          <w:szCs w:val="18"/>
        </w:rPr>
        <w:t>-</w:t>
      </w:r>
      <w:proofErr w:type="spellStart"/>
      <w:r>
        <w:rPr>
          <w:i/>
          <w:iCs/>
          <w:color w:val="595959"/>
          <w:sz w:val="18"/>
          <w:szCs w:val="18"/>
        </w:rPr>
        <w:t>a-time</w:t>
      </w:r>
      <w:proofErr w:type="spellEnd"/>
      <w:r>
        <w:rPr>
          <w:i/>
          <w:iCs/>
          <w:color w:val="595959"/>
          <w:sz w:val="18"/>
          <w:szCs w:val="18"/>
        </w:rPr>
        <w:t>).</w:t>
      </w:r>
    </w:p>
    <w:p w14:paraId="367016C7" w14:textId="77777777" w:rsidR="001C5E8C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F524145" wp14:editId="519EC31D">
            <wp:extent cx="5334000" cy="2562225"/>
            <wp:effectExtent l="0" t="0" r="0" b="0"/>
            <wp:docPr id="1749143873" name="Gráfico de tornado da análise de sensibilidade" descr="Gráfico de tornado da análise de sensibilidade" title="Gráfico de tornado da análise de sen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B3A7" w14:textId="77777777" w:rsidR="001C5E8C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Figura 2. Gráfico de tornado — sensibilidade do tempo até a consulta (fonte: notebook E4, Etapa 3).</w:t>
      </w:r>
    </w:p>
    <w:p w14:paraId="38C6BB9A" w14:textId="77777777" w:rsidR="001C5E8C" w:rsidRDefault="00000000">
      <w:pPr>
        <w:spacing w:after="160"/>
      </w:pPr>
      <w:r>
        <w:rPr>
          <w:b/>
          <w:bCs/>
        </w:rPr>
        <w:t xml:space="preserve">Recomendação: </w:t>
      </w:r>
      <w:r>
        <w:t xml:space="preserve">entre os fatores que a diretoria pode de fato decidir (o número de especialistas e o tempo de autorização — o crescimento de vidas não é uma variável de decisão, é o cenário externo da Pergunta 1), o tempo de autorização </w:t>
      </w:r>
      <w:proofErr w:type="gramStart"/>
      <w:r>
        <w:t>tem, disparado</w:t>
      </w:r>
      <w:proofErr w:type="gramEnd"/>
      <w:r>
        <w:t>, o maior efeito isolado (53% da variação testada, contra 17% do número de especialistas). A recomendação é priorizar a agilização da central de autorização como primeiro investimento, e tratar o especialista extra como um investimento complementar, não substituto (confirmado na síntese de otimização, seção 4).</w:t>
      </w:r>
    </w:p>
    <w:p w14:paraId="3B17C3AF" w14:textId="77777777" w:rsidR="001C5E8C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Alerta metodológico: esta análise varia um fator de cada vez (abordagem </w:t>
      </w:r>
      <w:proofErr w:type="spellStart"/>
      <w:r>
        <w:rPr>
          <w:i/>
          <w:iCs/>
          <w:color w:val="595959"/>
          <w:sz w:val="20"/>
          <w:szCs w:val="20"/>
        </w:rPr>
        <w:t>one</w:t>
      </w:r>
      <w:proofErr w:type="spellEnd"/>
      <w:r>
        <w:rPr>
          <w:i/>
          <w:iCs/>
          <w:color w:val="595959"/>
          <w:sz w:val="20"/>
          <w:szCs w:val="20"/>
        </w:rPr>
        <w:t>-</w:t>
      </w:r>
      <w:proofErr w:type="spellStart"/>
      <w:r>
        <w:rPr>
          <w:i/>
          <w:iCs/>
          <w:color w:val="595959"/>
          <w:sz w:val="20"/>
          <w:szCs w:val="20"/>
        </w:rPr>
        <w:t>at</w:t>
      </w:r>
      <w:proofErr w:type="spellEnd"/>
      <w:r>
        <w:rPr>
          <w:i/>
          <w:iCs/>
          <w:color w:val="595959"/>
          <w:sz w:val="20"/>
          <w:szCs w:val="20"/>
        </w:rPr>
        <w:t>-</w:t>
      </w:r>
      <w:proofErr w:type="spellStart"/>
      <w:r>
        <w:rPr>
          <w:i/>
          <w:iCs/>
          <w:color w:val="595959"/>
          <w:sz w:val="20"/>
          <w:szCs w:val="20"/>
        </w:rPr>
        <w:t>a-time</w:t>
      </w:r>
      <w:proofErr w:type="spellEnd"/>
      <w:r>
        <w:rPr>
          <w:i/>
          <w:iCs/>
          <w:color w:val="595959"/>
          <w:sz w:val="20"/>
          <w:szCs w:val="20"/>
        </w:rPr>
        <w:t>), uma simplificação didática (Apostila E4, seção 3, e SALTELLI et al., 2017). Como o processo tem filas em série (a autorização alimenta a fila do especialista), pode haver interação entre os fatores que este método não captura por completo. Para uma decisão de investimento definitiva, recomenda-se complementar com um desenho fatorial ou um método de sensibilidade global.</w:t>
      </w:r>
    </w:p>
    <w:p w14:paraId="19BAE805" w14:textId="77777777" w:rsidR="001C5E8C" w:rsidRDefault="00000000">
      <w:pPr>
        <w:pStyle w:val="Ttulo1"/>
      </w:pPr>
      <w:r>
        <w:t>3. Pergunta 3 — Qual o risco de a rede sair do controle mesmo em regime normal, e qual o custo disso?</w:t>
      </w:r>
    </w:p>
    <w:p w14:paraId="3263BA52" w14:textId="77777777" w:rsidR="001C5E8C" w:rsidRDefault="00000000">
      <w:pPr>
        <w:pStyle w:val="Ttulo3"/>
      </w:pPr>
      <w:r>
        <w:t>Tipo de análise: Risco</w:t>
      </w:r>
    </w:p>
    <w:p w14:paraId="36EF9F9A" w14:textId="77777777" w:rsidR="001C5E8C" w:rsidRDefault="00000000">
      <w:pPr>
        <w:spacing w:after="160"/>
      </w:pPr>
      <w:r>
        <w:rPr>
          <w:b/>
          <w:bCs/>
        </w:rPr>
        <w:t xml:space="preserve">Problema: </w:t>
      </w:r>
      <w:r>
        <w:t>mesmo que a rede "aguente em média" o crescimento de carteira, a diretoria quer saber o risco de beneficiários individuais enfrentarem esperas muito acima da média, e o custo econômico associado, para poder comparar esse custo com o de outras intervenções (por exemplo, contratar especialistas ou vagas de exame).</w:t>
      </w:r>
    </w:p>
    <w:p w14:paraId="21CA992F" w14:textId="77777777" w:rsidR="001C5E8C" w:rsidRDefault="00000000">
      <w:pPr>
        <w:spacing w:after="160"/>
      </w:pPr>
      <w:r>
        <w:rPr>
          <w:b/>
          <w:bCs/>
        </w:rPr>
        <w:t xml:space="preserve">Métrica: </w:t>
      </w:r>
      <w:r>
        <w:t>distribuição completa do tempo até a consulta (percentis); probabilidade de exceder a meta interna de 24 horas (1 dia útil de expediente); fração do tempo com a rede de exames em zona crítica; custo esperado mensal do tempo excedente acima de uma meta operacional mais apertada (6 horas, resposta no mesmo turno de atendimento).</w:t>
      </w:r>
    </w:p>
    <w:p w14:paraId="7463696D" w14:textId="77777777" w:rsidR="001C5E8C" w:rsidRDefault="00000000">
      <w:pPr>
        <w:spacing w:after="160"/>
      </w:pPr>
      <w:r>
        <w:rPr>
          <w:b/>
          <w:bCs/>
        </w:rPr>
        <w:t xml:space="preserve">Alternativas: </w:t>
      </w:r>
      <w:r>
        <w:t>cenário de crescimento (27.000 vidas), capacidade atual, simulado com 30 réplicas independentes para descrever a distribuição completa do tempo até a consulta (não apenas a média).</w:t>
      </w:r>
    </w:p>
    <w:p w14:paraId="24D07422" w14:textId="77777777" w:rsidR="001C5E8C" w:rsidRDefault="00000000">
      <w:pPr>
        <w:spacing w:after="100"/>
      </w:pPr>
      <w:r>
        <w:rPr>
          <w:b/>
          <w:bCs/>
        </w:rPr>
        <w:t>Resultado: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0"/>
        <w:gridCol w:w="3880"/>
      </w:tblGrid>
      <w:tr w:rsidR="001C5E8C" w14:paraId="1B9EE78F" w14:textId="77777777">
        <w:trPr>
          <w:tblHeader/>
        </w:trPr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07A7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808F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Valor simulado (30 réplicas, 42.902 solicitações)</w:t>
            </w:r>
          </w:p>
        </w:tc>
      </w:tr>
      <w:tr w:rsidR="001C5E8C" w14:paraId="74863268" w14:textId="77777777"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62B4C" w14:textId="77777777" w:rsidR="001C5E8C" w:rsidRDefault="00000000">
            <w:r>
              <w:rPr>
                <w:sz w:val="20"/>
                <w:szCs w:val="20"/>
              </w:rPr>
              <w:t>Tempo até a consulta — média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57CDFC" w14:textId="77777777" w:rsidR="001C5E8C" w:rsidRDefault="00000000">
            <w:r>
              <w:rPr>
                <w:sz w:val="20"/>
                <w:szCs w:val="20"/>
              </w:rPr>
              <w:t>6,1 h</w:t>
            </w:r>
          </w:p>
        </w:tc>
      </w:tr>
      <w:tr w:rsidR="001C5E8C" w14:paraId="475F2F5E" w14:textId="77777777"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8B544" w14:textId="77777777" w:rsidR="001C5E8C" w:rsidRDefault="00000000">
            <w:r>
              <w:rPr>
                <w:sz w:val="20"/>
                <w:szCs w:val="20"/>
              </w:rPr>
              <w:t>Percentil 90 do tempo até a consulta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EEAB7" w14:textId="77777777" w:rsidR="001C5E8C" w:rsidRDefault="00000000">
            <w:r>
              <w:rPr>
                <w:sz w:val="20"/>
                <w:szCs w:val="20"/>
              </w:rPr>
              <w:t>12,1 h</w:t>
            </w:r>
          </w:p>
        </w:tc>
      </w:tr>
      <w:tr w:rsidR="001C5E8C" w14:paraId="54DB61AE" w14:textId="77777777"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90E87" w14:textId="77777777" w:rsidR="001C5E8C" w:rsidRDefault="00000000">
            <w:r>
              <w:rPr>
                <w:sz w:val="20"/>
                <w:szCs w:val="20"/>
              </w:rPr>
              <w:t>Percentil 95 do tempo até a consulta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F21AA" w14:textId="77777777" w:rsidR="001C5E8C" w:rsidRDefault="00000000">
            <w:r>
              <w:rPr>
                <w:sz w:val="20"/>
                <w:szCs w:val="20"/>
              </w:rPr>
              <w:t>15,7 h</w:t>
            </w:r>
          </w:p>
        </w:tc>
      </w:tr>
      <w:tr w:rsidR="001C5E8C" w14:paraId="5F7FC4E4" w14:textId="77777777"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F31C4" w14:textId="77777777" w:rsidR="001C5E8C" w:rsidRDefault="00000000">
            <w:r>
              <w:rPr>
                <w:sz w:val="20"/>
                <w:szCs w:val="20"/>
              </w:rPr>
              <w:t>Percentil 99 do tempo até a consulta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51913" w14:textId="77777777" w:rsidR="001C5E8C" w:rsidRDefault="00000000">
            <w:r>
              <w:rPr>
                <w:sz w:val="20"/>
                <w:szCs w:val="20"/>
              </w:rPr>
              <w:t>23,5 h</w:t>
            </w:r>
          </w:p>
        </w:tc>
      </w:tr>
      <w:tr w:rsidR="001C5E8C" w14:paraId="13FEAA9C" w14:textId="77777777"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15A9C" w14:textId="77777777" w:rsidR="001C5E8C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tempo até a consulta &gt; meta interna de 24h)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DEF36" w14:textId="77777777" w:rsidR="001C5E8C" w:rsidRDefault="00000000">
            <w:r>
              <w:rPr>
                <w:sz w:val="20"/>
                <w:szCs w:val="20"/>
              </w:rPr>
              <w:t>0,91%</w:t>
            </w:r>
          </w:p>
        </w:tc>
      </w:tr>
      <w:tr w:rsidR="001C5E8C" w14:paraId="3A3963EE" w14:textId="77777777"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3DACB" w14:textId="77777777" w:rsidR="001C5E8C" w:rsidRDefault="00000000">
            <w:r>
              <w:rPr>
                <w:sz w:val="20"/>
                <w:szCs w:val="20"/>
              </w:rPr>
              <w:t>% do tempo com a rede de exames em zona crítica (&gt;95%)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D7975" w14:textId="77777777" w:rsidR="001C5E8C" w:rsidRDefault="00000000">
            <w:r>
              <w:rPr>
                <w:sz w:val="20"/>
                <w:szCs w:val="20"/>
              </w:rPr>
              <w:t>61,9%</w:t>
            </w:r>
          </w:p>
        </w:tc>
      </w:tr>
      <w:tr w:rsidR="001C5E8C" w14:paraId="0D255263" w14:textId="77777777"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B86EA" w14:textId="77777777" w:rsidR="001C5E8C" w:rsidRDefault="00000000">
            <w:r>
              <w:rPr>
                <w:sz w:val="20"/>
                <w:szCs w:val="20"/>
              </w:rPr>
              <w:t>Custo por hora excedente acima de 6h (parâmetro didático)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3969A" w14:textId="77777777" w:rsidR="001C5E8C" w:rsidRDefault="00000000">
            <w:r>
              <w:rPr>
                <w:sz w:val="20"/>
                <w:szCs w:val="20"/>
              </w:rPr>
              <w:t>R$ 40,00 / hora</w:t>
            </w:r>
          </w:p>
        </w:tc>
      </w:tr>
      <w:tr w:rsidR="001C5E8C" w14:paraId="38BA29CA" w14:textId="77777777">
        <w:tc>
          <w:tcPr>
            <w:tcW w:w="5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65B88" w14:textId="77777777" w:rsidR="001C5E8C" w:rsidRDefault="00000000">
            <w:r>
              <w:rPr>
                <w:b/>
                <w:bCs/>
                <w:sz w:val="20"/>
                <w:szCs w:val="20"/>
              </w:rPr>
              <w:t>Custo esperado do tempo excedente, por mês</w:t>
            </w:r>
          </w:p>
        </w:tc>
        <w:tc>
          <w:tcPr>
            <w:tcW w:w="3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259C2" w14:textId="77777777" w:rsidR="001C5E8C" w:rsidRDefault="00000000">
            <w:r>
              <w:rPr>
                <w:b/>
                <w:bCs/>
                <w:sz w:val="20"/>
                <w:szCs w:val="20"/>
              </w:rPr>
              <w:t>≈ R$ 98.760</w:t>
            </w:r>
          </w:p>
        </w:tc>
      </w:tr>
    </w:tbl>
    <w:p w14:paraId="58E1FAB4" w14:textId="77777777" w:rsidR="001C5E8C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3. Indicadores de risco do tempo até a consulta no cenário de crescimento (30 réplicas, 42.902 solicitações).</w:t>
      </w:r>
    </w:p>
    <w:p w14:paraId="705BC0CD" w14:textId="77777777" w:rsidR="001C5E8C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2B02193" wp14:editId="4A04EFC6">
            <wp:extent cx="5334000" cy="2562225"/>
            <wp:effectExtent l="0" t="0" r="0" b="0"/>
            <wp:docPr id="108509220" name="Histograma da distribuição do tempo até a consulta" descr="Histograma da distribuição do tempo até a consulta" title="Histograma da distribuição do tempo até a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6A84" w14:textId="77777777" w:rsidR="001C5E8C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Figura 3. Distribuição do tempo até a consulta no cenário de crescimento (fonte: notebook E4, Etapa 4).</w:t>
      </w:r>
    </w:p>
    <w:p w14:paraId="2A030EF7" w14:textId="77777777" w:rsidR="001C5E8C" w:rsidRDefault="00000000">
      <w:pPr>
        <w:spacing w:after="160"/>
      </w:pPr>
      <w:r>
        <w:rPr>
          <w:b/>
          <w:bCs/>
        </w:rPr>
        <w:t xml:space="preserve">Recomendação: </w:t>
      </w:r>
      <w:r>
        <w:t>mesmo com uma probabilidade de exceder a meta interna relativamente baixa (0,91%), a cauda da distribuição (P95 = 15,7h, P99 = 23,5h) já é longa, e o custo esperado do tempo excedente (≈ R$ 98.760/mês, a um parâmetro didático de R$ 40,00 por hora excedente) é um número que a diretoria pode comparar diretamente com o custo de outras intervenções. O indicador mais crítico, porém, é o de congestionamento: sem nenhum ajuste, a rede de exames passa 61,9% do tempo em zona crítica — um risco de reputação e de baixa margem para absorver picos de demanda que a média mensal, sozinha, esconde. Esses números reforçam a urgência das recomendações das Perguntas 1 e 2.</w:t>
      </w:r>
    </w:p>
    <w:p w14:paraId="5261D85F" w14:textId="77777777" w:rsidR="001C5E8C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Nota de leitura: o parâmetro de R$ 40,00 por hora excedente é uma hipótese didática. Para uso gerencial real, deve ser substituído pelo custo efetivo de reputação, NPS, glosa contratual ou SLA da operadora. Nota regulatória: todos os prazos aqui são o tempo interno de regulação e agendamento, sempre muito abaixo do teto da ANS (RN 566/2022); o risco discutido nesta seção é operacional e de experiência do beneficiário, não de descumprimento regulatório.</w:t>
      </w:r>
    </w:p>
    <w:p w14:paraId="0EB688A9" w14:textId="77777777" w:rsidR="001C5E8C" w:rsidRDefault="00000000">
      <w:pPr>
        <w:pStyle w:val="Ttulo1"/>
      </w:pPr>
      <w:r>
        <w:t>4. Síntese: confirmação cruzada via otimização</w:t>
      </w:r>
    </w:p>
    <w:p w14:paraId="0BA56E33" w14:textId="77777777" w:rsidR="001C5E8C" w:rsidRDefault="00000000">
      <w:pPr>
        <w:spacing w:after="160"/>
      </w:pPr>
      <w:r>
        <w:lastRenderedPageBreak/>
        <w:t>A análise de otimização varia simultaneamente especialistas extra (0, 2 ou 4) e vagas de exame extra (0, 3 ou 6), no cenário de crescimento (27.000 vidas), sujeita a duas restrições: tempo até a consulta médio abaixo de 5 horas e menos de 20% do tempo com a rede de exames em zona crítica. O objetivo é encontrar, entre as combinações viáveis, a de menor custo mensal.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900"/>
        <w:gridCol w:w="1500"/>
        <w:gridCol w:w="1660"/>
      </w:tblGrid>
      <w:tr w:rsidR="001C5E8C" w14:paraId="33304AA2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53D8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Combinação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83F2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Tempo até a consulta (h)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CC22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% tempo exame crítico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F970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Custo mensal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034D" w14:textId="77777777" w:rsidR="001C5E8C" w:rsidRDefault="00000000">
            <w:r>
              <w:rPr>
                <w:b/>
                <w:bCs/>
                <w:color w:val="FFFFFF"/>
                <w:sz w:val="20"/>
                <w:szCs w:val="20"/>
              </w:rPr>
              <w:t>Viável?</w:t>
            </w:r>
          </w:p>
        </w:tc>
      </w:tr>
      <w:tr w:rsidR="001C5E8C" w14:paraId="7849633D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C0264" w14:textId="77777777" w:rsidR="001C5E8C" w:rsidRDefault="00000000">
            <w:r>
              <w:rPr>
                <w:sz w:val="20"/>
                <w:szCs w:val="20"/>
              </w:rPr>
              <w:t>0 especialistas, 0 exames (base)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4927E" w14:textId="77777777" w:rsidR="001C5E8C" w:rsidRDefault="00000000">
            <w:r>
              <w:rPr>
                <w:sz w:val="20"/>
                <w:szCs w:val="20"/>
              </w:rPr>
              <w:t>5,68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4AF48" w14:textId="77777777" w:rsidR="001C5E8C" w:rsidRDefault="00000000">
            <w:r>
              <w:rPr>
                <w:sz w:val="20"/>
                <w:szCs w:val="20"/>
              </w:rPr>
              <w:t>59,1%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55040" w14:textId="77777777" w:rsidR="001C5E8C" w:rsidRDefault="00000000">
            <w:r>
              <w:rPr>
                <w:sz w:val="20"/>
                <w:szCs w:val="20"/>
              </w:rPr>
              <w:t>R$ 0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45ABA" w14:textId="77777777" w:rsidR="001C5E8C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1C5E8C" w14:paraId="2A9BDC09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11AEA" w14:textId="77777777" w:rsidR="001C5E8C" w:rsidRDefault="00000000">
            <w:r>
              <w:rPr>
                <w:sz w:val="20"/>
                <w:szCs w:val="20"/>
              </w:rPr>
              <w:t>0 especialistas, +3 exames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2514F" w14:textId="77777777" w:rsidR="001C5E8C" w:rsidRDefault="00000000">
            <w:r>
              <w:rPr>
                <w:sz w:val="20"/>
                <w:szCs w:val="20"/>
              </w:rPr>
              <w:t>5,39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6166C" w14:textId="77777777" w:rsidR="001C5E8C" w:rsidRDefault="00000000">
            <w:r>
              <w:rPr>
                <w:sz w:val="20"/>
                <w:szCs w:val="20"/>
              </w:rPr>
              <w:t>17,3%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6F516" w14:textId="77777777" w:rsidR="001C5E8C" w:rsidRDefault="00000000">
            <w:r>
              <w:rPr>
                <w:sz w:val="20"/>
                <w:szCs w:val="20"/>
              </w:rPr>
              <w:t>R$ 9.000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5549C" w14:textId="77777777" w:rsidR="001C5E8C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1C5E8C" w14:paraId="743812CC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50662" w14:textId="77777777" w:rsidR="001C5E8C" w:rsidRDefault="00000000">
            <w:r>
              <w:rPr>
                <w:sz w:val="20"/>
                <w:szCs w:val="20"/>
              </w:rPr>
              <w:t>+2 especialistas, 0 exames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2B186" w14:textId="77777777" w:rsidR="001C5E8C" w:rsidRDefault="00000000">
            <w:r>
              <w:rPr>
                <w:sz w:val="20"/>
                <w:szCs w:val="20"/>
              </w:rPr>
              <w:t>4,20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125F2" w14:textId="77777777" w:rsidR="001C5E8C" w:rsidRDefault="00000000">
            <w:r>
              <w:rPr>
                <w:sz w:val="20"/>
                <w:szCs w:val="20"/>
              </w:rPr>
              <w:t>52,4%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9543C" w14:textId="77777777" w:rsidR="001C5E8C" w:rsidRDefault="00000000">
            <w:r>
              <w:rPr>
                <w:sz w:val="20"/>
                <w:szCs w:val="20"/>
              </w:rPr>
              <w:t>R$ 24.000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158C9" w14:textId="77777777" w:rsidR="001C5E8C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1C5E8C" w14:paraId="3DA40AF0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61F03" w14:textId="77777777" w:rsidR="001C5E8C" w:rsidRDefault="00000000">
            <w:r>
              <w:rPr>
                <w:b/>
                <w:bCs/>
                <w:sz w:val="20"/>
                <w:szCs w:val="20"/>
              </w:rPr>
              <w:t>+2 especialistas, +3 exames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07628" w14:textId="77777777" w:rsidR="001C5E8C" w:rsidRDefault="00000000">
            <w:r>
              <w:rPr>
                <w:sz w:val="20"/>
                <w:szCs w:val="20"/>
              </w:rPr>
              <w:t>4,15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19B9E" w14:textId="77777777" w:rsidR="001C5E8C" w:rsidRDefault="00000000">
            <w:r>
              <w:rPr>
                <w:sz w:val="20"/>
                <w:szCs w:val="20"/>
              </w:rPr>
              <w:t>15,5%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BFA5A" w14:textId="77777777" w:rsidR="001C5E8C" w:rsidRDefault="00000000">
            <w:r>
              <w:rPr>
                <w:b/>
                <w:bCs/>
                <w:sz w:val="20"/>
                <w:szCs w:val="20"/>
              </w:rPr>
              <w:t>R$ 33.000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F0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3593" w14:textId="77777777" w:rsidR="001C5E8C" w:rsidRDefault="00000000">
            <w:r>
              <w:rPr>
                <w:b/>
                <w:bCs/>
                <w:sz w:val="20"/>
                <w:szCs w:val="20"/>
              </w:rPr>
              <w:t>Sim — recomendada</w:t>
            </w:r>
          </w:p>
        </w:tc>
      </w:tr>
      <w:tr w:rsidR="001C5E8C" w14:paraId="38AD5044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47E6A" w14:textId="77777777" w:rsidR="001C5E8C" w:rsidRDefault="00000000">
            <w:r>
              <w:rPr>
                <w:sz w:val="20"/>
                <w:szCs w:val="20"/>
              </w:rPr>
              <w:t>+4 especialistas, +3 exames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2918F" w14:textId="77777777" w:rsidR="001C5E8C" w:rsidRDefault="00000000">
            <w:r>
              <w:rPr>
                <w:sz w:val="20"/>
                <w:szCs w:val="20"/>
              </w:rPr>
              <w:t>3,98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6E7C0" w14:textId="77777777" w:rsidR="001C5E8C" w:rsidRDefault="00000000">
            <w:r>
              <w:rPr>
                <w:sz w:val="20"/>
                <w:szCs w:val="20"/>
              </w:rPr>
              <w:t>13,9%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5918F" w14:textId="77777777" w:rsidR="001C5E8C" w:rsidRDefault="00000000">
            <w:r>
              <w:rPr>
                <w:sz w:val="20"/>
                <w:szCs w:val="20"/>
              </w:rPr>
              <w:t>R$ 57.000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DE881" w14:textId="77777777" w:rsidR="001C5E8C" w:rsidRDefault="00000000">
            <w:r>
              <w:rPr>
                <w:sz w:val="20"/>
                <w:szCs w:val="20"/>
              </w:rPr>
              <w:t>Sim (dominada)</w:t>
            </w:r>
          </w:p>
        </w:tc>
      </w:tr>
    </w:tbl>
    <w:p w14:paraId="6BED0B67" w14:textId="77777777" w:rsidR="001C5E8C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4. Combinações de especialistas e vagas de exame extras, restrições e custo (recorte das combinações mais relevantes; grade completa no notebook).</w:t>
      </w:r>
    </w:p>
    <w:p w14:paraId="7FDB724A" w14:textId="77777777" w:rsidR="001C5E8C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A6F63EF" wp14:editId="5E599BF8">
            <wp:extent cx="4381500" cy="3286125"/>
            <wp:effectExtent l="0" t="0" r="0" b="0"/>
            <wp:docPr id="1938343707" name="Gráfico de otimização custo vs. congestionamento" descr="Gráfico de otimização custo vs. congestionamento" title="Gráfico de otimização custo vs. congest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7519" w14:textId="77777777" w:rsidR="001C5E8C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Figura 4. Custo vs. congestionamento da rede de exames, por combinação de especialistas e vagas de exame (fonte: notebook E4, Etapa 5).</w:t>
      </w:r>
    </w:p>
    <w:p w14:paraId="78E50F6E" w14:textId="77777777" w:rsidR="001C5E8C" w:rsidRDefault="00000000">
      <w:pPr>
        <w:spacing w:after="160"/>
      </w:pPr>
      <w:r>
        <w:t xml:space="preserve">A combinação de menor custo entre as viáveis é 2 especialistas extra + 3 vagas de exame extra (R$ 33.000/mês), que atinge tempo até a consulta de 4,15 horas e apenas 15,5% do tempo em zona crítica. Note que reforçar só as vagas de exame (0 especialistas + 3 exames, R$ 9.000/mês) não resolve o tempo até a consulta (5,39h, ainda acima da meta de 5h), e reforçar só os especialistas (2 especialistas + 0 exames, R$ 24.000/mês) não resolve o congestionamento da rede de exames (52,4%, muito acima da </w:t>
      </w:r>
      <w:r>
        <w:lastRenderedPageBreak/>
        <w:t>meta de 20%). As duas alavancas — especialistas e exames — precisam andar juntas; nenhuma delas isoladamente é suficiente.</w:t>
      </w:r>
    </w:p>
    <w:p w14:paraId="068DD684" w14:textId="77777777" w:rsidR="001C5E8C" w:rsidRDefault="00000000">
      <w:pPr>
        <w:pStyle w:val="Ttulo1"/>
      </w:pPr>
      <w:r>
        <w:t>5. Limitações metodológicas</w:t>
      </w:r>
    </w:p>
    <w:p w14:paraId="0A6B3A7B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t>Os parâmetros de demanda, tempo de processamento, probabilidade de exame e custo usados nas simulações são hipóteses didáticas para fins de aula, não dados reais de nenhuma operadora; a estrutura de decisão é reaproveitável, os números específicos não.</w:t>
      </w:r>
    </w:p>
    <w:p w14:paraId="4EAF40D2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t>A análise de sensibilidade usa variação de um fator por vez (OAT), uma simplificação; efeitos de interação entre fatores não foram testados de forma exaustiva (SALTELLI et al., 2017).</w:t>
      </w:r>
    </w:p>
    <w:p w14:paraId="3456A4B6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t>A otimização usa busca exaustiva sobre um conjunto pequeno e discreto de alternativas, adequada apenas porque o espaço de decisão testado é pequeno (AMARAN et al., 2017).</w:t>
      </w:r>
    </w:p>
    <w:p w14:paraId="7AF9AD96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t>O modelo mantém todos os recursos (autorização, especialistas, exames) subcríticos mesmo no cenário de crescimento, por desenho: um sistema cronicamente sobrecarregado não tem um tempo médio de espera estável, o que tornaria as métricas de risco dependentes da duração arbitrária da simulação.</w:t>
      </w:r>
    </w:p>
    <w:p w14:paraId="57853AAB" w14:textId="77777777" w:rsidR="001C5E8C" w:rsidRDefault="00000000">
      <w:pPr>
        <w:pStyle w:val="PargrafodaLista"/>
        <w:numPr>
          <w:ilvl w:val="0"/>
          <w:numId w:val="2"/>
        </w:numPr>
        <w:spacing w:after="100"/>
      </w:pPr>
      <w:r>
        <w:t>Toda recomendação aqui pressupõe validação com dados reais e com a equipe operacional da rede credenciada antes da implementação (KRAMER et al., 2020).</w:t>
      </w:r>
    </w:p>
    <w:p w14:paraId="2D28909B" w14:textId="77777777" w:rsidR="001C5E8C" w:rsidRDefault="00000000">
      <w:pPr>
        <w:spacing w:after="160"/>
      </w:pPr>
      <w:r>
        <w:t>Reprodutibilidade: todos os números deste relatório foram gerados pelo notebook E4_Propostas_</w:t>
      </w:r>
      <w:proofErr w:type="gramStart"/>
      <w:r>
        <w:t>Analises</w:t>
      </w:r>
      <w:proofErr w:type="gramEnd"/>
      <w:r>
        <w:t>_Decisao.ipynb, que acompanha esta apostila. Para aplicar esta mesma estrutura a uma decisão real de gestão de carteira, substitua os parâmetros de entrada pelos dados observados e repita as quatro análises.</w:t>
      </w:r>
    </w:p>
    <w:p w14:paraId="08406606" w14:textId="77777777" w:rsidR="001C5E8C" w:rsidRDefault="00000000">
      <w:pPr>
        <w:pStyle w:val="Ttulo1"/>
      </w:pPr>
      <w:r>
        <w:t>Referências</w:t>
      </w:r>
    </w:p>
    <w:p w14:paraId="2996B43F" w14:textId="77777777" w:rsidR="001C5E8C" w:rsidRDefault="00000000">
      <w:pPr>
        <w:spacing w:after="160"/>
      </w:pPr>
      <w:r>
        <w:rPr>
          <w:sz w:val="20"/>
          <w:szCs w:val="20"/>
        </w:rPr>
        <w:t>AGÊNCIA NACIONAL DE SAÚDE SUPLEMENTAR (ANS). Resolução Normativa nº 566, de 2022 — prazos máximos para garantia de atendimento.</w:t>
      </w:r>
    </w:p>
    <w:p w14:paraId="158D93FB" w14:textId="77777777" w:rsidR="001C5E8C" w:rsidRPr="00FA61D1" w:rsidRDefault="00000000">
      <w:pPr>
        <w:spacing w:after="160"/>
        <w:rPr>
          <w:lang w:val="de-DE"/>
        </w:rPr>
      </w:pPr>
      <w:r w:rsidRPr="00FA61D1">
        <w:rPr>
          <w:sz w:val="20"/>
          <w:szCs w:val="20"/>
          <w:lang w:val="de-DE"/>
        </w:rPr>
        <w:t xml:space="preserve">AMARAN, S. et al. Simulation </w:t>
      </w:r>
      <w:proofErr w:type="spellStart"/>
      <w:r w:rsidRPr="00FA61D1">
        <w:rPr>
          <w:sz w:val="20"/>
          <w:szCs w:val="20"/>
          <w:lang w:val="de-DE"/>
        </w:rPr>
        <w:t>optimization</w:t>
      </w:r>
      <w:proofErr w:type="spellEnd"/>
      <w:r w:rsidRPr="00FA61D1">
        <w:rPr>
          <w:sz w:val="20"/>
          <w:szCs w:val="20"/>
          <w:lang w:val="de-DE"/>
        </w:rPr>
        <w:t xml:space="preserve">: a review </w:t>
      </w:r>
      <w:proofErr w:type="spellStart"/>
      <w:r w:rsidRPr="00FA61D1">
        <w:rPr>
          <w:sz w:val="20"/>
          <w:szCs w:val="20"/>
          <w:lang w:val="de-DE"/>
        </w:rPr>
        <w:t>of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algorithms</w:t>
      </w:r>
      <w:proofErr w:type="spellEnd"/>
      <w:r w:rsidRPr="00FA61D1">
        <w:rPr>
          <w:sz w:val="20"/>
          <w:szCs w:val="20"/>
          <w:lang w:val="de-DE"/>
        </w:rPr>
        <w:t xml:space="preserve"> and </w:t>
      </w:r>
      <w:proofErr w:type="spellStart"/>
      <w:r w:rsidRPr="00FA61D1">
        <w:rPr>
          <w:sz w:val="20"/>
          <w:szCs w:val="20"/>
          <w:lang w:val="de-DE"/>
        </w:rPr>
        <w:t>applications</w:t>
      </w:r>
      <w:proofErr w:type="spellEnd"/>
      <w:r w:rsidRPr="00FA61D1">
        <w:rPr>
          <w:sz w:val="20"/>
          <w:szCs w:val="20"/>
          <w:lang w:val="de-DE"/>
        </w:rPr>
        <w:t>. arXiv:1706.08591, 2017.</w:t>
      </w:r>
    </w:p>
    <w:p w14:paraId="7372B569" w14:textId="77777777" w:rsidR="001C5E8C" w:rsidRPr="00FA61D1" w:rsidRDefault="00000000">
      <w:pPr>
        <w:spacing w:after="160"/>
        <w:rPr>
          <w:lang w:val="de-DE"/>
        </w:rPr>
      </w:pPr>
      <w:r w:rsidRPr="00FA61D1">
        <w:rPr>
          <w:sz w:val="20"/>
          <w:szCs w:val="20"/>
          <w:lang w:val="de-DE"/>
        </w:rPr>
        <w:t xml:space="preserve">KRAMER, A. et al. </w:t>
      </w:r>
      <w:proofErr w:type="spellStart"/>
      <w:r w:rsidRPr="00FA61D1">
        <w:rPr>
          <w:sz w:val="20"/>
          <w:szCs w:val="20"/>
          <w:lang w:val="de-DE"/>
        </w:rPr>
        <w:t>Successful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implementation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of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discrete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event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simulation</w:t>
      </w:r>
      <w:proofErr w:type="spellEnd"/>
      <w:r w:rsidRPr="00FA61D1">
        <w:rPr>
          <w:sz w:val="20"/>
          <w:szCs w:val="20"/>
          <w:lang w:val="de-DE"/>
        </w:rPr>
        <w:t xml:space="preserve">: </w:t>
      </w:r>
      <w:proofErr w:type="spellStart"/>
      <w:r w:rsidRPr="00FA61D1">
        <w:rPr>
          <w:sz w:val="20"/>
          <w:szCs w:val="20"/>
          <w:lang w:val="de-DE"/>
        </w:rPr>
        <w:t>the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case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of</w:t>
      </w:r>
      <w:proofErr w:type="spellEnd"/>
      <w:r w:rsidRPr="00FA61D1">
        <w:rPr>
          <w:sz w:val="20"/>
          <w:szCs w:val="20"/>
          <w:lang w:val="de-DE"/>
        </w:rPr>
        <w:t xml:space="preserve"> an </w:t>
      </w:r>
      <w:proofErr w:type="spellStart"/>
      <w:r w:rsidRPr="00FA61D1">
        <w:rPr>
          <w:sz w:val="20"/>
          <w:szCs w:val="20"/>
          <w:lang w:val="de-DE"/>
        </w:rPr>
        <w:t>Italian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emergency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department</w:t>
      </w:r>
      <w:proofErr w:type="spellEnd"/>
      <w:r w:rsidRPr="00FA61D1">
        <w:rPr>
          <w:sz w:val="20"/>
          <w:szCs w:val="20"/>
          <w:lang w:val="de-DE"/>
        </w:rPr>
        <w:t>. arXiv:2006.13062, 2020.</w:t>
      </w:r>
    </w:p>
    <w:p w14:paraId="12A663F3" w14:textId="77777777" w:rsidR="001C5E8C" w:rsidRPr="00FA61D1" w:rsidRDefault="00000000">
      <w:pPr>
        <w:spacing w:after="160"/>
        <w:rPr>
          <w:lang w:val="de-DE"/>
        </w:rPr>
      </w:pPr>
      <w:r w:rsidRPr="00FA61D1">
        <w:rPr>
          <w:sz w:val="20"/>
          <w:szCs w:val="20"/>
          <w:lang w:val="de-DE"/>
        </w:rPr>
        <w:t xml:space="preserve">SALTELLI, A. et al. Why so </w:t>
      </w:r>
      <w:proofErr w:type="spellStart"/>
      <w:r w:rsidRPr="00FA61D1">
        <w:rPr>
          <w:sz w:val="20"/>
          <w:szCs w:val="20"/>
          <w:lang w:val="de-DE"/>
        </w:rPr>
        <w:t>many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published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sensitivity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analyses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are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false</w:t>
      </w:r>
      <w:proofErr w:type="spellEnd"/>
      <w:r w:rsidRPr="00FA61D1">
        <w:rPr>
          <w:sz w:val="20"/>
          <w:szCs w:val="20"/>
          <w:lang w:val="de-DE"/>
        </w:rPr>
        <w:t xml:space="preserve">: a </w:t>
      </w:r>
      <w:proofErr w:type="spellStart"/>
      <w:r w:rsidRPr="00FA61D1">
        <w:rPr>
          <w:sz w:val="20"/>
          <w:szCs w:val="20"/>
          <w:lang w:val="de-DE"/>
        </w:rPr>
        <w:t>systematic</w:t>
      </w:r>
      <w:proofErr w:type="spellEnd"/>
      <w:r w:rsidRPr="00FA61D1">
        <w:rPr>
          <w:sz w:val="20"/>
          <w:szCs w:val="20"/>
          <w:lang w:val="de-DE"/>
        </w:rPr>
        <w:t xml:space="preserve"> review </w:t>
      </w:r>
      <w:proofErr w:type="spellStart"/>
      <w:r w:rsidRPr="00FA61D1">
        <w:rPr>
          <w:sz w:val="20"/>
          <w:szCs w:val="20"/>
          <w:lang w:val="de-DE"/>
        </w:rPr>
        <w:t>of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sensitivity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analysis</w:t>
      </w:r>
      <w:proofErr w:type="spellEnd"/>
      <w:r w:rsidRPr="00FA61D1">
        <w:rPr>
          <w:sz w:val="20"/>
          <w:szCs w:val="20"/>
          <w:lang w:val="de-DE"/>
        </w:rPr>
        <w:t xml:space="preserve"> </w:t>
      </w:r>
      <w:proofErr w:type="spellStart"/>
      <w:r w:rsidRPr="00FA61D1">
        <w:rPr>
          <w:sz w:val="20"/>
          <w:szCs w:val="20"/>
          <w:lang w:val="de-DE"/>
        </w:rPr>
        <w:t>practices</w:t>
      </w:r>
      <w:proofErr w:type="spellEnd"/>
      <w:r w:rsidRPr="00FA61D1">
        <w:rPr>
          <w:sz w:val="20"/>
          <w:szCs w:val="20"/>
          <w:lang w:val="de-DE"/>
        </w:rPr>
        <w:t>. arXiv:1711.11359, 2017.</w:t>
      </w:r>
    </w:p>
    <w:p w14:paraId="14551CD9" w14:textId="77777777" w:rsidR="001C5E8C" w:rsidRDefault="00000000">
      <w:pPr>
        <w:spacing w:after="160"/>
      </w:pPr>
      <w:r>
        <w:rPr>
          <w:sz w:val="20"/>
          <w:szCs w:val="20"/>
        </w:rPr>
        <w:t>Apostila E4 — Proposta de Análises para Auxiliar a Tomada de Decisão em Serviços de Saúde. UNIMED SP, 2026.</w:t>
      </w:r>
    </w:p>
    <w:sectPr w:rsidR="001C5E8C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AABA9D" w14:textId="77777777" w:rsidR="00825958" w:rsidRDefault="00825958">
      <w:r>
        <w:separator/>
      </w:r>
    </w:p>
  </w:endnote>
  <w:endnote w:type="continuationSeparator" w:id="0">
    <w:p w14:paraId="3F32A70F" w14:textId="77777777" w:rsidR="00825958" w:rsidRDefault="00825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1E97DA" w14:textId="77777777" w:rsidR="001C5E8C" w:rsidRDefault="00000000">
    <w:pPr>
      <w:tabs>
        <w:tab w:val="right" w:pos="9026"/>
      </w:tabs>
    </w:pPr>
    <w:r>
      <w:rPr>
        <w:color w:val="595959"/>
        <w:sz w:val="18"/>
        <w:szCs w:val="18"/>
      </w:rPr>
      <w:t>Prof. Pedro — Simulação em Serviços de Saúde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A61D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6A6099" w14:textId="77777777" w:rsidR="00825958" w:rsidRDefault="00825958">
      <w:r>
        <w:separator/>
      </w:r>
    </w:p>
  </w:footnote>
  <w:footnote w:type="continuationSeparator" w:id="0">
    <w:p w14:paraId="10D25A02" w14:textId="77777777" w:rsidR="00825958" w:rsidRDefault="00825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2CE14" w14:textId="77777777" w:rsidR="001C5E8C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8"/>
        <w:szCs w:val="18"/>
      </w:rPr>
      <w:t>UNIMED SP — Simulação em Serviços de Saúde</w:t>
    </w:r>
    <w:r>
      <w:rPr>
        <w:color w:val="595959"/>
        <w:sz w:val="18"/>
        <w:szCs w:val="18"/>
      </w:rPr>
      <w:tab/>
      <w:t>Aula E4 — Exemplo de Relatório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CB43D0"/>
    <w:multiLevelType w:val="hybridMultilevel"/>
    <w:tmpl w:val="85FC7D58"/>
    <w:lvl w:ilvl="0" w:tplc="3C40D694">
      <w:start w:val="1"/>
      <w:numFmt w:val="bullet"/>
      <w:lvlText w:val="•"/>
      <w:lvlJc w:val="left"/>
      <w:pPr>
        <w:ind w:left="620" w:hanging="320"/>
      </w:pPr>
    </w:lvl>
    <w:lvl w:ilvl="1" w:tplc="7DFE1258">
      <w:numFmt w:val="decimal"/>
      <w:lvlText w:val=""/>
      <w:lvlJc w:val="left"/>
    </w:lvl>
    <w:lvl w:ilvl="2" w:tplc="38F223B4">
      <w:numFmt w:val="decimal"/>
      <w:lvlText w:val=""/>
      <w:lvlJc w:val="left"/>
    </w:lvl>
    <w:lvl w:ilvl="3" w:tplc="FEB899DA">
      <w:numFmt w:val="decimal"/>
      <w:lvlText w:val=""/>
      <w:lvlJc w:val="left"/>
    </w:lvl>
    <w:lvl w:ilvl="4" w:tplc="ED52F7EC">
      <w:numFmt w:val="decimal"/>
      <w:lvlText w:val=""/>
      <w:lvlJc w:val="left"/>
    </w:lvl>
    <w:lvl w:ilvl="5" w:tplc="E362A0EA">
      <w:numFmt w:val="decimal"/>
      <w:lvlText w:val=""/>
      <w:lvlJc w:val="left"/>
    </w:lvl>
    <w:lvl w:ilvl="6" w:tplc="A0EE4566">
      <w:numFmt w:val="decimal"/>
      <w:lvlText w:val=""/>
      <w:lvlJc w:val="left"/>
    </w:lvl>
    <w:lvl w:ilvl="7" w:tplc="C79E7ADE">
      <w:numFmt w:val="decimal"/>
      <w:lvlText w:val=""/>
      <w:lvlJc w:val="left"/>
    </w:lvl>
    <w:lvl w:ilvl="8" w:tplc="F7422F66">
      <w:numFmt w:val="decimal"/>
      <w:lvlText w:val=""/>
      <w:lvlJc w:val="left"/>
    </w:lvl>
  </w:abstractNum>
  <w:abstractNum w:abstractNumId="1" w15:restartNumberingAfterBreak="0">
    <w:nsid w:val="5A356EA5"/>
    <w:multiLevelType w:val="hybridMultilevel"/>
    <w:tmpl w:val="F3A0F8D0"/>
    <w:lvl w:ilvl="0" w:tplc="E6747936">
      <w:start w:val="1"/>
      <w:numFmt w:val="bullet"/>
      <w:lvlText w:val="●"/>
      <w:lvlJc w:val="left"/>
      <w:pPr>
        <w:ind w:left="720" w:hanging="360"/>
      </w:pPr>
    </w:lvl>
    <w:lvl w:ilvl="1" w:tplc="7D2A4892">
      <w:start w:val="1"/>
      <w:numFmt w:val="bullet"/>
      <w:lvlText w:val="○"/>
      <w:lvlJc w:val="left"/>
      <w:pPr>
        <w:ind w:left="1440" w:hanging="360"/>
      </w:pPr>
    </w:lvl>
    <w:lvl w:ilvl="2" w:tplc="7E3E701C">
      <w:start w:val="1"/>
      <w:numFmt w:val="bullet"/>
      <w:lvlText w:val="■"/>
      <w:lvlJc w:val="left"/>
      <w:pPr>
        <w:ind w:left="2160" w:hanging="360"/>
      </w:pPr>
    </w:lvl>
    <w:lvl w:ilvl="3" w:tplc="6A0233EE">
      <w:start w:val="1"/>
      <w:numFmt w:val="bullet"/>
      <w:lvlText w:val="●"/>
      <w:lvlJc w:val="left"/>
      <w:pPr>
        <w:ind w:left="2880" w:hanging="360"/>
      </w:pPr>
    </w:lvl>
    <w:lvl w:ilvl="4" w:tplc="C2DE4D98">
      <w:start w:val="1"/>
      <w:numFmt w:val="bullet"/>
      <w:lvlText w:val="○"/>
      <w:lvlJc w:val="left"/>
      <w:pPr>
        <w:ind w:left="3600" w:hanging="360"/>
      </w:pPr>
    </w:lvl>
    <w:lvl w:ilvl="5" w:tplc="28B89106">
      <w:start w:val="1"/>
      <w:numFmt w:val="bullet"/>
      <w:lvlText w:val="■"/>
      <w:lvlJc w:val="left"/>
      <w:pPr>
        <w:ind w:left="4320" w:hanging="360"/>
      </w:pPr>
    </w:lvl>
    <w:lvl w:ilvl="6" w:tplc="2B223442">
      <w:start w:val="1"/>
      <w:numFmt w:val="bullet"/>
      <w:lvlText w:val="●"/>
      <w:lvlJc w:val="left"/>
      <w:pPr>
        <w:ind w:left="5040" w:hanging="360"/>
      </w:pPr>
    </w:lvl>
    <w:lvl w:ilvl="7" w:tplc="588096C4">
      <w:start w:val="1"/>
      <w:numFmt w:val="bullet"/>
      <w:lvlText w:val="●"/>
      <w:lvlJc w:val="left"/>
      <w:pPr>
        <w:ind w:left="5760" w:hanging="360"/>
      </w:pPr>
    </w:lvl>
    <w:lvl w:ilvl="8" w:tplc="43FCA59E">
      <w:start w:val="1"/>
      <w:numFmt w:val="bullet"/>
      <w:lvlText w:val="●"/>
      <w:lvlJc w:val="left"/>
      <w:pPr>
        <w:ind w:left="6480" w:hanging="360"/>
      </w:pPr>
    </w:lvl>
  </w:abstractNum>
  <w:num w:numId="1" w16cid:durableId="974605917">
    <w:abstractNumId w:val="1"/>
    <w:lvlOverride w:ilvl="0">
      <w:startOverride w:val="1"/>
    </w:lvlOverride>
  </w:num>
  <w:num w:numId="2" w16cid:durableId="981036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8C"/>
    <w:rsid w:val="0009219A"/>
    <w:rsid w:val="001C5E8C"/>
    <w:rsid w:val="002B3742"/>
    <w:rsid w:val="00825958"/>
    <w:rsid w:val="00951848"/>
    <w:rsid w:val="00BA434F"/>
    <w:rsid w:val="00FA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22FF56"/>
  <w15:docId w15:val="{C37F021F-B9EA-F141-AE7A-D693BC6A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2321</Words>
  <Characters>12234</Characters>
  <Application>Microsoft Office Word</Application>
  <DocSecurity>0</DocSecurity>
  <Lines>278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Vinicius Eckel Moreira</cp:lastModifiedBy>
  <cp:revision>3</cp:revision>
  <dcterms:created xsi:type="dcterms:W3CDTF">2026-07-03T09:50:00Z</dcterms:created>
  <dcterms:modified xsi:type="dcterms:W3CDTF">2026-07-03T13:15:00Z</dcterms:modified>
</cp:coreProperties>
</file>