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Normativo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1 — 13/08/2026.</w:t>
      </w:r>
      <w:r>
        <w:rPr/>
        <w:t xml:space="preserve"> Documento em revisão com a FEXERJ; não é versão final. Vigência prevista a partir de 01/03/2027.</w:t>
      </w:r>
    </w:p>
    <w:p>
      <w:pPr>
        <w:pStyle w:val="BodyText"/>
        <w:bidi w:val="0"/>
        <w:jc w:val="left"/>
        <w:rPr/>
      </w:pPr>
      <w:r>
        <w:rPr/>
        <w:t xml:space="preserve">Regras do modelo de rating </w:t>
      </w:r>
      <w:r>
        <w:rPr>
          <w:rStyle w:val="Strong"/>
        </w:rPr>
        <w:t>por partida</w:t>
      </w:r>
      <w:r>
        <w:rPr/>
        <w:t xml:space="preserve"> da FEXERJ, aplicável às modalidades Clássico, Rápido e Blitz. Alinhado ao Handbook FIDE B02, com as adaptações numéricas da federação.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2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3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lockQuotation"/>
        <w:bidi w:val="0"/>
        <w:jc w:val="left"/>
        <w:rPr/>
      </w:pPr>
      <w:r>
        <w:rPr/>
        <w:t xml:space="preserve">Este anexo contém </w:t>
      </w:r>
      <w:r>
        <w:rPr>
          <w:rStyle w:val="Strong"/>
        </w:rPr>
        <w:t>apenas o que permanece verdadeiro depois da virada</w:t>
      </w:r>
      <w:r>
        <w:rPr/>
        <w:t xml:space="preserve">, e é a ele que se remete ao citar uma regra do modelo. O que vale uma única vez na passagem do modelo antigo para este — conversão da lista atual, formatos de arquivo, regras aposentadas — está no </w:t>
      </w:r>
      <w:r>
        <w:rPr>
          <w:rStyle w:val="Strong"/>
        </w:rPr>
        <w:t>Anexo de Transição</w:t>
      </w:r>
      <w:r>
        <w:rPr/>
        <w:t xml:space="preserve">. As conferências que sustentam os números, com data e escopo declarados, estão no </w:t>
      </w:r>
      <w:r>
        <w:rPr>
          <w:rStyle w:val="Strong"/>
        </w:rPr>
        <w:t>Anexo de Testes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Modalidades</w:t>
      </w:r>
      <w:r>
        <w:rPr/>
        <w:t xml:space="preserve"> — Clássico, Rápido e Blitz; transpasse entre 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Parâmetros</w:t>
      </w:r>
      <w:r>
        <w:rPr/>
        <w:t xml:space="preserve"> — os números da FIDE e as adaptações da FEXERJ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 Cálculo para jogador já rated</w:t>
      </w:r>
      <w:r>
        <w:rPr/>
        <w:t xml:space="preserve"> — a conta, passo a passo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 Período de cálculo</w:t>
      </w:r>
      <w:r>
        <w:rPr/>
        <w:t xml:space="preserve"> — o que é um período e como é delimitado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 Fator K</w:t>
      </w:r>
      <w:r>
        <w:rPr/>
        <w:t xml:space="preserve"> — a tabela, o teto de 700 e a dependência da data de nascimento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6. Rating inicial de jogador não-rated</w:t>
      </w:r>
      <w:r>
        <w:rPr/>
        <w:t xml:space="preserve"> — as 5 partidas, o descarte, a janela de 26 meses, o rating vindo da FIDE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7. Piso de rating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8. Tabela 8.1.2</w:t>
      </w:r>
      <w:r>
        <w:rPr/>
        <w:t xml:space="preserve"> — diferença de rating para probabilidade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9. Tabela 8.1.1</w:t>
      </w:r>
      <w:r>
        <w:rPr/>
        <w:t xml:space="preserve"> — percentual de pontos para diferença de rating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49"/>
        <w:gridCol w:w="4023"/>
      </w:tblGrid>
      <w:tr>
        <w:trPr>
          <w:cantSplit/>
          <w:tblHeader w:val="true"/>
        </w:trPr>
        <w:tc>
          <w:tcPr>
            <w:tcW w:w="594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da FEXERJ (seção 2) valem </w:t>
      </w:r>
      <w:r>
        <w:rPr>
          <w:rStyle w:val="Strong"/>
        </w:rPr>
        <w:t>igualmente para as três modalidades</w:t>
      </w:r>
      <w:r>
        <w:rPr/>
        <w:t>. A única divergência em relação ao texto da FIDE é o teto de 2400/2650, que a FEXERJ ignora — substituído por 2200 (seção 2) e pelo teto de 400 sempre aplicado.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>. Fatores K e contagens de partidas são independentes por modalidade; só o rating inicial vem do STD.</w:t>
      </w:r>
    </w:p>
    <w:p>
      <w:pPr>
        <w:pStyle w:val="BodyText"/>
        <w:bidi w:val="0"/>
        <w:jc w:val="left"/>
        <w:rPr/>
      </w:pPr>
      <w:r>
        <w:rPr/>
        <w:t>Jogador que já tem rating FIDE naquela modalidade entra com ele, sem passar pelo transpasse nem pelo cálculo de rating inicial — ver a seção 6.4.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2"/>
        <w:gridCol w:w="2013"/>
        <w:gridCol w:w="1426"/>
        <w:gridCol w:w="2191"/>
      </w:tblGrid>
      <w:tr>
        <w:trPr>
          <w:cantSplit/>
          <w:tblHeader w:val="true"/>
        </w:trPr>
        <w:tc>
          <w:tcPr>
            <w:tcW w:w="43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Teto da diferença de rating: 400 pontos, sempre.</w:t>
      </w:r>
      <w:r>
        <w:rPr/>
        <w:t xml:space="preserve">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1 do Anexo de Testes.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é </w:t>
      </w:r>
      <w:r>
        <w:rPr>
          <w:rStyle w:val="Strong"/>
        </w:rPr>
        <w:t>fixo: bimestral, com lista publicada em meses ímpares</w:t>
      </w:r>
      <w:r>
        <w:rPr/>
        <w:t>. Isso substitui a regra do modelo atual,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Todos os torneios do bimestre são processados numa execução única.</w:t>
      </w:r>
      <w:r>
        <w:rPr/>
        <w:t xml:space="preserve"> O fator K (seção 5), o teto de 700 (seção 5.1) e o arredondamento (seção 3, passo 5) são definidos por período; processar torneio a torneio dentro do mesmo bimestre fraciona os três e produz resultado diferente do bimestre processado de uma vez.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7"/>
        <w:gridCol w:w="1855"/>
      </w:tblGrid>
      <w:tr>
        <w:trPr>
          <w:cantSplit/>
          <w:tblHeader w:val="true"/>
        </w:trPr>
        <w:tc>
          <w:tcPr>
            <w:tcW w:w="8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odyText"/>
        <w:bidi w:val="0"/>
        <w:jc w:val="left"/>
        <w:rPr/>
      </w:pPr>
      <w:r>
        <w:rPr/>
        <w:t>A condição de "já atingiu 2200" é registrada, e não deduzida do rating corrente: um jogador que chegou a 2210 e caiu para 2150 mantém K=10, e o rating atual não distingue esse caso de quem nunca passou de 2150. O registro é por modalidade e é atualizado pelo programa sempre que o rating publicado cruzar 2200.</w:t>
      </w:r>
    </w:p>
    <w:p>
      <w:pPr>
        <w:pStyle w:val="BodyText"/>
        <w:bidi w:val="0"/>
        <w:jc w:val="left"/>
        <w:rPr/>
      </w:pPr>
      <w:r>
        <w:rPr>
          <w:rStyle w:val="Strong"/>
        </w:rPr>
        <w:t>O indicador é a própria coluna de fator K</w:t>
      </w:r>
      <w:r>
        <w:rPr/>
        <w:t xml:space="preserve"> da modalidade, </w:t>
      </w:r>
      <w:r>
        <w:rPr>
          <w:rStyle w:val="SourceText"/>
        </w:rPr>
        <w:t>K_</w:t>
      </w:r>
      <w:r>
        <w:rPr/>
        <w:t xml:space="preserve"> (Anexo de Transição, seção 2.1): </w:t>
      </w:r>
      <w:r>
        <w:rPr>
          <w:rStyle w:val="SourceText"/>
        </w:rPr>
        <w:t>K = 10</w:t>
      </w:r>
      <w:r>
        <w:rPr/>
        <w:t xml:space="preserve"> é o registro de que a marca foi atingida. Não há campo separado. Três consequências, e as três são regra: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K gravado é o da seção 5, antes do teto de 700</w:t>
      </w:r>
      <w:r>
        <w:rPr/>
        <w:t xml:space="preserve"> (seção 5.1). O teto pode reduzir um K de 20 a 10 num período de muitas partidas, e um K assim reduzido, gravado no arquivo, marcaria como "atingiu 2200" quem nunca chegou perto. O fator com que cada partida foi efetivamente calculada fica no arquivo de auditoria.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K gravado é o do estado em que o período termina</w:t>
      </w:r>
      <w:r>
        <w:rPr/>
        <w:t xml:space="preserve">, não aquele com que o período foi calculado. Quem entra com 2.150 e termina com 2.210 precisa sair do ciclo com 10 no arquivo; gravar o K de entrada perderia a permanência no mesmo ciclo em que ela foi conquistada.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Um </w:t>
      </w:r>
      <w:r>
        <w:rPr>
          <w:rStyle w:val="SourceText"/>
        </w:rPr>
        <w:t>10</w:t>
      </w:r>
      <w:r>
        <w:rPr>
          <w:rStyle w:val="Strong"/>
        </w:rPr>
        <w:t xml:space="preserve"> digitado por engano congela o fator daquele jogador.</w:t>
      </w:r>
      <w:r>
        <w:rPr/>
        <w:t xml:space="preserve"> É a contrapartida de dispensar o campo separado: nesta coluna, e só nela, uma edição manual muda resultado. O arquivo de auditoria assinala o caso — um K de 10 em jogador que nunca atingiu 2.200 — para conferência do operador. </w:t>
      </w:r>
    </w:p>
    <w:p>
      <w:pPr>
        <w:pStyle w:val="BodyText"/>
        <w:bidi w:val="0"/>
        <w:jc w:val="left"/>
        <w:rPr/>
      </w:pPr>
      <w:r>
        <w:rPr/>
        <w:t xml:space="preserve">Essa condição </w:t>
      </w:r>
      <w:r>
        <w:rPr>
          <w:rStyle w:val="Strong"/>
        </w:rPr>
        <w:t>prevalece sobre as demais</w:t>
      </w:r>
      <w:r>
        <w:rPr/>
        <w:t xml:space="preserve"> da tabela acima: nem a regra de sub-18 nem a de jogador novo elevam o K depois que ele chega a 10.</w:t>
      </w:r>
    </w:p>
    <w:p>
      <w:pPr>
        <w:pStyle w:val="BodyText"/>
        <w:bidi w:val="0"/>
        <w:jc w:val="left"/>
        <w:rPr/>
      </w:pPr>
      <w:r>
        <w:rPr/>
        <w:t xml:space="preserve">O registro é </w:t>
      </w:r>
      <w:r>
        <w:rPr>
          <w:rStyle w:val="Strong"/>
        </w:rPr>
        <w:t>por modalidade</w:t>
      </w:r>
      <w:r>
        <w:rPr/>
        <w:t>. Um jogador que estreia numa modalidade nova (seção 1.1) entra nela com K=40 ainda que tenha K=10 na modalidade de origem, porque naquela modalidade não atingiu 2200.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teto é de 700, aplicado por período e não por torneio.</w:t>
      </w:r>
      <w:r>
        <w:rPr/>
        <w:t xml:space="preserve"> Sobre o valor: no ciclo real de 2026 (Anexo de Testes, seção 2) o teto não chegou a atuar — a mediana foi de 4 a 5 partidas por jogador por bimestre, com máximo de 26, contra as 18 partidas necessárias para o teto atuar sob K=40. O valor de 700 é o da própria FIDE.</w:t>
      </w:r>
    </w:p>
    <w:p>
      <w:pPr>
        <w:pStyle w:val="BodyText"/>
        <w:bidi w:val="0"/>
        <w:jc w:val="left"/>
        <w:rPr/>
      </w:pPr>
      <w:r>
        <w:rPr/>
        <w:t>Sobre o recorte: aplicado torneio a torneio, o total do período ultrapassaria o limite por um múltiplo dele. Um jogador com 40 partidas sob K=40, em dois torneios de 20, chegaria a K=35 em cada torneio (700 ÷ 20) — 1.400 no período, o dobro do teto. Com o teto sobre as 40 partidas do período, K resulta em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é dado obrigatório.</w:t>
      </w:r>
      <w:r>
        <w:rPr/>
        <w:t xml:space="preserve"> Nos torneios IRT e FEXERJ a informação já está disponível pelo cadastro; a lacuna aparece nos internos. Não há comportamento padrão para o caso ausente: o arquivo é recusado.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Basta o ano.</w:t>
      </w:r>
      <w:r>
        <w:rPr/>
        <w:t xml:space="preserve"> O cálculo só usa o ano de nascimento, então os formatos que o cadastro produz na prática — </w:t>
      </w:r>
      <w:r>
        <w:rPr>
          <w:rStyle w:val="SourceText"/>
        </w:rPr>
        <w:t>00/00/AAAA</w:t>
      </w:r>
      <w:r>
        <w:rPr/>
        <w:t xml:space="preserve">, comum nos IRT, e registros antigos que trazem apenas </w:t>
      </w:r>
      <w:r>
        <w:rPr>
          <w:rStyle w:val="SourceText"/>
        </w:rPr>
        <w:t>AAAA</w:t>
      </w:r>
      <w:r>
        <w:rPr/>
        <w:t xml:space="preserve"> — são aceitos como estão, sem precisar completar dia e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/>
        <w:t xml:space="preserve">Se o jogador </w:t>
      </w:r>
      <w:r>
        <w:rPr>
          <w:rStyle w:val="Strong"/>
        </w:rPr>
        <w:t>zerar seu primeiro torneio</w:t>
      </w:r>
      <w:r>
        <w:rPr/>
        <w:t xml:space="preserve">, esse resultado é </w:t>
      </w:r>
      <w:r>
        <w:rPr>
          <w:rStyle w:val="Strong"/>
        </w:rPr>
        <w:t>descartado</w:t>
      </w:r>
      <w:r>
        <w:rPr/>
        <w:t xml:space="preserve"> do cálculo do primeiro rating (8.2.1). Aqui, "evento" é o </w:t>
      </w:r>
      <w:r>
        <w:rPr>
          <w:rStyle w:val="Strong"/>
        </w:rPr>
        <w:t>torneio</w:t>
      </w:r>
      <w:r>
        <w:rPr/>
        <w:t>, não o período: o descarte olha o primeiro torneio isoladamente, mesmo que o jogador tenha pontuado em outro torneio do mesmo período.</w:t>
      </w:r>
    </w:p>
    <w:p>
      <w:pPr>
        <w:pStyle w:val="BodyText"/>
        <w:bidi w:val="0"/>
        <w:jc w:val="left"/>
        <w:rPr/>
      </w:pPr>
      <w:r>
        <w:rPr/>
        <w:t>Duas precisões sobre o alcance do descarte: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"Zerar" é zerar o torneio inteiro</w:t>
      </w:r>
      <w:r>
        <w:rPr/>
        <w:t xml:space="preserve">, não só as partidas contra adversários com rating. Um estreante num torneio cheio de não-rated pode enfrentar um único jogador com rating e perder, ganhando todo o resto: o torneio não foi zerado, e a derrota conta.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 descarte vale uma única vez, no primeiro torneio que o jogador disputa.</w:t>
      </w:r>
      <w:r>
        <w:rPr/>
        <w:t xml:space="preserve"> Se esse primeiro torneio foi descartado e ele zerar o seguinte, o seguinte conta normalmente. </w:t>
      </w:r>
    </w:p>
    <w:p>
      <w:pPr>
        <w:pStyle w:val="BodyText"/>
        <w:bidi w:val="0"/>
        <w:jc w:val="left"/>
        <w:rPr/>
      </w:pPr>
      <w:r>
        <w:rPr/>
        <w:t xml:space="preserve">As partidas do torneio descartado </w:t>
      </w:r>
      <w:r>
        <w:rPr>
          <w:rStyle w:val="Strong"/>
        </w:rPr>
        <w:t>não entram na contagem de partidas</w:t>
      </w:r>
      <w:r>
        <w:rPr/>
        <w:t xml:space="preserve"> do jogador: a contagem registra as partidas válidas para cálculo de rating, e as desse torneio não foram usadas em cálculo nenhum. Isso é diferente do que acontece no piso (seção 7), onde o rating é zerado mas a contagem é inteiramente preservada.</w:t>
      </w:r>
    </w:p>
    <w:p>
      <w:pPr>
        <w:pStyle w:val="BodyText"/>
        <w:bidi w:val="0"/>
        <w:jc w:val="left"/>
        <w:rPr/>
      </w:pPr>
      <w:r>
        <w:rPr/>
        <w:t xml:space="preserve">Disso decorre um registro próprio. Como o torneio descartado não movimenta a contagem, um jogador descartado termina o período com a contagem em zero, indistinguível de quem nunca jogou — e ganharia o descarte de novo no torneio seguinte, contra o "só o primeiro" acima. A coluna </w:t>
      </w:r>
      <w:r>
        <w:rPr>
          <w:rStyle w:val="SourceText"/>
        </w:rPr>
        <w:t>FirstTrn_</w:t>
      </w:r>
      <w:r>
        <w:rPr/>
        <w:t xml:space="preserve"> da modalidade (Anexo de Transição, seção 2.1) guarda que o primeiro torneio já foi disputado. Ela é ligada pelo primeiro torneio em que o jogador enfrenta ao menos um adversário com rating, tenha esse torneio sido descartado ou não, e </w:t>
      </w:r>
      <w:r>
        <w:rPr>
          <w:rStyle w:val="Strong"/>
        </w:rPr>
        <w:t>nunca é desligada</w:t>
      </w:r>
      <w:r>
        <w:rPr/>
        <w:t>: nem pela janela de 26 meses (seção 6.2), nem pelo piso (seção 7).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BodyText"/>
        <w:bidi w:val="0"/>
        <w:jc w:val="left"/>
        <w:rPr/>
      </w:pPr>
      <w:r>
        <w:rPr/>
        <w:t xml:space="preserve">O que se perde é o </w:t>
      </w:r>
      <w:r>
        <w:rPr>
          <w:rStyle w:val="Strong"/>
        </w:rPr>
        <w:t>acúmulo</w:t>
      </w:r>
      <w:r>
        <w:rPr/>
        <w:t xml:space="preserve"> rumo ao primeiro rating. A </w:t>
      </w:r>
      <w:r>
        <w:rPr>
          <w:rStyle w:val="Strong"/>
        </w:rPr>
        <w:t>contagem de partidas disputadas é preservada</w:t>
      </w:r>
      <w:r>
        <w:rPr/>
        <w:t>: ela alimenta o fator K (seção 5).</w:t>
      </w:r>
    </w:p>
    <w:p>
      <w:pPr>
        <w:pStyle w:val="BodyText"/>
        <w:bidi w:val="0"/>
        <w:jc w:val="left"/>
        <w:rPr/>
      </w:pPr>
      <w:r>
        <w:rPr/>
        <w:t xml:space="preserve">O reinício do acúmulo </w:t>
      </w:r>
      <w:r>
        <w:rPr>
          <w:rStyle w:val="Strong"/>
        </w:rPr>
        <w:t>não devolve ao jogador o descarte</w:t>
      </w:r>
      <w:r>
        <w:rPr/>
        <w:t xml:space="preserve"> do primeiro torneio zerado (seção 6.1). Esse descarte é contado por jogador, e não por acúmulo: uma vez usado, não volta a valer, nem quando a janela expira, nem quando o jogador perde o rating pelo piso (seção 7).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já tem rating FIDE</w:t>
      </w:r>
    </w:p>
    <w:p>
      <w:pPr>
        <w:pStyle w:val="BodyText"/>
        <w:bidi w:val="0"/>
        <w:jc w:val="left"/>
        <w:rPr/>
      </w:pPr>
      <w:r>
        <w:rPr/>
        <w:t xml:space="preserve">Jogador que chega com rating FIDE numa modalidade </w:t>
      </w:r>
      <w:r>
        <w:rPr>
          <w:rStyle w:val="Strong"/>
        </w:rPr>
        <w:t>entra com esse rating</w:t>
      </w:r>
      <w:r>
        <w:rPr/>
        <w:t>, sem passar pelo cálculo do rating inicial. O rating é lançado pelo operador no cadastro; a contagem de partidas na FEXERJ é tratada pelo programa e começa em zero.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Sem teto e sem conversão.</w:t>
      </w:r>
      <w:r>
        <w:rPr/>
        <w:t xml:space="preserve"> O teto de 2.000 da seção 6.3 existe para conter uma estimativa feita com poucas partidas; um rating FIDE não é estimativa, e vale pelo valor de face. O teto de 400 pontos por partida (seção 3) continua valendo e é o que limita o efeito de um rating muito acima da faixa da federação.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fator K vem da faixa do rating</w:t>
      </w:r>
      <w:r>
        <w:rPr/>
        <w:t xml:space="preserve"> (seção 5), não da contagem de partidas na federação: quem entra com 2.300 recebe o K de quem tem 2.300, não o K=40 de jogador novo.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Essa regra de K vale enquanto houver rating FIDE registrado</w:t>
      </w:r>
      <w:r>
        <w:rPr/>
        <w:t xml:space="preserve"> na modalidade, e não apenas no período de entrada. No período seguinte o jogador ainda tem menos de 30 partidas na federação, e a regra de jogador novo devolveria a ele exatamente o K=40 que a alínea anterior afasta. A regra de sub-18 continua valendo: ela depende da idade e do rating, não da contagem de partidas.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entrada pelo rating FIDE ocorre uma vez, com zero partidas na modalidade.</w:t>
      </w:r>
      <w:r>
        <w:rPr/>
        <w:t xml:space="preserve"> Tendo o jogador qualquer partida disputada ali, o rating da federação é o dele e o rating FIDE registrado deixa de ser porta de entrada. Sem esse limite, um jogador que perdeu o rating pelo piso (seção 7) seria reinserido pelo rating FIDE a cada período, e o piso nunca produziria efeito sobre ele.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rating FIDE registrado é de 1.200 ou mais</w:t>
      </w:r>
      <w:r>
        <w:rPr/>
        <w:t xml:space="preserve">, o mesmo piso exigido do rating da federação (seção 7). Um valor abaixo do piso faria o jogador entrar rated abaixo dele, estado que o modelo não admite.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Rating de 2.200 ou mais liga o indicador permanente de K=10</w:t>
      </w:r>
      <w:r>
        <w:rPr/>
        <w:t xml:space="preserve"> naquela modalidade, como se o jogador tivesse atingido a marca numa lista da federação.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Quando o rating é registrado.</w:t>
      </w:r>
      <w:r>
        <w:rPr/>
        <w:t xml:space="preserve"> O rating FIDE é informado no cadastro </w:t>
      </w:r>
      <w:r>
        <w:rPr>
          <w:rStyle w:val="Strong"/>
        </w:rPr>
        <w:t>no momento da filiação</w:t>
      </w:r>
      <w:r>
        <w:rPr/>
        <w:t xml:space="preserve"> e </w:t>
      </w:r>
      <w:r>
        <w:rPr>
          <w:rStyle w:val="Strong"/>
        </w:rPr>
        <w:t>reconferido antes do primeiro uso</w:t>
      </w:r>
      <w:r>
        <w:rPr/>
        <w:t xml:space="preserve">: na montagem da lista inicial e, depois dela, sempre que o jogador for entrar numa modalidade em que ainda tenha </w:t>
      </w:r>
      <w:r>
        <w:rPr>
          <w:rStyle w:val="Strong"/>
        </w:rPr>
        <w:t>zero partidas</w:t>
      </w:r>
      <w:r>
        <w:rPr/>
        <w:t xml:space="preserve"> na federação. Vale o valor da reconferência, não o guardado na filiação.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Substituição do rating local parado no tempo.</w:t>
      </w:r>
      <w:r>
        <w:rPr/>
        <w:t xml:space="preserve"> O rating da federação de um jogador é substituído pelo rating FIDE dele naquela modalidade quando as </w:t>
      </w:r>
      <w:r>
        <w:rPr>
          <w:rStyle w:val="Strong"/>
        </w:rPr>
        <w:t>três</w:t>
      </w:r>
      <w:r>
        <w:rPr/>
        <w:t xml:space="preserve"> condições valerem ao mesmo tempo, no início do período: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jogador tem rating da federação </w:t>
      </w:r>
      <w:r>
        <w:rPr>
          <w:rStyle w:val="Strong"/>
        </w:rPr>
        <w:t>abaixo de 1.600</w:t>
      </w:r>
      <w:r>
        <w:rPr/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tem rating FIDE registrado de </w:t>
      </w:r>
      <w:r>
        <w:rPr>
          <w:rStyle w:val="Strong"/>
        </w:rPr>
        <w:t>2.000 ou mais</w:t>
      </w:r>
      <w:r>
        <w:rPr/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está </w:t>
      </w:r>
      <w:r>
        <w:rPr>
          <w:rStyle w:val="Strong"/>
        </w:rPr>
        <w:t>há mais de 26 meses sem disputar partida</w:t>
      </w:r>
      <w:r>
        <w:rPr/>
        <w:t xml:space="preserve"> naquela modalidade. </w:t>
      </w:r>
    </w:p>
    <w:p>
      <w:pPr>
        <w:pStyle w:val="BodyText"/>
        <w:bidi w:val="0"/>
        <w:jc w:val="left"/>
        <w:rPr/>
      </w:pPr>
      <w:r>
        <w:rPr/>
        <w:t xml:space="preserve">A substituição ocorre </w:t>
      </w:r>
      <w:r>
        <w:rPr>
          <w:rStyle w:val="Strong"/>
        </w:rPr>
        <w:t>antes do cálculo do período</w:t>
      </w:r>
      <w:r>
        <w:rPr/>
        <w:t xml:space="preserve">: todas as partidas do período, do jogador e dos adversários dele, são calculadas contra o rating novo. A </w:t>
      </w:r>
      <w:r>
        <w:rPr>
          <w:rStyle w:val="Strong"/>
        </w:rPr>
        <w:t>contagem de partidas não é alterada</w:t>
      </w:r>
      <w:r>
        <w:rPr/>
        <w:t xml:space="preserve"> — nenhuma partida foi disputada que justificasse mexer nela. Um rating substituído de </w:t>
      </w:r>
      <w:r>
        <w:rPr>
          <w:rStyle w:val="Strong"/>
        </w:rPr>
        <w:t>2.200 ou mais liga o indicador permanente de K=10</w:t>
      </w:r>
      <w:r>
        <w:rPr/>
        <w:t>, como qualquer rating FIDE que entra na lista.</w:t>
      </w:r>
    </w:p>
    <w:p>
      <w:pPr>
        <w:pStyle w:val="BodyText"/>
        <w:bidi w:val="0"/>
        <w:jc w:val="left"/>
        <w:rPr/>
      </w:pPr>
      <w:r>
        <w:rPr/>
        <w:t>A substituição fica registrada no arquivo de auditoria do ciclo, com o rating anterior, a origem do valor adotado e a data em que ele foi conferido. Sem esse registro, a lista publicada mostraria um salto de centenas de pontos sem nada, em lugar nenhum, que o explicasse.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regra vale outras vezes</w:t>
      </w:r>
      <w:r>
        <w:rPr/>
        <w:t xml:space="preserve">, sempre que as três condições voltarem a se cumprir. Não há limite de uso e não é preciso registrar que ela já agiu: a própria substituição leva o rating a 2.000 ou mais e marca a atividade no período corrente, de modo que as condições 1 e 3 só podem voltar a valer depois de outra ausência longa </w:t>
      </w:r>
      <w:r>
        <w:rPr>
          <w:rStyle w:val="Strong"/>
        </w:rPr>
        <w:t>e</w:t>
      </w:r>
      <w:r>
        <w:rPr/>
        <w:t xml:space="preserve"> de uma queda de volta abaixo de 1.600 — que é justamente a situação em que ela deve agir de novo.</w:t>
      </w:r>
    </w:p>
    <w:p>
      <w:pPr>
        <w:pStyle w:val="BodyText"/>
        <w:bidi w:val="0"/>
        <w:jc w:val="left"/>
        <w:rPr/>
      </w:pPr>
      <w:r>
        <w:rPr>
          <w:rStyle w:val="Strong"/>
        </w:rPr>
        <w:t>Por que só para quem parou.</w:t>
      </w:r>
      <w:r>
        <w:rPr/>
        <w:t xml:space="preserve"> Entre dois jogadores em atividade, uma diferença entre o rating da federação e o da FIDE não é defeito: as duas listas medem populações de adversários diferentes, e substituir uma pela outra importaria a escala da FIDE para um jogador só, deixando o resto da lista na escala da federação. Além disso, cada ponto do rating de um jogador ativo saiu de um adversário; substituí-lo injeta pontos que não vieram de partida nenhuma, e o adversário que os perdeu não os recebe de volta. Para quem parou há anos não existe essa objeção: não há medida local recente a descartar, porque não há medida local nenhuma.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conferência do rating FIDE é do operador.</w:t>
      </w:r>
      <w:r>
        <w:rPr/>
        <w:t xml:space="preserve"> A regra parte do princípio de que o rating FIDE é o mais atual dos dois, e o programa não tem como verificar isso: a data que ele guarda é a da </w:t>
      </w:r>
      <w:r>
        <w:rPr>
          <w:rStyle w:val="Strong"/>
        </w:rPr>
        <w:t>conferência</w:t>
      </w:r>
      <w:r>
        <w:rPr/>
        <w:t xml:space="preserve">, não a da obtenção do rating. Um jogador parado há 26 meses na federação pode ter parado também na FIDE, e a troca seria de um número velho por outro igualmente velho. Como a regra só age sobre rating FIDE que o operador tenha registrado, a proteção é dele: </w:t>
      </w:r>
      <w:r>
        <w:rPr>
          <w:rStyle w:val="Strong"/>
        </w:rPr>
        <w:t>não se registra rating FIDE tão parado quanto o da federação.</w:t>
      </w:r>
    </w:p>
    <w:p>
      <w:pPr>
        <w:pStyle w:val="Heading3"/>
        <w:bidi w:val="0"/>
        <w:jc w:val="left"/>
        <w:rPr/>
      </w:pPr>
      <w:r>
        <w:rPr/>
        <w:t>6.5 Não há reaproximação periódica entre os dois ratings</w:t>
      </w:r>
    </w:p>
    <w:p>
      <w:pPr>
        <w:pStyle w:val="BodyText"/>
        <w:bidi w:val="0"/>
        <w:jc w:val="left"/>
        <w:rPr/>
      </w:pPr>
      <w:r>
        <w:rPr/>
        <w:t>Feita a entrada, o rating é da federação e evolui pelas partidas disputadas aqui; divergir do rating FIDE é o esperado, não um defeito, porque as duas listas medem populações de adversários diferentes. A única troca prevista é a substituição do rating parado no tempo, na seção 6.4, e ela é regra escrita, com condições fechadas e registro em auditoria — não correção caso a caso, que seria indistinguível de erro de digitação.</w:t>
      </w:r>
    </w:p>
    <w:p>
      <w:pPr>
        <w:pStyle w:val="Heading3"/>
        <w:bidi w:val="0"/>
        <w:jc w:val="left"/>
        <w:rPr/>
      </w:pPr>
      <w:r>
        <w:rPr/>
        <w:t>6.6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precisa das 5 partidas da seção 6 para ter rating publicado de novo, mas seu histórico de partidas jogadas não é apagado — o que significa que, ao voltar, o K vem da contagem preservada e não necessariamente de 40.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BodyText"/>
        <w:bidi w:val="0"/>
        <w:jc w:val="left"/>
        <w:rPr/>
      </w:pPr>
      <w:r>
        <w:rPr/>
        <w:t xml:space="preserve">O piso alcança também os registros </w:t>
      </w:r>
      <w:r>
        <w:rPr>
          <w:rStyle w:val="Strong"/>
        </w:rPr>
        <w:t>já existentes</w:t>
      </w:r>
      <w:r>
        <w:rPr/>
        <w:t xml:space="preserve"> na lista de hoje, no momento da conversão, e ali levanta casos que esta seção não cobre — ela trata de um rating que caiu durante um período, não de um número herdado do modelo antigo. Esses casos estão na seção 1.1 do Anexo de Transição.</w:t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672"/>
        <w:gridCol w:w="672"/>
        <w:gridCol w:w="1213"/>
        <w:gridCol w:w="672"/>
        <w:gridCol w:w="672"/>
        <w:gridCol w:w="1213"/>
        <w:gridCol w:w="672"/>
        <w:gridCol w:w="672"/>
        <w:gridCol w:w="1213"/>
        <w:gridCol w:w="672"/>
        <w:gridCol w:w="681"/>
      </w:tblGrid>
      <w:tr>
        <w:trPr>
          <w:cantSplit/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0-3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92-98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198-206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345-357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4-10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99-106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207-215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358-374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11-17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107-113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216-225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375-391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18-25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114-121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226-235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392-411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26-32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122-129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236-245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412-432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33-39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130-137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246-256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433-456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40-46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138-145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257-267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457-484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47-53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146-153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268-278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485-517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54-61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154-162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279-290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518-559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62-68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163-170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291-302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560-619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69-76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171-179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303-315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620-735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77-83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180-188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316-328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84-91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189-197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329-344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1191"/>
        <w:gridCol w:w="1191"/>
        <w:gridCol w:w="1191"/>
        <w:gridCol w:w="1191"/>
        <w:gridCol w:w="1411"/>
        <w:gridCol w:w="1191"/>
        <w:gridCol w:w="1415"/>
      </w:tblGrid>
      <w:tr>
        <w:trPr>
          <w:cantSplit/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ndbook.fide.com/chapter/B022024" TargetMode="External"/><Relationship Id="rId3" Type="http://schemas.openxmlformats.org/officeDocument/2006/relationships/hyperlink" Target="https://handbook.fide.com/chapter/B02RBRegulations202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anexo-normativo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