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de Testes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1 — 13/08/2026.</w:t>
      </w:r>
      <w:r>
        <w:rPr/>
        <w:t xml:space="preserve"> Documento em revisão com a FEXERJ; não é versão final.</w:t>
      </w:r>
    </w:p>
    <w:p>
      <w:pPr>
        <w:pStyle w:val="BodyText"/>
        <w:bidi w:val="0"/>
        <w:jc w:val="left"/>
        <w:rPr/>
      </w:pPr>
      <w:r>
        <w:rPr/>
        <w:t xml:space="preserve">As conferências que sustentam os números do modelo. São registros </w:t>
      </w:r>
      <w:r>
        <w:rPr>
          <w:rStyle w:val="Strong"/>
        </w:rPr>
        <w:t>fechados, com data e escopo declarados</w:t>
      </w:r>
      <w:r>
        <w:rPr/>
        <w:t>: não deixam de ser verdade com o tempo, viram histórico. É a seção 2 que justifica ter mantido o teto de 700 do fator K.</w:t>
      </w:r>
    </w:p>
    <w:p>
      <w:pPr>
        <w:pStyle w:val="BodyText"/>
        <w:bidi w:val="0"/>
        <w:jc w:val="left"/>
        <w:rPr/>
      </w:pPr>
      <w:r>
        <w:rPr/>
        <w:t xml:space="preserve">As regras estão no </w:t>
      </w:r>
      <w:r>
        <w:rPr>
          <w:rStyle w:val="Strong"/>
        </w:rPr>
        <w:t>Anexo Normativo</w:t>
      </w:r>
      <w:r>
        <w:rPr/>
        <w:t xml:space="preserve">; a passagem do modelo antigo para este, no </w:t>
      </w:r>
      <w:r>
        <w:rPr>
          <w:rStyle w:val="Strong"/>
        </w:rPr>
        <w:t>Anexo de Transição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Validação contra dado oficial da FIDE</w:t>
      </w:r>
      <w:r>
        <w:rPr/>
        <w:t xml:space="preserve"> — o cálculo por partida conferido contra uma consulta pública de cálculo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2. Simulação sobre um ciclo real</w:t>
      </w:r>
      <w:r>
        <w:rPr/>
        <w:t xml:space="preserve"> — o modelo rodado sobre os 35 torneios de 2026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Validação contra dado oficial da FIDE</w:t>
      </w:r>
    </w:p>
    <w:p>
      <w:pPr>
        <w:pStyle w:val="BodyText"/>
        <w:bidi w:val="0"/>
        <w:jc w:val="left"/>
        <w:rPr/>
      </w:pPr>
      <w:r>
        <w:rPr/>
        <w:t xml:space="preserve">O cálculo da seção 3 do Anexo Normativo foi conferido contra uma consulta pública de cálculo da FIDE (lista de agosto de 2026, modalidade Clássico, um jogador com dois torneios no período). </w:t>
      </w:r>
      <w:r>
        <w:rPr>
          <w:rStyle w:val="Strong"/>
        </w:rPr>
        <w:t>As 13 partidas conferem individualmente</w:t>
      </w:r>
      <w:r>
        <w:rPr/>
        <w:t xml:space="preserve"> e a soma reproduz exatamente a variação publicada de 19,60.</w:t>
      </w:r>
    </w:p>
    <w:p>
      <w:pPr>
        <w:pStyle w:val="BodyText"/>
        <w:bidi w:val="0"/>
        <w:jc w:val="left"/>
        <w:rPr/>
      </w:pPr>
      <w:r>
        <w:rPr/>
        <w:t xml:space="preserve">A mesma conferência mostrou por que a tabela não pode ser trocada pela fórmula logística — </w:t>
      </w:r>
      <w:r>
        <w:rPr>
          <w:rStyle w:val="Strong"/>
        </w:rPr>
        <w:t>7 das 13 partidas divergem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5"/>
        <w:gridCol w:w="3117"/>
        <w:gridCol w:w="2686"/>
        <w:gridCol w:w="2894"/>
      </w:tblGrid>
      <w:tr>
        <w:trPr>
          <w:cantSplit/>
          <w:tblHeader w:val="true"/>
        </w:trPr>
        <w:tc>
          <w:tcPr>
            <w:tcW w:w="127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D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esperado pela fórmula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fórmula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ΔR pela tabela (FIDE)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400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0,9091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0,0909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0,08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367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0,8921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0,1079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>
                <w:rStyle w:val="Strong"/>
              </w:rPr>
              <w:t>0,10</w:t>
            </w:r>
          </w:p>
        </w:tc>
      </w:tr>
      <w:tr>
        <w:trPr>
          <w:cantSplit/>
        </w:trPr>
        <w:tc>
          <w:tcPr>
            <w:tcW w:w="127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0,5658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0,4342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0,44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No período, a fórmula daria 20,36 contra os 19,60 publicados — </w:t>
      </w:r>
      <w:r>
        <w:rPr>
          <w:rStyle w:val="Strong"/>
        </w:rPr>
        <w:t>0,76 ponto de diferença</w:t>
      </w:r>
      <w:r>
        <w:rPr/>
        <w:t xml:space="preserve"> para um jogador em um mês.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Simulação sobre um ciclo real</w:t>
      </w:r>
    </w:p>
    <w:p>
      <w:pPr>
        <w:pStyle w:val="BodyText"/>
        <w:bidi w:val="0"/>
        <w:jc w:val="left"/>
        <w:rPr/>
      </w:pPr>
      <w:r>
        <w:rPr/>
        <w:t xml:space="preserve">O modelo foi rodado sobre o último ciclo completo da federação: </w:t>
      </w:r>
      <w:r>
        <w:rPr>
          <w:rStyle w:val="Strong"/>
        </w:rPr>
        <w:t>35 torneios entre 25/01 e 07/06/2026</w:t>
      </w:r>
      <w:r>
        <w:rPr/>
        <w:t>, todos de Clássico, com os 2.385 jogadores da lista e 480 deles disputando partidas. Serve para sair da discussão teórica e ver o efeito das regras sobre gente real.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Conferência de base.</w:t>
      </w:r>
      <w:r>
        <w:rPr/>
        <w:t xml:space="preserve"> O mesmo ciclo foi reprocessado pelo modelo atual e as </w:t>
      </w:r>
      <w:r>
        <w:rPr>
          <w:rStyle w:val="Strong"/>
        </w:rPr>
        <w:t>35 listas de rating saíram idênticas</w:t>
      </w:r>
      <w:r>
        <w:rPr/>
        <w:t xml:space="preserve"> às publicadas pela federação. Toda diferença apontada abaixo vem do modelo novo, não de uma leitura diferente dos arquivos.</w:t>
      </w:r>
    </w:p>
    <w:p>
      <w:pPr>
        <w:pStyle w:val="Heading3"/>
        <w:bidi w:val="0"/>
        <w:jc w:val="left"/>
        <w:rPr/>
      </w:pPr>
      <w:r>
        <w:rPr/>
        <w:t>2.1 Prontidão do cadastro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62"/>
        <w:gridCol w:w="3510"/>
      </w:tblGrid>
      <w:tr>
        <w:trPr>
          <w:cantSplit/>
          <w:tblHeader w:val="true"/>
        </w:trPr>
        <w:tc>
          <w:tcPr>
            <w:tcW w:w="6462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Achado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Quantidade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ausente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296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Dessas, quantas mudam algum cálculo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>
                <w:rStyle w:val="Strong"/>
              </w:rPr>
              <w:t>1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Data de nascimento ilegível (número de série do Excel)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</w:tr>
      <w:tr>
        <w:trPr>
          <w:cantSplit/>
        </w:trPr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</w:rPr>
              <w:t>Ord</w:t>
            </w:r>
            <w:r>
              <w:rPr/>
              <w:t xml:space="preserve"> de torneio duplicado</w:t>
            </w:r>
          </w:p>
        </w:tc>
        <w:tc>
          <w:tcPr>
            <w:tcW w:w="351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 data de nascimento só muda o fator K de quem já tem 30 partidas ou mais, rating abaixo de 2100 e nunca atingiu 2200 (Anexo Normativo, seção 5). Nesse recorte cai </w:t>
      </w:r>
      <w:r>
        <w:rPr>
          <w:rStyle w:val="Strong"/>
        </w:rPr>
        <w:t>um</w:t>
      </w:r>
      <w:r>
        <w:rPr/>
        <w:t xml:space="preserve"> jogador — que é, justamente, um dos dois registros com data corrompida. </w:t>
      </w:r>
      <w:r>
        <w:rPr>
          <w:rStyle w:val="Strong"/>
        </w:rPr>
        <w:t>Duas células precisam ser corrigidas antes do primeiro ciclo oficial</w:t>
      </w:r>
      <w:r>
        <w:rPr/>
        <w:t>; o resto do cadastro pode ser completado sem pressa.</w:t>
      </w:r>
    </w:p>
    <w:p>
      <w:pPr>
        <w:pStyle w:val="Heading3"/>
        <w:bidi w:val="0"/>
        <w:jc w:val="left"/>
        <w:rPr/>
      </w:pPr>
      <w:r>
        <w:rPr/>
        <w:t>2.2 O teto de 700 nunca agiu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8"/>
        <w:gridCol w:w="1828"/>
        <w:gridCol w:w="2664"/>
        <w:gridCol w:w="1501"/>
        <w:gridCol w:w="2151"/>
      </w:tblGrid>
      <w:tr>
        <w:trPr>
          <w:cantSplit/>
          <w:tblHeader w:val="true"/>
        </w:trPr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Bimestre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Torneios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Partidas por jogador (mediana)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Máximo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Com 18+ partidas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jan-fev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10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mar-abr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0</w:t>
            </w:r>
          </w:p>
        </w:tc>
      </w:tr>
      <w:tr>
        <w:trPr>
          <w:cantSplit/>
        </w:trPr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mai-jun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15</w:t>
            </w:r>
          </w:p>
        </w:tc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26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O teto começa a agir em 18 partidas sob K=40 e em 36 sob K=20. Os três jogadores que passaram de 18 partidas já estavam em K=20. </w:t>
      </w:r>
      <w:r>
        <w:rPr>
          <w:rStyle w:val="Strong"/>
        </w:rPr>
        <w:t>Nenhum K foi reduzido pelo teto.</w:t>
      </w:r>
    </w:p>
    <w:p>
      <w:pPr>
        <w:pStyle w:val="Heading3"/>
        <w:bidi w:val="0"/>
        <w:jc w:val="left"/>
        <w:rPr/>
      </w:pPr>
      <w:r>
        <w:rPr/>
        <w:t>2.3 Quanto o rating muda</w:t>
      </w:r>
    </w:p>
    <w:p>
      <w:pPr>
        <w:pStyle w:val="BodyText"/>
        <w:bidi w:val="0"/>
        <w:jc w:val="left"/>
        <w:rPr/>
      </w:pPr>
      <w:r>
        <w:rPr/>
        <w:t>348 jogadores terminam o semestre com rating nos dois modelos e podem ser comparados: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55"/>
        <w:gridCol w:w="3737"/>
        <w:gridCol w:w="1980"/>
      </w:tblGrid>
      <w:tr>
        <w:trPr>
          <w:cantSplit/>
          <w:tblHeader w:val="true"/>
        </w:trPr>
        <w:tc>
          <w:tcPr>
            <w:tcW w:w="4255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Diferença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right"/>
              <w:rPr/>
            </w:pPr>
            <w:r>
              <w:rPr/>
              <w:t>Jogadores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até 10 pontos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163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11 a 25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85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24%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26 a 50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53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51 a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7%</w:t>
            </w:r>
          </w:p>
        </w:tc>
      </w:tr>
      <w:tr>
        <w:trPr>
          <w:cantSplit/>
        </w:trPr>
        <w:tc>
          <w:tcPr>
            <w:tcW w:w="42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acima de 100</w:t>
            </w:r>
          </w:p>
        </w:tc>
        <w:tc>
          <w:tcPr>
            <w:tcW w:w="373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>22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6%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Mediana de </w:t>
      </w:r>
      <w:r>
        <w:rPr>
          <w:rStyle w:val="Strong"/>
        </w:rPr>
        <w:t>11,5 pontos</w:t>
      </w:r>
      <w:r>
        <w:rPr/>
        <w:t xml:space="preserve">. </w:t>
      </w:r>
      <w:r>
        <w:rPr>
          <w:rStyle w:val="Strong"/>
        </w:rPr>
        <w:t>Não há viés de direção</w:t>
      </w:r>
      <w:r>
        <w:rPr/>
        <w:t>: 173 sobem, 162 descem, 13 ficam iguais. As maiores mudanças concentram-se em rating baixo e recém-chegados, onde ficam as regras aposentadas (Anexo de Transição, seção 3).</w:t>
      </w:r>
    </w:p>
    <w:p>
      <w:pPr>
        <w:pStyle w:val="Heading3"/>
        <w:bidi w:val="0"/>
        <w:jc w:val="left"/>
        <w:rPr/>
      </w:pPr>
      <w:r>
        <w:rPr/>
        <w:t>2.4 O que o modelo novo faz e o atual não fazia</w:t>
      </w:r>
    </w:p>
    <w:p>
      <w:pPr>
        <w:pStyle w:val="BodyText"/>
        <w:bidi w:val="0"/>
        <w:jc w:val="left"/>
        <w:rPr/>
      </w:pPr>
      <w:r>
        <w:rPr/>
        <w:t xml:space="preserve">Somando os três bimestres: </w:t>
      </w:r>
      <w:r>
        <w:rPr>
          <w:rStyle w:val="Strong"/>
        </w:rPr>
        <w:t>50 jogadores</w:t>
      </w:r>
      <w:r>
        <w:rPr/>
        <w:t xml:space="preserve"> conquistaram o primeiro rating pela regra da seção 6 do Anexo Normativo, </w:t>
      </w:r>
      <w:r>
        <w:rPr>
          <w:rStyle w:val="Strong"/>
        </w:rPr>
        <w:t>111</w:t>
      </w:r>
      <w:r>
        <w:rPr/>
        <w:t xml:space="preserve"> seguem acumulando rumo às 5 partidas, e o descarte do primeiro torneio zerado (Anexo Normativo, seção 6.1) foi acionado </w:t>
      </w:r>
      <w:r>
        <w:rPr>
          <w:rStyle w:val="Strong"/>
        </w:rPr>
        <w:t>23 vezes</w:t>
      </w:r>
      <w:r>
        <w:rPr/>
        <w:t xml:space="preserve">. Na conversão, </w:t>
      </w:r>
      <w:r>
        <w:rPr>
          <w:rStyle w:val="Strong"/>
        </w:rPr>
        <w:t>1.361</w:t>
      </w:r>
      <w:r>
        <w:rPr/>
        <w:t xml:space="preserve"> jogadores entram com rating, dos quais </w:t>
      </w:r>
      <w:r>
        <w:rPr>
          <w:rStyle w:val="Strong"/>
        </w:rPr>
        <w:t>60 no piso de 1200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2.5 Por que o bimestre roda de uma vez</w:t>
      </w:r>
    </w:p>
    <w:p>
      <w:pPr>
        <w:pStyle w:val="BodyText"/>
        <w:bidi w:val="0"/>
        <w:spacing w:before="0" w:after="140"/>
        <w:jc w:val="left"/>
        <w:rPr/>
      </w:pPr>
      <w:r>
        <w:rPr/>
        <w:t xml:space="preserve">Rodar os seis meses como </w:t>
      </w:r>
      <w:r>
        <w:rPr>
          <w:rStyle w:val="Strong"/>
        </w:rPr>
        <w:t>um período único</w:t>
      </w:r>
      <w:r>
        <w:rPr/>
        <w:t xml:space="preserve">, em vez de três bimestres, muda o rating final de </w:t>
      </w:r>
      <w:r>
        <w:rPr>
          <w:rStyle w:val="Strong"/>
        </w:rPr>
        <w:t>182 jogadores</w:t>
      </w:r>
      <w:r>
        <w:rPr/>
        <w:t xml:space="preserve">, com diferença de até </w:t>
      </w:r>
      <w:r>
        <w:rPr>
          <w:rStyle w:val="Strong"/>
        </w:rPr>
        <w:t>75 pontos</w:t>
      </w:r>
      <w:r>
        <w:rPr/>
        <w:t>. Nenhum dos dois está errado — são períodos diferentes. É a razão de o recorte precisar ser fixo e combinado de antemão (Anexo Normativo, seção 4.1).</w:t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anexo-testes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