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360" w:after="120"/>
        <w:jc w:val="left"/>
        <w:rPr/>
      </w:pPr>
      <w:r>
        <w:rPr/>
        <w:t>Modelo de rating FEXERJ — regras completas</w:t>
      </w:r>
    </w:p>
    <w:p>
      <w:pPr>
        <w:pStyle w:val="BodyText"/>
        <w:bidi w:val="0"/>
        <w:jc w:val="left"/>
        <w:rPr/>
      </w:pPr>
      <w:r>
        <w:rPr>
          <w:rStyle w:val="Strong"/>
        </w:rPr>
        <w:t>Versão 1.4 — 11/08/2026.</w:t>
      </w:r>
    </w:p>
    <w:p>
      <w:pPr>
        <w:pStyle w:val="BodyText"/>
        <w:bidi w:val="0"/>
        <w:jc w:val="left"/>
        <w:rPr/>
      </w:pPr>
      <w:r>
        <w:rPr/>
        <w:t xml:space="preserve">Especificação do modelo de rating </w:t>
      </w:r>
      <w:r>
        <w:rPr>
          <w:rStyle w:val="Strong"/>
        </w:rPr>
        <w:t>por partida</w:t>
      </w:r>
      <w:r>
        <w:rPr/>
        <w:t xml:space="preserve"> da FEXERJ, aplicável às modalidades Clássico, Rápido e Blitz. Alinhado ao Handbook FIDE B02, com as adaptações numéricas da federação. Substitui o modelo por torneio descrito em </w:t>
      </w:r>
      <w:hyperlink r:id="rId2">
        <w:r>
          <w:rPr>
            <w:rStyle w:val="Hyperlink"/>
            <w:rFonts w:ascii="Courier New;monospace" w:hAnsi="Courier New;monospace" w:eastAsia="Courier New;monospace" w:cs="Courier New;monospace"/>
            <w:sz w:val="19"/>
            <w:szCs w:val="19"/>
          </w:rPr>
          <w:t>CALCULATOR.md</w:t>
        </w:r>
      </w:hyperlink>
      <w:r>
        <w:rPr/>
        <w:t>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Base normativa:</w:t>
      </w:r>
      <w:r>
        <w:rPr/>
        <w:t xml:space="preserve"> </w:t>
      </w:r>
      <w:hyperlink r:id="rId3">
        <w:r>
          <w:rPr>
            <w:rStyle w:val="Hyperlink"/>
          </w:rPr>
          <w:t>FIDE Rating Regulations</w:t>
        </w:r>
      </w:hyperlink>
      <w:r>
        <w:rPr/>
        <w:t xml:space="preserve"> (vigente desde 01/03/2024, com emenda de 01/10/2025 em 8.3.1) e </w:t>
      </w:r>
      <w:hyperlink r:id="rId4">
        <w:r>
          <w:rPr>
            <w:rStyle w:val="Hyperlink"/>
          </w:rPr>
          <w:t>FIDE Rapid and Blitz Rating Regulations</w:t>
        </w:r>
      </w:hyperlink>
      <w:r>
        <w:rPr/>
        <w:t xml:space="preserve">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Vigência prevista:</w:t>
      </w:r>
      <w:r>
        <w:rPr/>
        <w:t xml:space="preserve"> a partir da temporada de 2027 — 01/03/2027. Até lá, o modelo atual continua gerando a lista oficial.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Validação:</w:t>
      </w:r>
      <w:r>
        <w:rPr/>
        <w:t xml:space="preserve"> o cálculo da seção 3 foi conferido contra uma consulta oficial da FIDE (seção 10) e o modelo completo foi rodado sobre um ciclo real da federação (seção 13). </w:t>
      </w:r>
    </w:p>
    <w:p>
      <w:pPr>
        <w:pStyle w:val="BlockQuotation"/>
        <w:bidi w:val="0"/>
        <w:jc w:val="left"/>
        <w:rPr/>
      </w:pPr>
      <w:r>
        <w:rPr/>
        <w:t>Os pontos ainda em aberto estão na primeira seção. O restante do documento descreve o modelo como ele vale.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Sumário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Pontos em aberto</w:t>
      </w:r>
      <w:r>
        <w:rPr/>
        <w:t xml:space="preserve"> — o que ainda depende de decisão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1. Modalidades</w:t>
      </w:r>
      <w:r>
        <w:rPr/>
        <w:t xml:space="preserve"> — Clássico, Rápido e Blitz; transpasse entre elas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2. Parâmetros</w:t>
      </w:r>
      <w:r>
        <w:rPr/>
        <w:t xml:space="preserve"> — os números da FIDE e as adaptações da FEXERJ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3. Cálculo para jogador já rated</w:t>
      </w:r>
      <w:r>
        <w:rPr/>
        <w:t xml:space="preserve"> — a conta, passo a passo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4. Período de cálculo</w:t>
      </w:r>
      <w:r>
        <w:rPr/>
        <w:t xml:space="preserve"> — o que é um período e como é delimitado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5. Fator K</w:t>
      </w:r>
      <w:r>
        <w:rPr/>
        <w:t xml:space="preserve"> — a tabela, o teto de 700 e a dependência da data de nascimento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6. Rating inicial de jogador não-rated</w:t>
      </w:r>
      <w:r>
        <w:rPr/>
        <w:t xml:space="preserve"> — as 5 partidas, o descarte, a janela de 26 meses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7. Piso de rating</w:t>
      </w:r>
      <w:r>
        <w:rPr/>
        <w:t xml:space="preserve"> — durante o cálculo e na conversão da lista atual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8. Tabela 8.1.2</w:t>
      </w:r>
      <w:r>
        <w:rPr/>
        <w:t xml:space="preserve"> — diferença de rating para probabilidade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9. Tabela 8.1.1</w:t>
      </w:r>
      <w:r>
        <w:rPr/>
        <w:t xml:space="preserve"> — percentual de pontos para diferença de rating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10. Validação contra dado oficial da FIDE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11. O que muda nos arquivos</w:t>
      </w:r>
      <w:r>
        <w:rPr/>
        <w:t xml:space="preserve"> — jogadores, torneios e auditoria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12. O que deixa de existir</w:t>
      </w:r>
      <w:r>
        <w:rPr/>
        <w:t xml:space="preserve"> — as regras aposentadas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13. Simulação sobre um ciclo real</w:t>
      </w:r>
      <w:r>
        <w:rPr/>
        <w:t xml:space="preserve"> — o modelo rodado sobre os 35 torneios de 2026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Pontos em aberto</w:t>
      </w:r>
    </w:p>
    <w:p>
      <w:pPr>
        <w:pStyle w:val="BodyText"/>
        <w:bidi w:val="0"/>
        <w:jc w:val="left"/>
        <w:rPr/>
      </w:pPr>
      <w:r>
        <w:rPr/>
        <w:t>Três pontos. Enquanto não houver decisão, o programa segue o que está descrito em cada um.</w:t>
      </w:r>
    </w:p>
    <w:p>
      <w:pPr>
        <w:pStyle w:val="Heading3"/>
        <w:bidi w:val="0"/>
        <w:jc w:val="left"/>
        <w:rPr/>
      </w:pPr>
      <w:r>
        <w:rPr/>
        <w:t>1. Como a permanência do K=10 é guardada</w:t>
      </w:r>
    </w:p>
    <w:p>
      <w:pPr>
        <w:pStyle w:val="BodyText"/>
        <w:bidi w:val="0"/>
        <w:jc w:val="left"/>
        <w:rPr/>
      </w:pPr>
      <w:r>
        <w:rPr/>
        <w:t>O K de 10 é permanente (seção 5): uma vez atingidos 2.200, o fator não volta a subir, mesmo que o rating caia. Para isso o programa precisa saber que a marca foi atingida, o que o rating atual sozinho não diz.</w:t>
      </w:r>
    </w:p>
    <w:p>
      <w:pPr>
        <w:pStyle w:val="BodyText"/>
        <w:bidi w:val="0"/>
        <w:jc w:val="left"/>
        <w:rPr/>
      </w:pPr>
      <w:r>
        <w:rPr>
          <w:rStyle w:val="Strong"/>
        </w:rPr>
        <w:t>A proposta da federação</w:t>
      </w:r>
      <w:r>
        <w:rPr/>
        <w:t xml:space="preserve"> foi dispensar um campo e usar o próprio K gravado no arquivo, testando </w:t>
      </w:r>
      <w:r>
        <w:rPr>
          <w:rStyle w:val="SourceText"/>
        </w:rPr>
        <w:t>K = 10</w:t>
      </w:r>
      <w:r>
        <w:rPr/>
        <w:t xml:space="preserve">. Funciona, mas muda a natureza da coluna: o K deixa de ser resultado e passa a ser entrada. Um </w:t>
      </w:r>
      <w:r>
        <w:rPr>
          <w:rStyle w:val="SourceText"/>
        </w:rPr>
        <w:t>10</w:t>
      </w:r>
      <w:r>
        <w:rPr/>
        <w:t xml:space="preserve"> digitado por engano numa linha congela o fator daquele jogador para sempre, e o programa não tem como distinguir isso de um K legítimo.</w:t>
      </w:r>
    </w:p>
    <w:p>
      <w:pPr>
        <w:pStyle w:val="BodyText"/>
        <w:bidi w:val="0"/>
        <w:jc w:val="left"/>
        <w:rPr/>
      </w:pPr>
      <w:r>
        <w:rPr>
          <w:rStyle w:val="Strong"/>
        </w:rPr>
        <w:t>Recomendação: um campo próprio por modalidade</w:t>
      </w:r>
      <w:r>
        <w:rPr/>
        <w:t>, que o programa liga ao cruzar 2.200 e nunca desliga, com o fator K continuando a ser recalculado a cada ciclo.</w:t>
      </w:r>
    </w:p>
    <w:p>
      <w:pPr>
        <w:pStyle w:val="BodyText"/>
        <w:bidi w:val="0"/>
        <w:jc w:val="left"/>
        <w:rPr/>
      </w:pPr>
      <w:r>
        <w:rPr/>
        <w:t xml:space="preserve">Sobre a dúvida anotada na versão 1.3 — </w:t>
      </w:r>
      <w:r>
        <w:rPr>
          <w:rStyle w:val="Emphasis"/>
        </w:rPr>
        <w:t>para que serve, então, uma coluna de K que não alimenta o cálculo?</w:t>
      </w:r>
      <w:r>
        <w:rPr/>
        <w:t xml:space="preserve"> Para conferir. Ela mostra com que fator cada jogador foi calculado naquele ciclo, que é o número que explica o tamanho da variação dele; sem a coluna, descobrir isso exige refazer a regra da seção 5 à mão, jogador a jogador. É o mesmo papel do rating publicado: é resultado, e é por ser resultado que serve de conferência. O que o cálculo </w:t>
      </w:r>
      <w:r>
        <w:rPr>
          <w:rStyle w:val="Strong"/>
        </w:rPr>
        <w:t>precisa</w:t>
      </w:r>
      <w:r>
        <w:rPr/>
        <w:t xml:space="preserve"> guardar e não consegue deduzir é outra coisa — a permanência do K=10 —, e é ela que pede campo próprio.</w:t>
      </w:r>
    </w:p>
    <w:p>
      <w:pPr>
        <w:pStyle w:val="BodyText"/>
        <w:bidi w:val="0"/>
        <w:jc w:val="left"/>
        <w:rPr/>
      </w:pPr>
      <w:r>
        <w:rPr>
          <w:rStyle w:val="Strong"/>
        </w:rPr>
        <w:t>Este é o ponto que trava a implementação:</w:t>
      </w:r>
      <w:r>
        <w:rPr/>
        <w:t xml:space="preserve"> ele define as colunas do arquivo de jogadores, e esse arquivo muda uma vez só (seção 11.1).</w:t>
      </w:r>
    </w:p>
    <w:p>
      <w:pPr>
        <w:pStyle w:val="Heading3"/>
        <w:bidi w:val="0"/>
        <w:jc w:val="left"/>
        <w:rPr/>
      </w:pPr>
      <w:r>
        <w:rPr/>
        <w:t>2. Se o rating FIDE é reconferido depois da entrada</w:t>
      </w:r>
    </w:p>
    <w:p>
      <w:pPr>
        <w:pStyle w:val="BodyText"/>
        <w:bidi w:val="0"/>
        <w:jc w:val="left"/>
        <w:rPr/>
      </w:pPr>
      <w:r>
        <w:rPr/>
        <w:t xml:space="preserve">O momento de captura está definido (§6.4, alínea d). Ficou em aberto o que acontece </w:t>
      </w:r>
      <w:r>
        <w:rPr>
          <w:rStyle w:val="Strong"/>
        </w:rPr>
        <w:t>depois</w:t>
      </w:r>
      <w:r>
        <w:rPr/>
        <w:t>: o rating FEXERJ de quem entrou pela FIDE deve ser reaproximado do rating FIDE quando os dois divergirem além de alguma margem?</w:t>
      </w:r>
    </w:p>
    <w:p>
      <w:pPr>
        <w:pStyle w:val="BodyText"/>
        <w:bidi w:val="0"/>
        <w:jc w:val="left"/>
        <w:rPr/>
      </w:pPr>
      <w:r>
        <w:rPr>
          <w:rStyle w:val="Strong"/>
        </w:rPr>
        <w:t>Recomendação: não reaproximar.</w:t>
      </w:r>
      <w:r>
        <w:rPr/>
        <w:t xml:space="preserve"> Feita a entrada, aquele rating é da federação e evolui pelas partidas disputadas aqui. As duas listas medem populações de adversários diferentes, e divergir é o esperado, não um defeito. Reaproximar substituiria por um número de fora o resultado de partidas já calculadas e publicadas, sem linha de auditoria que explicasse a mudança.</w:t>
      </w:r>
    </w:p>
    <w:p>
      <w:pPr>
        <w:pStyle w:val="BodyText"/>
        <w:bidi w:val="0"/>
        <w:jc w:val="left"/>
        <w:rPr/>
      </w:pPr>
      <w:r>
        <w:rPr/>
        <w:t>Se ainda assim a federação quiser um gatilho, ele precisa ser regra escrita — margem, periodicidade e o que acontece com a contagem de partidas —, e não correção manual caso a caso, que é indistinguível de erro de digitação.</w:t>
      </w:r>
    </w:p>
    <w:p>
      <w:pPr>
        <w:pStyle w:val="Heading3"/>
        <w:bidi w:val="0"/>
        <w:jc w:val="left"/>
        <w:rPr/>
      </w:pPr>
      <w:r>
        <w:rPr/>
        <w:t>3. Como este documento se encaixa nos regimentos</w:t>
      </w:r>
    </w:p>
    <w:p>
      <w:pPr>
        <w:pStyle w:val="BodyText"/>
        <w:bidi w:val="0"/>
        <w:jc w:val="left"/>
        <w:rPr/>
      </w:pPr>
      <w:r>
        <w:rPr/>
        <w:t>O modelo atual está no Art. 68 do regimento. Falta definir a forma da substituição: o artigo é reescrito para remeter a este documento, é revogado, ou este documento passa a valer como regulamentação dele? Não muda cálculo nenhum, mas define como o documento é citado e por quem é aprovado.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1. Modalidades</w:t>
      </w:r>
    </w:p>
    <w:p>
      <w:pPr>
        <w:pStyle w:val="BodyText"/>
        <w:bidi w:val="0"/>
        <w:jc w:val="left"/>
        <w:rPr/>
      </w:pPr>
      <w:r>
        <w:rPr/>
        <w:t xml:space="preserve">A FEXERJ passa a manter </w:t>
      </w:r>
      <w:r>
        <w:rPr>
          <w:rStyle w:val="Strong"/>
        </w:rPr>
        <w:t>três ratings independentes</w:t>
      </w:r>
      <w:r>
        <w:rPr/>
        <w:t xml:space="preserve"> por jogador:</w:t>
      </w:r>
    </w:p>
    <w:tbl>
      <w:tblPr>
        <w:tblW w:w="997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949"/>
        <w:gridCol w:w="4023"/>
      </w:tblGrid>
      <w:tr>
        <w:trPr>
          <w:cantSplit/>
          <w:tblHeader w:val="true"/>
        </w:trPr>
        <w:tc>
          <w:tcPr>
            <w:tcW w:w="5949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Modalidade</w:t>
            </w:r>
          </w:p>
        </w:tc>
        <w:tc>
          <w:tcPr>
            <w:tcW w:w="4023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Sigla</w:t>
            </w:r>
          </w:p>
        </w:tc>
      </w:tr>
      <w:tr>
        <w:trPr>
          <w:cantSplit/>
        </w:trPr>
        <w:tc>
          <w:tcPr>
            <w:tcW w:w="59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Clássico</w:t>
            </w:r>
          </w:p>
        </w:tc>
        <w:tc>
          <w:tcPr>
            <w:tcW w:w="40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STD</w:t>
            </w:r>
          </w:p>
        </w:tc>
      </w:tr>
      <w:tr>
        <w:trPr>
          <w:cantSplit/>
        </w:trPr>
        <w:tc>
          <w:tcPr>
            <w:tcW w:w="59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Rápido</w:t>
            </w:r>
          </w:p>
        </w:tc>
        <w:tc>
          <w:tcPr>
            <w:tcW w:w="40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RPD</w:t>
            </w:r>
          </w:p>
        </w:tc>
      </w:tr>
      <w:tr>
        <w:trPr>
          <w:cantSplit/>
        </w:trPr>
        <w:tc>
          <w:tcPr>
            <w:tcW w:w="59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Blitz</w:t>
            </w:r>
          </w:p>
        </w:tc>
        <w:tc>
          <w:tcPr>
            <w:tcW w:w="40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BLZ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Cada modalidade tem rating, contagem de partidas e histórico próprios. As regras abaixo se aplicam </w:t>
      </w:r>
      <w:r>
        <w:rPr>
          <w:rStyle w:val="Strong"/>
        </w:rPr>
        <w:t>igualmente às três</w:t>
      </w:r>
      <w:r>
        <w:rPr/>
        <w:t>, salvo onde indicado.</w:t>
      </w:r>
    </w:p>
    <w:p>
      <w:pPr>
        <w:pStyle w:val="BodyText"/>
        <w:bidi w:val="0"/>
        <w:jc w:val="left"/>
        <w:rPr/>
      </w:pPr>
      <w:r>
        <w:rPr/>
        <w:t xml:space="preserve">As adaptações numéricas da FEXERJ (seção 2) valem </w:t>
      </w:r>
      <w:r>
        <w:rPr>
          <w:rStyle w:val="Strong"/>
        </w:rPr>
        <w:t>igualmente para as três modalidades</w:t>
      </w:r>
      <w:r>
        <w:rPr/>
        <w:t>. A única divergência em relação ao texto da FIDE é o teto de 2400/2650, que a FEXERJ ignora — substituído por 2200 (seção 2) e pelo teto de 400 sempre aplicado.</w:t>
      </w:r>
    </w:p>
    <w:p>
      <w:pPr>
        <w:pStyle w:val="Heading3"/>
        <w:bidi w:val="0"/>
        <w:jc w:val="left"/>
        <w:rPr/>
      </w:pPr>
      <w:r>
        <w:rPr/>
        <w:t>1.1 Transpasse entre modalidades</w:t>
      </w:r>
    </w:p>
    <w:p>
      <w:pPr>
        <w:pStyle w:val="BodyText"/>
        <w:bidi w:val="0"/>
        <w:jc w:val="left"/>
        <w:rPr/>
      </w:pPr>
      <w:r>
        <w:rPr/>
        <w:t>Espelha o 7.2.1 do regulamento FIDE de Rápido/Blitz.</w:t>
      </w:r>
    </w:p>
    <w:p>
      <w:pPr>
        <w:pStyle w:val="BodyText"/>
        <w:bidi w:val="0"/>
        <w:jc w:val="left"/>
        <w:rPr/>
      </w:pPr>
      <w:r>
        <w:rPr/>
        <w:t xml:space="preserve">Jogador </w:t>
      </w:r>
      <w:r>
        <w:rPr>
          <w:rStyle w:val="Strong"/>
        </w:rPr>
        <w:t>sem rating</w:t>
      </w:r>
      <w:r>
        <w:rPr/>
        <w:t xml:space="preserve"> numa modalidade que </w:t>
      </w:r>
      <w:r>
        <w:rPr>
          <w:rStyle w:val="Strong"/>
        </w:rPr>
        <w:t>tenha rating STD</w:t>
      </w:r>
      <w:r>
        <w:rPr/>
        <w:t xml:space="preserve"> entra no cálculo daquela modalidade usando o </w:t>
      </w:r>
      <w:r>
        <w:rPr>
          <w:rStyle w:val="Strong"/>
        </w:rPr>
        <w:t>rating STD</w:t>
      </w:r>
      <w:r>
        <w:rPr/>
        <w:t xml:space="preserve"> e é tratado como </w:t>
      </w:r>
      <w:r>
        <w:rPr>
          <w:rStyle w:val="Strong"/>
        </w:rPr>
        <w:t>rated</w:t>
      </w:r>
      <w:r>
        <w:rPr/>
        <w:t xml:space="preserve"> — não passa pelo cálculo de rating inicial da seção 6.</w:t>
      </w:r>
    </w:p>
    <w:p>
      <w:pPr>
        <w:pStyle w:val="BodyText"/>
        <w:bidi w:val="0"/>
        <w:jc w:val="left"/>
        <w:rPr/>
      </w:pPr>
      <w:r>
        <w:rPr/>
        <w:t xml:space="preserve">O fator K do jogador transposto sai da contagem de partidas </w:t>
      </w:r>
      <w:r>
        <w:rPr>
          <w:rStyle w:val="Strong"/>
        </w:rPr>
        <w:t>da modalidade nova</w:t>
      </w:r>
      <w:r>
        <w:rPr/>
        <w:t xml:space="preserve">, que é zero — portanto </w:t>
      </w:r>
      <w:r>
        <w:rPr>
          <w:rStyle w:val="Strong"/>
        </w:rPr>
        <w:t>K=40</w:t>
      </w:r>
      <w:r>
        <w:rPr/>
        <w:t>. Fatores K e contagens de partidas são independentes por modalidade; só o rating inicial vem do STD.</w:t>
      </w:r>
    </w:p>
    <w:p>
      <w:pPr>
        <w:pStyle w:val="BodyText"/>
        <w:bidi w:val="0"/>
        <w:jc w:val="left"/>
        <w:rPr/>
      </w:pPr>
      <w:r>
        <w:rPr/>
        <w:t>Jogador que já tem rating FIDE naquela modalidade entra com ele, sem passar pelo transpasse nem pelo cálculo de rating inicial — ver a seção 6.5.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2. Parâmetros — FIDE e adaptação FEXERJ</w:t>
      </w:r>
    </w:p>
    <w:tbl>
      <w:tblPr>
        <w:tblW w:w="997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342"/>
        <w:gridCol w:w="2013"/>
        <w:gridCol w:w="1426"/>
        <w:gridCol w:w="2191"/>
      </w:tblGrid>
      <w:tr>
        <w:trPr>
          <w:cantSplit/>
          <w:tblHeader w:val="true"/>
        </w:trPr>
        <w:tc>
          <w:tcPr>
            <w:tcW w:w="4342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Parâmetro</w:t>
            </w:r>
          </w:p>
        </w:tc>
        <w:tc>
          <w:tcPr>
            <w:tcW w:w="2013" w:type="dxa"/>
            <w:tcBorders/>
            <w:vAlign w:val="center"/>
          </w:tcPr>
          <w:p>
            <w:pPr>
              <w:pStyle w:val="TableHeading"/>
              <w:bidi w:val="0"/>
              <w:ind w:hanging="0" w:left="0" w:right="0"/>
              <w:jc w:val="left"/>
              <w:rPr/>
            </w:pPr>
            <w:r>
              <w:rPr/>
              <w:t>Seção FIDE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Heading"/>
              <w:bidi w:val="0"/>
              <w:ind w:hanging="0" w:left="0" w:right="0"/>
              <w:jc w:val="right"/>
              <w:rPr/>
            </w:pPr>
            <w:r>
              <w:rPr/>
              <w:t>FIDE</w:t>
            </w:r>
          </w:p>
        </w:tc>
        <w:tc>
          <w:tcPr>
            <w:tcW w:w="2191" w:type="dxa"/>
            <w:tcBorders/>
            <w:vAlign w:val="center"/>
          </w:tcPr>
          <w:p>
            <w:pPr>
              <w:pStyle w:val="TableHeading"/>
              <w:bidi w:val="0"/>
              <w:jc w:val="right"/>
              <w:rPr/>
            </w:pPr>
            <w:r>
              <w:rPr>
                <w:rStyle w:val="Strong"/>
                <w:b/>
                <w:bCs/>
              </w:rPr>
              <w:t>FEXERJ</w:t>
            </w:r>
          </w:p>
        </w:tc>
      </w:tr>
      <w:tr>
        <w:trPr>
          <w:cantSplit/>
        </w:trPr>
        <w:tc>
          <w:tcPr>
            <w:tcW w:w="43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Rating mínimo (abaixo disso, jogador vira não-rated)</w:t>
            </w:r>
          </w:p>
        </w:tc>
        <w:tc>
          <w:tcPr>
            <w:tcW w:w="2013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7.2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1400</w:t>
            </w:r>
          </w:p>
        </w:tc>
        <w:tc>
          <w:tcPr>
            <w:tcW w:w="2191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>
                <w:rStyle w:val="Strong"/>
              </w:rPr>
              <w:t>1200</w:t>
            </w:r>
          </w:p>
        </w:tc>
      </w:tr>
      <w:tr>
        <w:trPr>
          <w:cantSplit/>
        </w:trPr>
        <w:tc>
          <w:tcPr>
            <w:tcW w:w="43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Rating dos adversários fictícios no rating inicial</w:t>
            </w:r>
          </w:p>
        </w:tc>
        <w:tc>
          <w:tcPr>
            <w:tcW w:w="2013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8.2.2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1800</w:t>
            </w:r>
          </w:p>
        </w:tc>
        <w:tc>
          <w:tcPr>
            <w:tcW w:w="2191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>
                <w:rStyle w:val="Strong"/>
              </w:rPr>
              <w:t>1600</w:t>
            </w:r>
          </w:p>
        </w:tc>
      </w:tr>
      <w:tr>
        <w:trPr>
          <w:cantSplit/>
        </w:trPr>
        <w:tc>
          <w:tcPr>
            <w:tcW w:w="43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Rating inicial máximo</w:t>
            </w:r>
          </w:p>
        </w:tc>
        <w:tc>
          <w:tcPr>
            <w:tcW w:w="2013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8.2.3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2200</w:t>
            </w:r>
          </w:p>
        </w:tc>
        <w:tc>
          <w:tcPr>
            <w:tcW w:w="2191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>
                <w:rStyle w:val="Strong"/>
              </w:rPr>
              <w:t>2000</w:t>
            </w:r>
          </w:p>
        </w:tc>
      </w:tr>
      <w:tr>
        <w:trPr>
          <w:cantSplit/>
        </w:trPr>
        <w:tc>
          <w:tcPr>
            <w:tcW w:w="43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Rating que fixa K=10</w:t>
            </w:r>
          </w:p>
        </w:tc>
        <w:tc>
          <w:tcPr>
            <w:tcW w:w="2013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8.3.3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2400</w:t>
            </w:r>
          </w:p>
        </w:tc>
        <w:tc>
          <w:tcPr>
            <w:tcW w:w="2191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>
                <w:rStyle w:val="Strong"/>
              </w:rPr>
              <w:t>2200</w:t>
            </w:r>
          </w:p>
        </w:tc>
      </w:tr>
      <w:tr>
        <w:trPr>
          <w:cantSplit/>
        </w:trPr>
        <w:tc>
          <w:tcPr>
            <w:tcW w:w="43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Teto de rating para o K=40 de sub-18</w:t>
            </w:r>
          </w:p>
        </w:tc>
        <w:tc>
          <w:tcPr>
            <w:tcW w:w="2013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8.3.3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2300</w:t>
            </w:r>
          </w:p>
        </w:tc>
        <w:tc>
          <w:tcPr>
            <w:tcW w:w="2191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>
                <w:rStyle w:val="Strong"/>
              </w:rPr>
              <w:t>2100</w:t>
            </w:r>
          </w:p>
        </w:tc>
      </w:tr>
      <w:tr>
        <w:trPr>
          <w:cantSplit/>
        </w:trPr>
        <w:tc>
          <w:tcPr>
            <w:tcW w:w="43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Teto da diferença de rating</w:t>
            </w:r>
          </w:p>
        </w:tc>
        <w:tc>
          <w:tcPr>
            <w:tcW w:w="2013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8.3.1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400</w:t>
            </w:r>
          </w:p>
        </w:tc>
        <w:tc>
          <w:tcPr>
            <w:tcW w:w="2191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>
                <w:rStyle w:val="Strong"/>
              </w:rPr>
              <w:t>400, sempre</w:t>
            </w:r>
          </w:p>
        </w:tc>
      </w:tr>
      <w:tr>
        <w:trPr>
          <w:cantSplit/>
        </w:trPr>
        <w:tc>
          <w:tcPr>
            <w:tcW w:w="43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Partidas mínimas para primeiro rating</w:t>
            </w:r>
          </w:p>
        </w:tc>
        <w:tc>
          <w:tcPr>
            <w:tcW w:w="2013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7.1.4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5</w:t>
            </w:r>
          </w:p>
        </w:tc>
        <w:tc>
          <w:tcPr>
            <w:tcW w:w="2191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>
                <w:rStyle w:val="Strong"/>
              </w:rPr>
              <w:t>5</w:t>
            </w:r>
          </w:p>
        </w:tc>
      </w:tr>
    </w:tbl>
    <w:p>
      <w:pPr>
        <w:pStyle w:val="BodyText"/>
        <w:bidi w:val="0"/>
        <w:jc w:val="left"/>
        <w:rPr/>
      </w:pPr>
      <w:r>
        <w:rPr>
          <w:rStyle w:val="Strong"/>
        </w:rPr>
        <w:t>Teto da diferença de rating: 400 pontos, sempre.</w:t>
      </w:r>
      <w:r>
        <w:rPr/>
        <w:t xml:space="preserve"> A exceção da FIDE para jogadores com 2650 ou mais </w:t>
      </w:r>
      <w:r>
        <w:rPr>
          <w:rStyle w:val="Strong"/>
        </w:rPr>
        <w:t>não vale</w:t>
      </w:r>
      <w:r>
        <w:rPr/>
        <w:t xml:space="preserve"> na FEXERJ.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3. Cálculo para jogador já rated</w:t>
      </w:r>
    </w:p>
    <w:p>
      <w:pPr>
        <w:pStyle w:val="BodyText"/>
        <w:bidi w:val="0"/>
        <w:jc w:val="left"/>
        <w:rPr/>
      </w:pPr>
      <w:r>
        <w:rPr/>
        <w:t xml:space="preserve">Aplicado a cada partida </w:t>
      </w:r>
      <w:r>
        <w:rPr>
          <w:rStyle w:val="Strong"/>
        </w:rPr>
        <w:t>contra adversário rated</w:t>
      </w:r>
      <w:r>
        <w:rPr/>
        <w:t xml:space="preserve">. Partidas contra não-rated </w:t>
      </w:r>
      <w:r>
        <w:rPr>
          <w:rStyle w:val="Strong"/>
        </w:rPr>
        <w:t>não entram</w:t>
      </w:r>
      <w:r>
        <w:rPr/>
        <w:t xml:space="preserve"> no cálculo do jogador rated (8.3.1: </w:t>
      </w:r>
      <w:r>
        <w:rPr>
          <w:rStyle w:val="Emphasis"/>
        </w:rPr>
        <w:t>"for each game played against a rated player"</w:t>
      </w:r>
      <w:r>
        <w:rPr/>
        <w:t>).</w:t>
      </w:r>
    </w:p>
    <w:p>
      <w:pPr>
        <w:pStyle w:val="Heading3"/>
        <w:bidi w:val="0"/>
        <w:jc w:val="left"/>
        <w:rPr/>
      </w:pPr>
      <w:r>
        <w:rPr/>
        <w:t>Passo 1 — diferença de rating, com teto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D = rating_do_jogador − rating_do_adversário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D = max(−400, min(400, D))</w:t>
      </w:r>
    </w:p>
    <w:p>
      <w:pPr>
        <w:pStyle w:val="BodyText"/>
        <w:bidi w:val="0"/>
        <w:jc w:val="left"/>
        <w:rPr/>
      </w:pPr>
      <w:r>
        <w:rPr/>
        <w:t xml:space="preserve">O teto é aplicado </w:t>
      </w:r>
      <w:r>
        <w:rPr>
          <w:rStyle w:val="Strong"/>
        </w:rPr>
        <w:t>ao rating do adversário</w:t>
      </w:r>
      <w:r>
        <w:rPr/>
        <w:t>, antes de qualquer conta. A própria FIDE exibe o adversário já limitado em suas páginas de cálculo.</w:t>
      </w:r>
    </w:p>
    <w:p>
      <w:pPr>
        <w:pStyle w:val="Heading3"/>
        <w:bidi w:val="0"/>
        <w:jc w:val="left"/>
        <w:rPr/>
      </w:pPr>
      <w:r>
        <w:rPr/>
        <w:t>Passo 2 — probabilidade esperada</w:t>
      </w:r>
    </w:p>
    <w:p>
      <w:pPr>
        <w:pStyle w:val="BodyText"/>
        <w:bidi w:val="0"/>
        <w:jc w:val="left"/>
        <w:rPr/>
      </w:pPr>
      <w:r>
        <w:rPr>
          <w:rStyle w:val="SourceText"/>
        </w:rPr>
        <w:t>PD</w:t>
      </w:r>
      <w:r>
        <w:rPr/>
        <w:t xml:space="preserve"> sai da </w:t>
      </w:r>
      <w:r>
        <w:rPr>
          <w:rStyle w:val="Strong"/>
        </w:rPr>
        <w:t>tabela 8.1.2</w:t>
      </w:r>
      <w:r>
        <w:rPr/>
        <w:t xml:space="preserve"> (seção 8 deste documento), pela diferença </w:t>
      </w:r>
      <w:r>
        <w:rPr>
          <w:rStyle w:val="SourceText"/>
        </w:rPr>
        <w:t>D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D ≥ 0</w:t>
      </w:r>
      <w:r>
        <w:rPr/>
        <w:t xml:space="preserve"> (jogador é o de rating maior): usa a coluna </w:t>
      </w:r>
      <w:r>
        <w:rPr>
          <w:rStyle w:val="Strong"/>
        </w:rPr>
        <w:t>H</w:t>
      </w:r>
      <w:r>
        <w:rPr/>
        <w:t xml:space="preserve">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D &lt; 0</w:t>
      </w:r>
      <w:r>
        <w:rPr/>
        <w:t xml:space="preserve">: usa a coluna </w:t>
      </w:r>
      <w:r>
        <w:rPr>
          <w:rStyle w:val="Strong"/>
        </w:rPr>
        <w:t>L</w:t>
      </w:r>
      <w:r>
        <w:rPr/>
        <w:t xml:space="preserve"> para </w:t>
      </w:r>
      <w:r>
        <w:rPr>
          <w:rStyle w:val="SourceText"/>
        </w:rPr>
        <w:t>|D|</w:t>
      </w:r>
      <w:r>
        <w:rPr/>
        <w:t xml:space="preserve">, que equivale a </w:t>
      </w:r>
      <w:r>
        <w:rPr>
          <w:rStyle w:val="SourceText"/>
        </w:rPr>
        <w:t>1 − PD_H</w:t>
      </w:r>
      <w:r>
        <w:rPr/>
        <w:t xml:space="preserve"> </w:t>
      </w:r>
    </w:p>
    <w:p>
      <w:pPr>
        <w:pStyle w:val="BodyText"/>
        <w:bidi w:val="0"/>
        <w:jc w:val="left"/>
        <w:rPr/>
      </w:pPr>
      <w:r>
        <w:rPr>
          <w:rStyle w:val="Strong"/>
        </w:rPr>
        <w:t>Não usar a fórmula logística.</w:t>
      </w:r>
      <w:r>
        <w:rPr/>
        <w:t xml:space="preserve"> A tabela produz valores diferentes — a divergência foi medida e está documentada na seção 10.</w:t>
      </w:r>
    </w:p>
    <w:p>
      <w:pPr>
        <w:pStyle w:val="Heading3"/>
        <w:bidi w:val="0"/>
        <w:jc w:val="left"/>
        <w:rPr/>
      </w:pPr>
      <w:r>
        <w:rPr/>
        <w:t>Passo 3 — variação da partida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ΔR = resultado − PD          resultado ∈ {1, 0.5, 0}</w:t>
      </w:r>
    </w:p>
    <w:p>
      <w:pPr>
        <w:pStyle w:val="Heading3"/>
        <w:bidi w:val="0"/>
        <w:jc w:val="left"/>
        <w:rPr/>
      </w:pPr>
      <w:r>
        <w:rPr/>
        <w:t>Passo 4 — variação do período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ΣΔR = soma de todos os ΔR do período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variação = ΣΔR × K</w:t>
      </w:r>
    </w:p>
    <w:p>
      <w:pPr>
        <w:pStyle w:val="Heading3"/>
        <w:bidi w:val="0"/>
        <w:jc w:val="left"/>
        <w:rPr/>
      </w:pPr>
      <w:r>
        <w:rPr/>
        <w:t>Passo 5 — arredondamento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novo_rating = rating_inicial_do_período + arredonda(variação)</w:t>
      </w:r>
    </w:p>
    <w:p>
      <w:pPr>
        <w:pStyle w:val="BodyText"/>
        <w:bidi w:val="0"/>
        <w:jc w:val="left"/>
        <w:rPr/>
      </w:pPr>
      <w:r>
        <w:rPr/>
        <w:t xml:space="preserve">Arredonda para o inteiro mais próximo, </w:t>
      </w:r>
      <w:r>
        <w:rPr>
          <w:rStyle w:val="Strong"/>
        </w:rPr>
        <w:t>uma única vez por período</w:t>
      </w:r>
      <w:r>
        <w:rPr/>
        <w:t xml:space="preserve"> (8.3.4). O 0,5 arredonda </w:t>
      </w:r>
      <w:r>
        <w:rPr>
          <w:rStyle w:val="Strong"/>
        </w:rPr>
        <w:t>para longe do zero</w:t>
      </w:r>
      <w:r>
        <w:rPr/>
        <w:t xml:space="preserve"> (</w:t>
      </w:r>
      <w:r>
        <w:rPr>
          <w:rStyle w:val="SourceText"/>
        </w:rPr>
        <w:t>+0,5 → +1</w:t>
      </w:r>
      <w:r>
        <w:rPr/>
        <w:t xml:space="preserve">; </w:t>
      </w:r>
      <w:r>
        <w:rPr>
          <w:rStyle w:val="SourceText"/>
        </w:rPr>
        <w:t>−0,5 → −1</w:t>
      </w:r>
      <w:r>
        <w:rPr/>
        <w:t>).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4. Período de cálculo</w:t>
      </w:r>
    </w:p>
    <w:p>
      <w:pPr>
        <w:pStyle w:val="BodyText"/>
        <w:bidi w:val="0"/>
        <w:jc w:val="left"/>
        <w:rPr/>
      </w:pPr>
      <w:r>
        <w:rPr>
          <w:rStyle w:val="Strong"/>
        </w:rPr>
        <w:t>Todas as partidas do período são calculadas contra o rating do início do período.</w:t>
      </w:r>
      <w:r>
        <w:rPr/>
        <w:t xml:space="preserve"> O rating não é atualizado entre torneios do mesmo período.</w:t>
      </w:r>
    </w:p>
    <w:p>
      <w:pPr>
        <w:pStyle w:val="BodyText"/>
        <w:bidi w:val="0"/>
        <w:jc w:val="left"/>
        <w:rPr/>
      </w:pPr>
      <w:r>
        <w:rPr/>
        <w:t xml:space="preserve">Isso vale também para o rating dos </w:t>
      </w:r>
      <w:r>
        <w:rPr>
          <w:rStyle w:val="Strong"/>
        </w:rPr>
        <w:t>adversários</w:t>
      </w:r>
      <w:r>
        <w:rPr/>
        <w:t>: usa-se o do início do período.</w:t>
      </w:r>
    </w:p>
    <w:p>
      <w:pPr>
        <w:pStyle w:val="BlockQuotation"/>
        <w:bidi w:val="0"/>
        <w:jc w:val="left"/>
        <w:rPr/>
      </w:pPr>
      <w:r>
        <w:rPr/>
        <w:t xml:space="preserve">Verificado empiricamente numa consulta oficial da FIDE: um jogador disputou dois torneios no mesmo mês, com doze dias de intervalo, tendo ganho 11,40 pontos no primeiro. O segundo torneio foi calculado com o </w:t>
      </w:r>
      <w:r>
        <w:rPr>
          <w:rStyle w:val="Strong"/>
        </w:rPr>
        <w:t>mesmo</w:t>
      </w:r>
      <w:r>
        <w:rPr/>
        <w:t xml:space="preserve"> rating de partida do primeiro.</w:t>
      </w:r>
    </w:p>
    <w:p>
      <w:pPr>
        <w:pStyle w:val="Heading3"/>
        <w:bidi w:val="0"/>
        <w:jc w:val="left"/>
        <w:rPr/>
      </w:pPr>
      <w:r>
        <w:rPr/>
        <w:t>4.1 Como o período é delimitado</w:t>
      </w:r>
    </w:p>
    <w:p>
      <w:pPr>
        <w:pStyle w:val="BodyText"/>
        <w:bidi w:val="0"/>
        <w:jc w:val="left"/>
        <w:rPr/>
      </w:pPr>
      <w:r>
        <w:rPr/>
        <w:t xml:space="preserve">O período é </w:t>
      </w:r>
      <w:r>
        <w:rPr>
          <w:rStyle w:val="Strong"/>
        </w:rPr>
        <w:t>fixo: bimestral, com lista publicada em meses ímpares</w:t>
      </w:r>
      <w:r>
        <w:rPr/>
        <w:t>. Isso substitui a regra do modelo atual, em que o período era simplesmente o conjunto de torneios que o operador escolhesse rodar numa execução.</w:t>
      </w:r>
    </w:p>
    <w:p>
      <w:pPr>
        <w:pStyle w:val="BodyText"/>
        <w:bidi w:val="0"/>
        <w:jc w:val="left"/>
        <w:rPr/>
      </w:pPr>
      <w:r>
        <w:rPr>
          <w:rStyle w:val="Strong"/>
        </w:rPr>
        <w:t>Consequência, com todas as letras: todos os torneios do bimestre entram numa execução só.</w:t>
      </w:r>
      <w:r>
        <w:rPr/>
        <w:t xml:space="preserve"> Rodar torneio a torneio dentro do mesmo bimestre dá um resultado diferente de rodar o bimestre inteiro de uma vez, porque o fator K (seção 5), o teto de 700 (seção 5.1) e o arredondamento (seção 3, passo 5) são todos definidos </w:t>
      </w:r>
      <w:r>
        <w:rPr>
          <w:rStyle w:val="Strong"/>
        </w:rPr>
        <w:t>por período</w:t>
      </w:r>
      <w:r>
        <w:rPr/>
        <w:t xml:space="preserve"> — fatiar a execução fatia os três junto. Não é preferência operacional: é o que faz "por período" significar alguma coisa.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5. Fator K</w:t>
      </w:r>
    </w:p>
    <w:tbl>
      <w:tblPr>
        <w:tblW w:w="997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117"/>
        <w:gridCol w:w="1855"/>
      </w:tblGrid>
      <w:tr>
        <w:trPr>
          <w:cantSplit/>
          <w:tblHeader w:val="true"/>
        </w:trPr>
        <w:tc>
          <w:tcPr>
            <w:tcW w:w="8117" w:type="dxa"/>
            <w:tcBorders/>
            <w:vAlign w:val="center"/>
          </w:tcPr>
          <w:p>
            <w:pPr>
              <w:pStyle w:val="TableHeading"/>
              <w:bidi w:val="0"/>
              <w:ind w:hanging="0" w:left="0" w:right="0"/>
              <w:jc w:val="left"/>
              <w:rPr/>
            </w:pPr>
            <w:r>
              <w:rPr/>
              <w:t>Condição</w:t>
            </w:r>
          </w:p>
        </w:tc>
        <w:tc>
          <w:tcPr>
            <w:tcW w:w="1855" w:type="dxa"/>
            <w:tcBorders/>
            <w:vAlign w:val="center"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K</w:t>
            </w:r>
          </w:p>
        </w:tc>
      </w:tr>
      <w:tr>
        <w:trPr>
          <w:cantSplit/>
        </w:trPr>
        <w:tc>
          <w:tcPr>
            <w:tcW w:w="811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Jogador novo na lista, até completar 30 partidas</w:t>
            </w:r>
          </w:p>
        </w:tc>
        <w:tc>
          <w:tcPr>
            <w:tcW w:w="1855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40</w:t>
            </w:r>
          </w:p>
        </w:tc>
      </w:tr>
      <w:tr>
        <w:trPr>
          <w:cantSplit/>
        </w:trPr>
        <w:tc>
          <w:tcPr>
            <w:tcW w:w="811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Até o fim do ano em que completa 18 anos, com rating abaixo de </w:t>
            </w:r>
            <w:r>
              <w:rPr>
                <w:rStyle w:val="Strong"/>
              </w:rPr>
              <w:t>2100</w:t>
            </w:r>
          </w:p>
        </w:tc>
        <w:tc>
          <w:tcPr>
            <w:tcW w:w="1855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40</w:t>
            </w:r>
          </w:p>
        </w:tc>
      </w:tr>
      <w:tr>
        <w:trPr>
          <w:cantSplit/>
        </w:trPr>
        <w:tc>
          <w:tcPr>
            <w:tcW w:w="811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Rating abaixo de </w:t>
            </w:r>
            <w:r>
              <w:rPr>
                <w:rStyle w:val="Strong"/>
              </w:rPr>
              <w:t>2200</w:t>
            </w:r>
          </w:p>
        </w:tc>
        <w:tc>
          <w:tcPr>
            <w:tcW w:w="1855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20</w:t>
            </w:r>
          </w:p>
        </w:tc>
      </w:tr>
      <w:tr>
        <w:trPr>
          <w:cantSplit/>
        </w:trPr>
        <w:tc>
          <w:tcPr>
            <w:tcW w:w="811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Rating já atingiu </w:t>
            </w:r>
            <w:r>
              <w:rPr>
                <w:rStyle w:val="Strong"/>
              </w:rPr>
              <w:t>2200</w:t>
            </w:r>
            <w:r>
              <w:rPr/>
              <w:t xml:space="preserve"> em alguma lista publicada</w:t>
            </w:r>
          </w:p>
        </w:tc>
        <w:tc>
          <w:tcPr>
            <w:tcW w:w="1855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10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O K de 10 é </w:t>
      </w:r>
      <w:r>
        <w:rPr>
          <w:rStyle w:val="Strong"/>
        </w:rPr>
        <w:t>permanente</w:t>
      </w:r>
      <w:r>
        <w:rPr/>
        <w:t xml:space="preserve">: uma vez que o rating publicado atinge 2200, o jogador mantém K=10 mesmo que caia depois. Isso exige </w:t>
      </w:r>
      <w:r>
        <w:rPr>
          <w:rStyle w:val="Strong"/>
        </w:rPr>
        <w:t>persistir um indicador por modalidade</w:t>
      </w:r>
      <w:r>
        <w:rPr/>
        <w:t xml:space="preserve"> de que o jogador já atingiu 2200 — não basta olhar o rating atual.</w:t>
      </w:r>
    </w:p>
    <w:p>
      <w:pPr>
        <w:pStyle w:val="BlockQuotation"/>
        <w:bidi w:val="0"/>
        <w:jc w:val="left"/>
        <w:rPr/>
      </w:pPr>
      <w:r>
        <w:rPr>
          <w:rStyle w:val="Emphasis"/>
        </w:rPr>
        <w:t>Perguntado pela diretoria: "não basta converter uma vez e só testar o K?"</w:t>
      </w:r>
      <w:r>
        <w:rPr/>
        <w:t xml:space="preserve"> Não basta, e o motivo é a própria permanência. Testando só o rating atual, um jogador que chegou a 2210 e caiu para 2150 voltaria a K=20, contrariando a regra. E converter uma única vez também não resolve, porque o indicador precisa ser ligado </w:t>
      </w:r>
      <w:r>
        <w:rPr>
          <w:rStyle w:val="Strong"/>
        </w:rPr>
        <w:t>toda vez</w:t>
      </w:r>
      <w:r>
        <w:rPr/>
        <w:t xml:space="preserve"> que alguém cruzar 2200 daqui para frente, não só na migração. Na prática é um campo por modalidade que o programa liga sozinho e nunca desliga — ninguém precisa preenchê-lo à mão.</w:t>
      </w:r>
    </w:p>
    <w:p>
      <w:pPr>
        <w:pStyle w:val="BodyText"/>
        <w:bidi w:val="0"/>
        <w:jc w:val="left"/>
        <w:rPr/>
      </w:pPr>
      <w:r>
        <w:rPr/>
        <w:t xml:space="preserve">Esse indicador </w:t>
      </w:r>
      <w:r>
        <w:rPr>
          <w:rStyle w:val="Strong"/>
        </w:rPr>
        <w:t>vence todas as outras condições</w:t>
      </w:r>
      <w:r>
        <w:rPr/>
        <w:t xml:space="preserve"> da tabela acima: nem a regra de sub-18 nem a de jogador novo levantam o K de volta depois que ele chega a 10. O K é um freio que só aperta, nunca afrouxa.</w:t>
      </w:r>
    </w:p>
    <w:p>
      <w:pPr>
        <w:pStyle w:val="BodyText"/>
        <w:bidi w:val="0"/>
        <w:jc w:val="left"/>
        <w:rPr/>
      </w:pPr>
      <w:r>
        <w:rPr/>
        <w:t xml:space="preserve">A única situação que parece contradizer isso não é exceção: um jogador que estreia numa modalidade nova (seção 1.1) entra com K=40 mesmo já tendo K=10 na modalidade de origem, porque o indicador de 2200 é guardado </w:t>
      </w:r>
      <w:r>
        <w:rPr>
          <w:rStyle w:val="Strong"/>
        </w:rPr>
        <w:t>por modalidade</w:t>
      </w:r>
      <w:r>
        <w:rPr/>
        <w:t xml:space="preserve"> — e naquela modalidade ele não atingiu 2200 nenhuma vez. O freio existe por modalidade; a modalidade nova começa sem ele.</w:t>
      </w:r>
    </w:p>
    <w:p>
      <w:pPr>
        <w:pStyle w:val="BodyText"/>
        <w:bidi w:val="0"/>
        <w:jc w:val="left"/>
        <w:rPr/>
      </w:pPr>
      <w:r>
        <w:rPr/>
        <w:t xml:space="preserve">O K é determinado </w:t>
      </w:r>
      <w:r>
        <w:rPr>
          <w:rStyle w:val="Strong"/>
        </w:rPr>
        <w:t>uma vez por período</w:t>
      </w:r>
      <w:r>
        <w:rPr/>
        <w:t xml:space="preserve"> e vale para todas as partidas dele, sem exceção.</w:t>
      </w:r>
    </w:p>
    <w:p>
      <w:pPr>
        <w:pStyle w:val="Heading3"/>
        <w:bidi w:val="0"/>
        <w:jc w:val="left"/>
        <w:rPr/>
      </w:pPr>
      <w:r>
        <w:rPr/>
        <w:t>5.1 Teto de 700 (8.3.3)</w:t>
      </w:r>
    </w:p>
    <w:p>
      <w:pPr>
        <w:pStyle w:val="BodyText"/>
        <w:bidi w:val="0"/>
        <w:jc w:val="left"/>
        <w:rPr/>
      </w:pPr>
      <w:r>
        <w:rPr/>
        <w:t xml:space="preserve">Cláusula da FIDE, aplicada ao pé da letra: </w:t>
      </w:r>
      <w:r>
        <w:rPr>
          <w:rStyle w:val="Emphasis"/>
        </w:rPr>
        <w:t>"If the number of games (n) for a player on any list for a rating period multiplied by K exceeds 700, then K shall be the largest whole number such that K x n does not exceed 700."</w:t>
      </w:r>
    </w:p>
    <w:p>
      <w:pPr>
        <w:pStyle w:val="BodyText"/>
        <w:bidi w:val="0"/>
        <w:jc w:val="left"/>
        <w:rPr/>
      </w:pPr>
      <w:r>
        <w:rPr/>
        <w:t xml:space="preserve">Um K, um n, o período inteiro: </w:t>
      </w:r>
      <w:r>
        <w:rPr>
          <w:rStyle w:val="SourceText"/>
        </w:rPr>
        <w:t>n</w:t>
      </w:r>
      <w:r>
        <w:rPr/>
        <w:t xml:space="preserve"> é o número de partidas do jogador </w:t>
      </w:r>
      <w:r>
        <w:rPr>
          <w:rStyle w:val="Strong"/>
        </w:rPr>
        <w:t>no período</w:t>
      </w:r>
      <w:r>
        <w:rPr/>
        <w:t xml:space="preserve"> e </w:t>
      </w:r>
      <w:r>
        <w:rPr>
          <w:rStyle w:val="SourceText"/>
        </w:rPr>
        <w:t>K</w:t>
      </w:r>
      <w:r>
        <w:rPr/>
        <w:t xml:space="preserve"> é o fator único da seção 5. Se </w:t>
      </w:r>
      <w:r>
        <w:rPr>
          <w:rStyle w:val="SourceText"/>
        </w:rPr>
        <w:t>n × K &gt; 700</w:t>
      </w:r>
      <w:r>
        <w:rPr/>
        <w:t xml:space="preserve">, </w:t>
      </w:r>
      <w:r>
        <w:rPr>
          <w:rStyle w:val="SourceText"/>
        </w:rPr>
        <w:t>K</w:t>
      </w:r>
      <w:r>
        <w:rPr/>
        <w:t xml:space="preserve"> passa a ser o </w:t>
      </w:r>
      <w:r>
        <w:rPr>
          <w:rStyle w:val="Strong"/>
        </w:rPr>
        <w:t>maior inteiro</w:t>
      </w:r>
      <w:r>
        <w:rPr/>
        <w:t xml:space="preserve"> tal que </w:t>
      </w:r>
      <w:r>
        <w:rPr>
          <w:rStyle w:val="SourceText"/>
        </w:rPr>
        <w:t>K × n ≤ 700</w:t>
      </w:r>
      <w:r>
        <w:rPr/>
        <w:t>.</w:t>
      </w:r>
    </w:p>
    <w:p>
      <w:pPr>
        <w:pStyle w:val="BodyText"/>
        <w:bidi w:val="0"/>
        <w:jc w:val="left"/>
        <w:rPr/>
      </w:pPr>
      <w:r>
        <w:rPr>
          <w:rStyle w:val="Strong"/>
        </w:rPr>
        <w:t>O teto é de 700, aplicado por período e não por torneio.</w:t>
      </w:r>
      <w:r>
        <w:rPr/>
        <w:t xml:space="preserve"> Sobre o valor: rodado o ciclo real de 2026 (seção 13), </w:t>
      </w:r>
      <w:r>
        <w:rPr>
          <w:rStyle w:val="Strong"/>
        </w:rPr>
        <w:t>o teto não chegou a agir uma vez</w:t>
      </w:r>
      <w:r>
        <w:rPr/>
        <w:t xml:space="preserve"> — a mediana foi de 4 a 5 partidas por jogador por bimestre e o máximo foi 26, contra as 18 partidas necessárias para o teto começar a morder sob K=40. Manter 700 é o valor da própria FIDE e, no calendário real da federação, indiferente na prática. Aplicar o teto torneio a torneio deixava o período total passar do limite por um múltiplo dele: um jogador com 40 partidas sob K=40, em dois torneios de 20, chegaria a K=35 em cada torneio (700 ÷ 20) — 1.400 no período, o dobro do teto. Com o teto sobre as 40 partidas do período inteiro, K vira 17 (40 × 17 = 680).</w:t>
      </w:r>
    </w:p>
    <w:p>
      <w:pPr>
        <w:pStyle w:val="Heading3"/>
        <w:bidi w:val="0"/>
        <w:jc w:val="left"/>
        <w:rPr/>
      </w:pPr>
      <w:r>
        <w:rPr/>
        <w:t>5.2 Dependência de data de nascimento</w:t>
      </w:r>
    </w:p>
    <w:p>
      <w:pPr>
        <w:pStyle w:val="BodyText"/>
        <w:bidi w:val="0"/>
        <w:jc w:val="left"/>
        <w:rPr/>
      </w:pPr>
      <w:r>
        <w:rPr/>
        <w:t xml:space="preserve">A regra de sub-18 exige a </w:t>
      </w:r>
      <w:r>
        <w:rPr>
          <w:rStyle w:val="Strong"/>
        </w:rPr>
        <w:t>data de nascimento</w:t>
      </w:r>
      <w:r>
        <w:rPr/>
        <w:t xml:space="preserve">, hoje presente na coluna </w:t>
      </w:r>
      <w:r>
        <w:rPr>
          <w:rStyle w:val="SourceText"/>
        </w:rPr>
        <w:t>Birthday</w:t>
      </w:r>
      <w:r>
        <w:rPr/>
        <w:t xml:space="preserve"> do arquivo de jogadores mas </w:t>
      </w:r>
      <w:r>
        <w:rPr>
          <w:rStyle w:val="Strong"/>
        </w:rPr>
        <w:t>nunca usada</w:t>
      </w:r>
      <w:r>
        <w:rPr/>
        <w:t xml:space="preserve"> pelo cálculo. Passa a ser insumo com efeito direto no rating, o que torna a qualidade desse dado relevante.</w:t>
      </w:r>
    </w:p>
    <w:p>
      <w:pPr>
        <w:pStyle w:val="BodyText"/>
        <w:bidi w:val="0"/>
        <w:jc w:val="left"/>
        <w:rPr/>
      </w:pPr>
      <w:r>
        <w:rPr>
          <w:rStyle w:val="Strong"/>
        </w:rPr>
        <w:t>A data de nascimento é dado obrigatório.</w:t>
      </w:r>
      <w:r>
        <w:rPr/>
        <w:t xml:space="preserve"> Nos torneios IRT e FEXERJ a informação já está disponível pelo cadastro; a lacuna aparece nos internos. Não há comportamento padrão para o caso ausente: o arquivo é recusado.</w:t>
      </w:r>
    </w:p>
    <w:p>
      <w:pPr>
        <w:pStyle w:val="BodyText"/>
        <w:bidi w:val="0"/>
        <w:jc w:val="left"/>
        <w:rPr/>
      </w:pPr>
      <w:r>
        <w:rPr>
          <w:rStyle w:val="Strong"/>
        </w:rPr>
        <w:t>Basta o ano.</w:t>
      </w:r>
      <w:r>
        <w:rPr/>
        <w:t xml:space="preserve"> O cálculo só usa o ano de nascimento, então os formatos que o cadastro produz na prática — </w:t>
      </w:r>
      <w:r>
        <w:rPr>
          <w:rStyle w:val="SourceText"/>
        </w:rPr>
        <w:t>00/00/AAAA</w:t>
      </w:r>
      <w:r>
        <w:rPr/>
        <w:t xml:space="preserve">, comum nos IRT, e registros antigos que trazem apenas </w:t>
      </w:r>
      <w:r>
        <w:rPr>
          <w:rStyle w:val="SourceText"/>
        </w:rPr>
        <w:t>AAAA</w:t>
      </w:r>
      <w:r>
        <w:rPr/>
        <w:t xml:space="preserve"> — são aceitos como estão, sem precisar completar dia e mês.</w:t>
      </w:r>
    </w:p>
    <w:p>
      <w:pPr>
        <w:pStyle w:val="BodyText"/>
        <w:bidi w:val="0"/>
        <w:jc w:val="left"/>
        <w:rPr/>
      </w:pPr>
      <w:r>
        <w:rPr/>
        <w:t xml:space="preserve">Consequência de migração: a lista de jogadores atual aceita </w:t>
      </w:r>
      <w:r>
        <w:rPr>
          <w:rStyle w:val="SourceText"/>
        </w:rPr>
        <w:t>Birthday</w:t>
      </w:r>
      <w:r>
        <w:rPr/>
        <w:t xml:space="preserve"> em branco, e o validador passa a rejeitar. Isso se resolve na mesma conversão única que adiciona as colunas de Rápido e Blitz (seção 11.1) — não exige passo separado, mas exige que os cadastros estejam completos antes do primeiro ciclo no modelo novo.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6. Rating inicial de jogador não-rated</w:t>
      </w:r>
    </w:p>
    <w:p>
      <w:pPr>
        <w:pStyle w:val="Heading3"/>
        <w:bidi w:val="0"/>
        <w:jc w:val="left"/>
        <w:rPr/>
      </w:pPr>
      <w:r>
        <w:rPr/>
        <w:t>6.1 Quando o rating é calculado</w:t>
      </w:r>
    </w:p>
    <w:p>
      <w:pPr>
        <w:pStyle w:val="BodyText"/>
        <w:bidi w:val="0"/>
        <w:jc w:val="left"/>
        <w:rPr/>
      </w:pPr>
      <w:r>
        <w:rPr/>
        <w:t xml:space="preserve">Só quando o jogador acumular </w:t>
      </w:r>
      <w:r>
        <w:rPr>
          <w:rStyle w:val="Strong"/>
        </w:rPr>
        <w:t>pelo menos 5 partidas contra adversários rated</w:t>
      </w:r>
      <w:r>
        <w:rPr/>
        <w:t xml:space="preserve"> (7.1.4). Até lá, os resultados ficam acumulados e nenhum rating é publicado.</w:t>
      </w:r>
    </w:p>
    <w:p>
      <w:pPr>
        <w:pStyle w:val="BodyText"/>
        <w:bidi w:val="0"/>
        <w:jc w:val="left"/>
        <w:rPr/>
      </w:pPr>
      <w:r>
        <w:rPr/>
        <w:t xml:space="preserve">Se o jogador </w:t>
      </w:r>
      <w:r>
        <w:rPr>
          <w:rStyle w:val="Strong"/>
        </w:rPr>
        <w:t>zerar seu primeiro torneio</w:t>
      </w:r>
      <w:r>
        <w:rPr/>
        <w:t xml:space="preserve">, esse resultado é </w:t>
      </w:r>
      <w:r>
        <w:rPr>
          <w:rStyle w:val="Strong"/>
        </w:rPr>
        <w:t>descartado</w:t>
      </w:r>
      <w:r>
        <w:rPr/>
        <w:t xml:space="preserve"> do cálculo do primeiro rating (8.2.1). Aqui, "evento" é o </w:t>
      </w:r>
      <w:r>
        <w:rPr>
          <w:rStyle w:val="Strong"/>
        </w:rPr>
        <w:t>torneio</w:t>
      </w:r>
      <w:r>
        <w:rPr/>
        <w:t>, não o período: o descarte olha o primeiro torneio isoladamente, mesmo que o jogador tenha pontuado em outro torneio do mesmo período.</w:t>
      </w:r>
    </w:p>
    <w:p>
      <w:pPr>
        <w:pStyle w:val="BodyText"/>
        <w:bidi w:val="0"/>
        <w:jc w:val="left"/>
        <w:rPr/>
      </w:pPr>
      <w:r>
        <w:rPr/>
        <w:t>Duas precisões sobre o alcance do descarte: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"Zerar" é zerar o torneio inteiro</w:t>
      </w:r>
      <w:r>
        <w:rPr/>
        <w:t xml:space="preserve">, não só as partidas contra adversários com rating. Um estreante num torneio cheio de não-rated pode enfrentar um único jogador com rating e perder, ganhando todo o resto: o torneio não foi zerado, e a derrota conta.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O descarte vale uma única vez, no primeiro torneio que o jogador disputa.</w:t>
      </w:r>
      <w:r>
        <w:rPr/>
        <w:t xml:space="preserve"> Se esse primeiro torneio foi descartado e ele zerar o seguinte, o seguinte conta normalmente. </w:t>
      </w:r>
    </w:p>
    <w:p>
      <w:pPr>
        <w:pStyle w:val="BodyText"/>
        <w:bidi w:val="0"/>
        <w:jc w:val="left"/>
        <w:rPr/>
      </w:pPr>
      <w:r>
        <w:rPr/>
        <w:t xml:space="preserve">As partidas do torneio descartado </w:t>
      </w:r>
      <w:r>
        <w:rPr>
          <w:rStyle w:val="Strong"/>
        </w:rPr>
        <w:t>não entram na contagem de partidas</w:t>
      </w:r>
      <w:r>
        <w:rPr/>
        <w:t xml:space="preserve"> do jogador: a contagem registra as partidas válidas para cálculo de rating, e as desse torneio não foram usadas em cálculo nenhum. Isso é diferente do que acontece no piso (seção 7), onde o rating é zerado mas a contagem é inteiramente preservada.</w:t>
      </w:r>
    </w:p>
    <w:p>
      <w:pPr>
        <w:pStyle w:val="Heading3"/>
        <w:bidi w:val="0"/>
        <w:jc w:val="left"/>
        <w:rPr/>
      </w:pPr>
      <w:r>
        <w:rPr/>
        <w:t>6.2 Janela de 26 meses (7.1.4)</w:t>
      </w:r>
    </w:p>
    <w:p>
      <w:pPr>
        <w:pStyle w:val="BodyText"/>
        <w:bidi w:val="0"/>
        <w:jc w:val="left"/>
        <w:rPr/>
      </w:pPr>
      <w:r>
        <w:rPr/>
        <w:t xml:space="preserve">Passa a ser guardada a </w:t>
      </w:r>
      <w:r>
        <w:rPr>
          <w:rStyle w:val="Strong"/>
        </w:rPr>
        <w:t>data em que o acúmulo do jogador sem rating começou</w:t>
      </w:r>
      <w:r>
        <w:rPr/>
        <w:t xml:space="preserve"> — a data do primeiro torneio que contribuiu partidas para o cálculo do primeiro rating dele.</w:t>
      </w:r>
    </w:p>
    <w:p>
      <w:pPr>
        <w:pStyle w:val="BodyText"/>
        <w:bidi w:val="0"/>
        <w:jc w:val="left"/>
        <w:rPr/>
      </w:pPr>
      <w:r>
        <w:rPr/>
        <w:t xml:space="preserve">Cláusula da FIDE: </w:t>
      </w:r>
      <w:r>
        <w:rPr>
          <w:rStyle w:val="Emphasis"/>
        </w:rPr>
        <w:t>"Results from other tournaments played within consecutive rating periods of not more than 26 months are pooled to obtain the initial rating."</w:t>
      </w:r>
      <w:r>
        <w:rPr/>
        <w:t xml:space="preserve"> (7.1.4)</w:t>
      </w:r>
    </w:p>
    <w:p>
      <w:pPr>
        <w:pStyle w:val="BodyText"/>
        <w:bidi w:val="0"/>
        <w:jc w:val="left"/>
        <w:rPr/>
      </w:pPr>
      <w:r>
        <w:rPr/>
        <w:t xml:space="preserve">É um limite de </w:t>
      </w:r>
      <w:r>
        <w:rPr>
          <w:rStyle w:val="Strong"/>
        </w:rPr>
        <w:t>janela</w:t>
      </w:r>
      <w:r>
        <w:rPr/>
        <w:t>, não uma expiração partida a partida: as partidas acumuladas não vencem uma a uma. O que se verifica, a cada período, é a distância entre o período corrente e o período em que o acúmulo começou. Se essa distância ultrapassar 26 meses, o acúmulo não pode mais ser agrupado — os resultados anteriores saem do cálculo e o acúmulo do jogador recomeça do zero, a partir do período corrente.</w:t>
      </w:r>
    </w:p>
    <w:p>
      <w:pPr>
        <w:pStyle w:val="BodyText"/>
        <w:bidi w:val="0"/>
        <w:jc w:val="left"/>
        <w:rPr/>
      </w:pPr>
      <w:r>
        <w:rPr/>
        <w:t xml:space="preserve">O que se perde é o </w:t>
      </w:r>
      <w:r>
        <w:rPr>
          <w:rStyle w:val="Strong"/>
        </w:rPr>
        <w:t>acúmulo</w:t>
      </w:r>
      <w:r>
        <w:rPr/>
        <w:t xml:space="preserve"> rumo ao primeiro rating. A </w:t>
      </w:r>
      <w:r>
        <w:rPr>
          <w:rStyle w:val="Strong"/>
        </w:rPr>
        <w:t>contagem de partidas disputadas é preservada</w:t>
      </w:r>
      <w:r>
        <w:rPr/>
        <w:t>: ela alimenta o fator K (seção 5).</w:t>
      </w:r>
    </w:p>
    <w:p>
      <w:pPr>
        <w:pStyle w:val="BodyText"/>
        <w:bidi w:val="0"/>
        <w:jc w:val="left"/>
        <w:rPr/>
      </w:pPr>
      <w:r>
        <w:rPr/>
        <w:t xml:space="preserve">O reinício do acúmulo </w:t>
      </w:r>
      <w:r>
        <w:rPr>
          <w:rStyle w:val="Strong"/>
        </w:rPr>
        <w:t>não devolve ao jogador o descarte</w:t>
      </w:r>
      <w:r>
        <w:rPr/>
        <w:t xml:space="preserve"> do primeiro torneio zerado (seção 6.1). Esse descarte é contado por jogador, e não por acúmulo: uma vez usado, não volta a valer, nem quando a janela expira, nem quando o jogador perde o rating pelo piso (seção 7).</w:t>
      </w:r>
    </w:p>
    <w:p>
      <w:pPr>
        <w:pStyle w:val="Heading3"/>
        <w:bidi w:val="0"/>
        <w:jc w:val="left"/>
        <w:rPr/>
      </w:pPr>
      <w:r>
        <w:rPr/>
        <w:t>6.3 Fórmula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Ra = média dos ratings dos adversários rated,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acrescida de dois adversários fictícios de rating 1600,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contra os quais o resultado é considerado empate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p  = pontos obtidos ÷ partidas jogadas   (incluindo os dois empates fictícios)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dp = valor correspondente a p na tabela 8.1.1 (seção 9)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Ru = Ra + dp        arredondado para o inteiro mais próximo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Ru = min(Ru, 2000)  teto do rating inicial</w:t>
      </w:r>
    </w:p>
    <w:p>
      <w:pPr>
        <w:pStyle w:val="BodyText"/>
        <w:bidi w:val="0"/>
        <w:jc w:val="left"/>
        <w:rPr/>
      </w:pPr>
      <w:r>
        <w:rPr/>
        <w:t xml:space="preserve">Se </w:t>
      </w:r>
      <w:r>
        <w:rPr>
          <w:rStyle w:val="SourceText"/>
        </w:rPr>
        <w:t>Ru</w:t>
      </w:r>
      <w:r>
        <w:rPr/>
        <w:t xml:space="preserve"> ficar abaixo de </w:t>
      </w:r>
      <w:r>
        <w:rPr>
          <w:rStyle w:val="Strong"/>
        </w:rPr>
        <w:t>1200</w:t>
      </w:r>
      <w:r>
        <w:rPr/>
        <w:t>, o jogador permanece não-rated.</w:t>
      </w:r>
    </w:p>
    <w:p>
      <w:pPr>
        <w:pStyle w:val="Heading3"/>
        <w:bidi w:val="0"/>
        <w:jc w:val="left"/>
        <w:rPr/>
      </w:pPr>
      <w:r>
        <w:rPr/>
        <w:t>6.4 Jogador que já tem rating FIDE</w:t>
      </w:r>
    </w:p>
    <w:p>
      <w:pPr>
        <w:pStyle w:val="BodyText"/>
        <w:bidi w:val="0"/>
        <w:jc w:val="left"/>
        <w:rPr/>
      </w:pPr>
      <w:r>
        <w:rPr/>
        <w:t xml:space="preserve">Jogador que chega com rating FIDE numa modalidade </w:t>
      </w:r>
      <w:r>
        <w:rPr>
          <w:rStyle w:val="Strong"/>
        </w:rPr>
        <w:t>entra com esse rating</w:t>
      </w:r>
      <w:r>
        <w:rPr/>
        <w:t>, sem passar pelo cálculo do rating inicial. O rating é lançado pelo operador no cadastro; a contagem de partidas na FEXERJ é tratada pelo programa e começa em zero.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Sem teto e sem conversão.</w:t>
      </w:r>
      <w:r>
        <w:rPr/>
        <w:t xml:space="preserve"> O teto de 2.000 da seção 6.3 existe para conter uma estimativa feita com poucas partidas; um rating FIDE não é estimativa, e vale pelo valor de face. O teto de 400 pontos por partida (seção 3) continua valendo e é o que limita o efeito de um rating muito acima da faixa da federação.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O fator K vem da faixa do rating</w:t>
      </w:r>
      <w:r>
        <w:rPr/>
        <w:t xml:space="preserve"> (seção 5), não da contagem de partidas na federação: quem entra com 2.300 recebe o K de quem tem 2.300, não o K=40 de jogador novo.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Rating de 2.200 ou mais liga o indicador permanente de K=10</w:t>
      </w:r>
      <w:r>
        <w:rPr/>
        <w:t xml:space="preserve"> naquela modalidade, como se o jogador tivesse atingido a marca numa lista da federação.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Quando o rating é registrado.</w:t>
      </w:r>
      <w:r>
        <w:rPr/>
        <w:t xml:space="preserve"> O rating FIDE é informado no cadastro </w:t>
      </w:r>
      <w:r>
        <w:rPr>
          <w:rStyle w:val="Strong"/>
        </w:rPr>
        <w:t>no momento da filiação</w:t>
      </w:r>
      <w:r>
        <w:rPr/>
        <w:t xml:space="preserve"> e </w:t>
      </w:r>
      <w:r>
        <w:rPr>
          <w:rStyle w:val="Strong"/>
        </w:rPr>
        <w:t>reconferido antes do primeiro uso</w:t>
      </w:r>
      <w:r>
        <w:rPr/>
        <w:t xml:space="preserve">: na montagem da lista inicial e, depois dela, sempre que o jogador for entrar numa modalidade em que ainda tenha </w:t>
      </w:r>
      <w:r>
        <w:rPr>
          <w:rStyle w:val="Strong"/>
        </w:rPr>
        <w:t>zero partidas</w:t>
      </w:r>
      <w:r>
        <w:rPr/>
        <w:t xml:space="preserve"> na federação. Vale o valor da reconferência, não o guardado na filiação. </w:t>
      </w:r>
    </w:p>
    <w:p>
      <w:pPr>
        <w:pStyle w:val="Heading3"/>
        <w:bidi w:val="0"/>
        <w:jc w:val="left"/>
        <w:rPr/>
      </w:pPr>
      <w:r>
        <w:rPr/>
        <w:t>6.5 Jogador que recebe rating entre torneios (8.2.4)</w:t>
      </w:r>
    </w:p>
    <w:p>
      <w:pPr>
        <w:pStyle w:val="BodyText"/>
        <w:bidi w:val="0"/>
        <w:jc w:val="left"/>
        <w:rPr/>
      </w:pPr>
      <w:r>
        <w:rPr/>
        <w:t xml:space="preserve">Se um jogador não-rated receber rating publicado </w:t>
      </w:r>
      <w:r>
        <w:rPr>
          <w:rStyle w:val="Strong"/>
        </w:rPr>
        <w:t>antes</w:t>
      </w:r>
      <w:r>
        <w:rPr/>
        <w:t xml:space="preserve"> de um torneio dele ser processado, ele é calculado </w:t>
      </w:r>
      <w:r>
        <w:rPr>
          <w:rStyle w:val="Strong"/>
        </w:rPr>
        <w:t>como rated</w:t>
      </w:r>
      <w:r>
        <w:rPr/>
        <w:t xml:space="preserve">, com o rating atual — mas, no cálculo dos </w:t>
      </w:r>
      <w:r>
        <w:rPr>
          <w:rStyle w:val="Strong"/>
        </w:rPr>
        <w:t>adversários</w:t>
      </w:r>
      <w:r>
        <w:rPr/>
        <w:t xml:space="preserve"> daquele torneio, continua contando como </w:t>
      </w:r>
      <w:r>
        <w:rPr>
          <w:rStyle w:val="Strong"/>
        </w:rPr>
        <w:t>não-rated</w:t>
      </w:r>
      <w:r>
        <w:rPr/>
        <w:t>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7. Piso de rating</w:t>
      </w:r>
    </w:p>
    <w:p>
      <w:pPr>
        <w:pStyle w:val="BodyText"/>
        <w:bidi w:val="0"/>
        <w:jc w:val="left"/>
        <w:rPr/>
      </w:pPr>
      <w:r>
        <w:rPr/>
        <w:t>O piso de 1200 aparece em dois momentos diferentes: durante o cálculo normal de um jogador que já tem rating, e na conversão única da lista atual para o modelo novo. São situações distintas.</w:t>
      </w:r>
    </w:p>
    <w:p>
      <w:pPr>
        <w:pStyle w:val="Heading3"/>
        <w:bidi w:val="0"/>
        <w:jc w:val="left"/>
        <w:rPr/>
      </w:pPr>
      <w:r>
        <w:rPr/>
        <w:t>Durante o cálculo</w:t>
      </w:r>
    </w:p>
    <w:p>
      <w:pPr>
        <w:pStyle w:val="BodyText"/>
        <w:bidi w:val="0"/>
        <w:jc w:val="left"/>
        <w:rPr/>
      </w:pPr>
      <w:r>
        <w:rPr/>
        <w:t xml:space="preserve">Jogador cujo rating cair abaixo de </w:t>
      </w:r>
      <w:r>
        <w:rPr>
          <w:rStyle w:val="Strong"/>
        </w:rPr>
        <w:t>1200</w:t>
      </w:r>
      <w:r>
        <w:rPr/>
        <w:t xml:space="preserve"> passa a ser exibido como </w:t>
      </w:r>
      <w:r>
        <w:rPr>
          <w:rStyle w:val="Strong"/>
        </w:rPr>
        <w:t>não-rated</w:t>
      </w:r>
      <w:r>
        <w:rPr/>
        <w:t xml:space="preserve"> na lista seguinte (7.2, adaptado).</w:t>
      </w:r>
    </w:p>
    <w:p>
      <w:pPr>
        <w:pStyle w:val="BodyText"/>
        <w:bidi w:val="0"/>
        <w:jc w:val="left"/>
        <w:rPr/>
      </w:pPr>
      <w:r>
        <w:rPr>
          <w:rStyle w:val="Strong"/>
        </w:rPr>
        <w:t>O rating é zerado; a contagem de partidas é preservada.</w:t>
      </w:r>
      <w:r>
        <w:rPr/>
        <w:t xml:space="preserve"> O jogador volta à condição de não-rated e precisa das 5 partidas da seção 6 para ter rating publicado de novo, mas seu histórico de partidas jogadas não é apagado — o que significa que, ao voltar, o K vem da contagem preservada e não necessariamente de 40. </w:t>
      </w:r>
      <w:r>
        <w:rPr>
          <w:rStyle w:val="Emphasis"/>
        </w:rPr>
        <w:t>Confirmado pela FEXERJ.</w:t>
      </w:r>
    </w:p>
    <w:p>
      <w:pPr>
        <w:pStyle w:val="BlockQuotation"/>
        <w:bidi w:val="0"/>
        <w:jc w:val="left"/>
        <w:rPr/>
      </w:pPr>
      <w:r>
        <w:rPr/>
        <w:t xml:space="preserve">Esta é uma decisão da FEXERJ, não uma leitura do texto da FIDE. Conferimos: o regulamento FIDE é </w:t>
      </w:r>
      <w:r>
        <w:rPr>
          <w:rStyle w:val="Strong"/>
        </w:rPr>
        <w:t>silencioso</w:t>
      </w:r>
      <w:r>
        <w:rPr/>
        <w:t xml:space="preserve"> sobre o que acontece com a contagem de partidas e com o histórico de quem cai abaixo do mínimo, sobre como esse jogador recupera rating, e não tem seção de reintegração. A regra acima preenche uma lacuna, não contraria o original.</w:t>
      </w:r>
    </w:p>
    <w:p>
      <w:pPr>
        <w:pStyle w:val="Heading3"/>
        <w:bidi w:val="0"/>
        <w:jc w:val="left"/>
        <w:rPr/>
      </w:pPr>
      <w:r>
        <w:rPr/>
        <w:t>Na conversão da lista atual</w:t>
      </w:r>
    </w:p>
    <w:p>
      <w:pPr>
        <w:pStyle w:val="BodyText"/>
        <w:bidi w:val="0"/>
        <w:jc w:val="left"/>
        <w:rPr/>
      </w:pPr>
      <w:r>
        <w:rPr/>
        <w:t xml:space="preserve">A conversão da lista atual para o formato do modelo novo levanta dois casos que a regra acima — pensada para o cálculo corrente — não cobre, porque tratam de registros que </w:t>
      </w:r>
      <w:r>
        <w:rPr>
          <w:rStyle w:val="Strong"/>
        </w:rPr>
        <w:t>já existem</w:t>
      </w:r>
      <w:r>
        <w:rPr/>
        <w:t xml:space="preserve"> na lista de hoje, não de um rating que caiu durante um período. As duas regras: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Jogador com rating publicado e menos de 5 partidas: o rating é zerado</w:t>
      </w:r>
      <w:r>
        <w:rPr/>
        <w:t xml:space="preserve">, e ele entra não-rated. A contagem de partidas é preservada "para registro", e as partidas já disputadas valem como acúmulo rumo às 5 que ele passa a precisar. Motivo: o modelo novo nunca produziria um rating com menos de 5 partidas (seção 6.1) — a lista convertida nasceria com números que o próprio modelo recusa. </w:t>
      </w:r>
      <w:r>
        <w:rPr>
          <w:rStyle w:val="Strong"/>
        </w:rPr>
        <w:t>256 jogadores</w:t>
      </w:r>
      <w:r>
        <w:rPr/>
        <w:t xml:space="preserve"> na lista atual.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Jogador com rating abaixo de 1200 e 5 partidas ou mais: sobe para o piso</w:t>
      </w:r>
      <w:r>
        <w:rPr/>
        <w:t xml:space="preserve"> e entra rated. Motivo: entrar não-rated o removeria da lista em silêncio, porque o cálculo do rating inicial raramente devolve alguém acima de 1200; entrando no piso, a saída — se vier — acontece pela regra desta seção, com linha de auditoria. </w:t>
      </w:r>
      <w:r>
        <w:rPr>
          <w:rStyle w:val="Strong"/>
        </w:rPr>
        <w:t>60 jogadores</w:t>
      </w:r>
      <w:r>
        <w:rPr/>
        <w:t xml:space="preserve">. </w:t>
      </w:r>
    </w:p>
    <w:p>
      <w:pPr>
        <w:pStyle w:val="BodyText"/>
        <w:bidi w:val="0"/>
        <w:jc w:val="left"/>
        <w:rPr/>
      </w:pPr>
      <w:r>
        <w:rPr/>
        <w:t>Três fronteiras que as respostas não explicitavam, resolvidas assim: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Rtg_Nat = 0</w:t>
      </w:r>
      <w:r>
        <w:rPr/>
        <w:t xml:space="preserve"> </w:t>
      </w:r>
      <w:r>
        <w:rPr>
          <w:rStyle w:val="Strong"/>
        </w:rPr>
        <w:t>não é "abaixo de 1200"</w:t>
      </w:r>
      <w:r>
        <w:rPr/>
        <w:t xml:space="preserve">: significa que a lista de origem não traz rating nenhum. Esses jogadores entram não-rated, e não sobem ao piso — subir daria rating aos 768 não-rated da lista de uma só vez.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"5 partidas ou mais"</w:t>
      </w:r>
      <w:r>
        <w:rPr/>
        <w:t xml:space="preserve">, e não "mais de 5": cinco é o mínimo para ter rating (seção 6.1), então quem tem exatamente cinco fica do lado de quem pode ter rating.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Quando os dois casos se aplicam ao mesmo jogador (abaixo do piso </w:t>
      </w:r>
      <w:r>
        <w:rPr>
          <w:rStyle w:val="Strong"/>
        </w:rPr>
        <w:t>e</w:t>
      </w:r>
      <w:r>
        <w:rPr/>
        <w:t xml:space="preserve"> com menos de 5 partidas), vale o primeiro: ele entra não-rated. </w:t>
      </w:r>
    </w:p>
    <w:p>
      <w:pPr>
        <w:pStyle w:val="BodyText"/>
        <w:bidi w:val="0"/>
        <w:jc w:val="left"/>
        <w:rPr/>
      </w:pPr>
      <w:r>
        <w:rPr>
          <w:rStyle w:val="Strong"/>
        </w:rPr>
        <w:t>A conferência do operador na data de corte.</w:t>
      </w:r>
      <w:r>
        <w:rPr/>
        <w:t xml:space="preserve"> A lista de hoje não registra </w:t>
      </w:r>
      <w:r>
        <w:rPr>
          <w:rStyle w:val="Emphasis"/>
        </w:rPr>
        <w:t>quando</w:t>
      </w:r>
      <w:r>
        <w:rPr/>
        <w:t xml:space="preserve"> cada rating foi obtido, e é isso que a janela de 26 meses (seção 6.2) precisaria saber. A conferência é, por isso, do operador, e acontece uma única vez, na virada: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Para cada jogador com </w:t>
      </w:r>
      <w:r>
        <w:rPr>
          <w:rStyle w:val="Strong"/>
        </w:rPr>
        <w:t>menos de 5 partidas</w:t>
      </w:r>
      <w:r>
        <w:rPr/>
        <w:t xml:space="preserve">, verificar quando o rating foi obtido; se for anterior à janela, o rating é descartado e o jogador entra não-rated.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Jogador </w:t>
      </w:r>
      <w:r>
        <w:rPr>
          <w:rStyle w:val="Strong"/>
        </w:rPr>
        <w:t>sem registro efetivo válido</w:t>
      </w:r>
      <w:r>
        <w:rPr/>
        <w:t xml:space="preserve"> — o que o cadastro chama de </w:t>
      </w:r>
      <w:r>
        <w:rPr>
          <w:rStyle w:val="Emphasis"/>
        </w:rPr>
        <w:t>grampo</w:t>
      </w:r>
      <w:r>
        <w:rPr/>
        <w:t xml:space="preserve"> — é descartado, seja por prazo vencido, seja por estar marcado com o </w:t>
      </w:r>
      <w:r>
        <w:rPr>
          <w:rStyle w:val="Strong"/>
        </w:rPr>
        <w:t>status 2</w:t>
      </w:r>
      <w:r>
        <w:rPr/>
        <w:t xml:space="preserve"> (seção 11.1).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8. Tabela 8.1.2 — diferença de rating (D) para probabilidade (PD)</w:t>
      </w:r>
    </w:p>
    <w:p>
      <w:pPr>
        <w:pStyle w:val="BodyText"/>
        <w:bidi w:val="0"/>
        <w:jc w:val="left"/>
        <w:rPr/>
      </w:pPr>
      <w:r>
        <w:rPr>
          <w:rStyle w:val="SourceText"/>
        </w:rPr>
        <w:t>H</w:t>
      </w:r>
      <w:r>
        <w:rPr/>
        <w:t xml:space="preserve"> = jogador de rating </w:t>
      </w:r>
      <w:r>
        <w:rPr>
          <w:rStyle w:val="Strong"/>
        </w:rPr>
        <w:t>maior</w:t>
      </w:r>
      <w:r>
        <w:rPr/>
        <w:t xml:space="preserve">. </w:t>
      </w:r>
      <w:r>
        <w:rPr>
          <w:rStyle w:val="SourceText"/>
        </w:rPr>
        <w:t>L</w:t>
      </w:r>
      <w:r>
        <w:rPr/>
        <w:t xml:space="preserve"> = jogador de rating </w:t>
      </w:r>
      <w:r>
        <w:rPr>
          <w:rStyle w:val="Strong"/>
        </w:rPr>
        <w:t>menor</w:t>
      </w:r>
      <w:r>
        <w:rPr/>
        <w:t xml:space="preserve"> (</w:t>
      </w:r>
      <w:r>
        <w:rPr>
          <w:rStyle w:val="SourceText"/>
        </w:rPr>
        <w:t>L = 1 − H</w:t>
      </w:r>
      <w:r>
        <w:rPr/>
        <w:t>).</w:t>
      </w:r>
    </w:p>
    <w:tbl>
      <w:tblPr>
        <w:tblW w:w="997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48"/>
        <w:gridCol w:w="672"/>
        <w:gridCol w:w="672"/>
        <w:gridCol w:w="1213"/>
        <w:gridCol w:w="672"/>
        <w:gridCol w:w="672"/>
        <w:gridCol w:w="1213"/>
        <w:gridCol w:w="672"/>
        <w:gridCol w:w="672"/>
        <w:gridCol w:w="1213"/>
        <w:gridCol w:w="672"/>
        <w:gridCol w:w="681"/>
      </w:tblGrid>
      <w:tr>
        <w:trPr>
          <w:cantSplit/>
          <w:tblHeader w:val="true"/>
        </w:trPr>
        <w:tc>
          <w:tcPr>
            <w:tcW w:w="948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D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H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L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D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H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L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D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H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L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D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H</w:t>
            </w:r>
          </w:p>
        </w:tc>
        <w:tc>
          <w:tcPr>
            <w:tcW w:w="681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L</w:t>
            </w:r>
          </w:p>
        </w:tc>
      </w:tr>
      <w:tr>
        <w:trPr>
          <w:cantSplit/>
        </w:trPr>
        <w:tc>
          <w:tcPr>
            <w:tcW w:w="9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0-3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.50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.50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92-98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.63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.37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198-206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.76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.24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345-357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.89</w:t>
            </w:r>
          </w:p>
        </w:tc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.11</w:t>
            </w:r>
          </w:p>
        </w:tc>
      </w:tr>
      <w:tr>
        <w:trPr>
          <w:cantSplit/>
        </w:trPr>
        <w:tc>
          <w:tcPr>
            <w:tcW w:w="9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4-10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.51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.49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99-106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.64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.36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207-215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.77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.23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358-374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.90</w:t>
            </w:r>
          </w:p>
        </w:tc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.10</w:t>
            </w:r>
          </w:p>
        </w:tc>
      </w:tr>
      <w:tr>
        <w:trPr>
          <w:cantSplit/>
        </w:trPr>
        <w:tc>
          <w:tcPr>
            <w:tcW w:w="9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11-17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.52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.48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107-113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.65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.35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216-225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.78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.22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375-391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.91</w:t>
            </w:r>
          </w:p>
        </w:tc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.09</w:t>
            </w:r>
          </w:p>
        </w:tc>
      </w:tr>
      <w:tr>
        <w:trPr>
          <w:cantSplit/>
        </w:trPr>
        <w:tc>
          <w:tcPr>
            <w:tcW w:w="9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18-25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.53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.47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114-121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.66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.34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226-235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.79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.21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392-411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.92</w:t>
            </w:r>
          </w:p>
        </w:tc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.08</w:t>
            </w:r>
          </w:p>
        </w:tc>
      </w:tr>
      <w:tr>
        <w:trPr>
          <w:cantSplit/>
        </w:trPr>
        <w:tc>
          <w:tcPr>
            <w:tcW w:w="9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26-32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.54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.46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122-129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.67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.33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236-245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.80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.20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412-432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.93</w:t>
            </w:r>
          </w:p>
        </w:tc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.07</w:t>
            </w:r>
          </w:p>
        </w:tc>
      </w:tr>
      <w:tr>
        <w:trPr>
          <w:cantSplit/>
        </w:trPr>
        <w:tc>
          <w:tcPr>
            <w:tcW w:w="9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33-39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.55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.45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130-137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.68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.32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246-256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.81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.19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433-456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.94</w:t>
            </w:r>
          </w:p>
        </w:tc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.06</w:t>
            </w:r>
          </w:p>
        </w:tc>
      </w:tr>
      <w:tr>
        <w:trPr>
          <w:cantSplit/>
        </w:trPr>
        <w:tc>
          <w:tcPr>
            <w:tcW w:w="9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40-46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.56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.44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138-145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.69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.31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257-267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.82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.18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457-484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.95</w:t>
            </w:r>
          </w:p>
        </w:tc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.05</w:t>
            </w:r>
          </w:p>
        </w:tc>
      </w:tr>
      <w:tr>
        <w:trPr>
          <w:cantSplit/>
        </w:trPr>
        <w:tc>
          <w:tcPr>
            <w:tcW w:w="9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47-53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.57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.43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146-153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.70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.30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268-278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.83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.17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485-517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.96</w:t>
            </w:r>
          </w:p>
        </w:tc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.04</w:t>
            </w:r>
          </w:p>
        </w:tc>
      </w:tr>
      <w:tr>
        <w:trPr>
          <w:cantSplit/>
        </w:trPr>
        <w:tc>
          <w:tcPr>
            <w:tcW w:w="9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54-61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.58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.42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154-162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.71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.29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279-290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.84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.16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518-559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.97</w:t>
            </w:r>
          </w:p>
        </w:tc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.03</w:t>
            </w:r>
          </w:p>
        </w:tc>
      </w:tr>
      <w:tr>
        <w:trPr>
          <w:cantSplit/>
        </w:trPr>
        <w:tc>
          <w:tcPr>
            <w:tcW w:w="9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62-68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.59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.41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163-170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.72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.28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291-302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.85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.15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560-619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.98</w:t>
            </w:r>
          </w:p>
        </w:tc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.02</w:t>
            </w:r>
          </w:p>
        </w:tc>
      </w:tr>
      <w:tr>
        <w:trPr>
          <w:cantSplit/>
        </w:trPr>
        <w:tc>
          <w:tcPr>
            <w:tcW w:w="9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69-76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.60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.40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171-179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.73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.27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303-315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.86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.14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620-735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.99</w:t>
            </w:r>
          </w:p>
        </w:tc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.01</w:t>
            </w:r>
          </w:p>
        </w:tc>
      </w:tr>
      <w:tr>
        <w:trPr>
          <w:cantSplit/>
        </w:trPr>
        <w:tc>
          <w:tcPr>
            <w:tcW w:w="9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77-83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.61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.39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180-188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.74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.26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316-328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.87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.13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&gt; 735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1.0</w:t>
            </w:r>
          </w:p>
        </w:tc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.00</w:t>
            </w:r>
          </w:p>
        </w:tc>
      </w:tr>
      <w:tr>
        <w:trPr>
          <w:cantSplit/>
        </w:trPr>
        <w:tc>
          <w:tcPr>
            <w:tcW w:w="9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84-91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.62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.38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189-197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.75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.25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329-344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.88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.12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8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Com o teto de 400 sempre aplicado, </w:t>
      </w:r>
      <w:r>
        <w:rPr>
          <w:rStyle w:val="Strong"/>
        </w:rPr>
        <w:t>as faixas acima de 411 são inalcançáveis na FEXERJ</w:t>
      </w:r>
      <w:r>
        <w:rPr/>
        <w:t xml:space="preserve"> — ficam registradas por fidelidade ao original.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9. Tabela 8.1.1 — percentual de pontos (p) para diferença de rating (dp)</w:t>
      </w:r>
    </w:p>
    <w:p>
      <w:pPr>
        <w:pStyle w:val="BodyText"/>
        <w:bidi w:val="0"/>
        <w:jc w:val="left"/>
        <w:rPr/>
      </w:pPr>
      <w:r>
        <w:rPr/>
        <w:t xml:space="preserve">Usada apenas no </w:t>
      </w:r>
      <w:r>
        <w:rPr>
          <w:rStyle w:val="Strong"/>
        </w:rPr>
        <w:t>rating inicial</w:t>
      </w:r>
      <w:r>
        <w:rPr/>
        <w:t xml:space="preserve"> (seção 6).</w:t>
      </w:r>
    </w:p>
    <w:tbl>
      <w:tblPr>
        <w:tblW w:w="997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91"/>
        <w:gridCol w:w="1191"/>
        <w:gridCol w:w="1191"/>
        <w:gridCol w:w="1191"/>
        <w:gridCol w:w="1191"/>
        <w:gridCol w:w="1411"/>
        <w:gridCol w:w="1191"/>
        <w:gridCol w:w="1415"/>
      </w:tblGrid>
      <w:tr>
        <w:trPr>
          <w:cantSplit/>
          <w:tblHeader w:val="true"/>
        </w:trPr>
        <w:tc>
          <w:tcPr>
            <w:tcW w:w="1191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p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dp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p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dp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p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dp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p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dp</w:t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1.0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800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.74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184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.48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14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.22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220</w:t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.99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677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.73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175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.47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21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.21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230</w:t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.98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589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.72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166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.46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29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.20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240</w:t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.97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538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.71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158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.45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36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.19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251</w:t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.96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501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.70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149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.44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43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.18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262</w:t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.95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470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.69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141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.43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50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.17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273</w:t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.94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444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.68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133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.42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57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.16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284</w:t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.93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422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.67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125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.41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65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.15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296</w:t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.92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401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.66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117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.40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72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.14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309</w:t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.91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383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.65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110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.39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80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.13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322</w:t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.90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366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.64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102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.38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87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.12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336</w:t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.89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351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.63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95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.37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95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.11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351</w:t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.88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336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.62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87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.36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102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.10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366</w:t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.87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322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.61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80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.35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110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.09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383</w:t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.86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309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.60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72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.34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117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.08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401</w:t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.85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296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.59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65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.33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125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.07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422</w:t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.84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284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.58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57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.32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133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.06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444</w:t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.83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273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.57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50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.31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141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.05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470</w:t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.82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262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.56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43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.30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149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.04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501</w:t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.81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251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.55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36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.29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158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.03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538</w:t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.80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240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.54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29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.28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166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.02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589</w:t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.79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230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.53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21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.27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175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.01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677</w:t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.78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220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.52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14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.26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184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.00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800</w:t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.77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211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.51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7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.25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193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.76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202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.50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.24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202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cantSplit/>
        </w:trPr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.75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193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.49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7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.23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211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A tabela é antissimétrica: </w:t>
      </w:r>
      <w:r>
        <w:rPr>
          <w:rStyle w:val="SourceText"/>
        </w:rPr>
        <w:t>dp(p) = −dp(1−p)</w:t>
      </w:r>
      <w:r>
        <w:rPr/>
        <w:t>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10. Validação contra dado oficial da FIDE</w:t>
      </w:r>
    </w:p>
    <w:p>
      <w:pPr>
        <w:pStyle w:val="BodyText"/>
        <w:bidi w:val="0"/>
        <w:jc w:val="left"/>
        <w:rPr/>
      </w:pPr>
      <w:r>
        <w:rPr/>
        <w:t xml:space="preserve">O cálculo da seção 3 foi conferido contra uma consulta pública de cálculo da FIDE (lista de agosto de 2026, modalidade Clássico, um jogador com dois torneios no período). </w:t>
      </w:r>
      <w:r>
        <w:rPr>
          <w:rStyle w:val="Strong"/>
        </w:rPr>
        <w:t>As 13 partidas conferem individualmente</w:t>
      </w:r>
      <w:r>
        <w:rPr/>
        <w:t xml:space="preserve"> e a soma reproduz exatamente a variação publicada de 19,60.</w:t>
      </w:r>
    </w:p>
    <w:p>
      <w:pPr>
        <w:pStyle w:val="BodyText"/>
        <w:bidi w:val="0"/>
        <w:jc w:val="left"/>
        <w:rPr/>
      </w:pPr>
      <w:r>
        <w:rPr/>
        <w:t xml:space="preserve">A mesma conferência mostrou por que a tabela não pode ser trocada pela fórmula logística — </w:t>
      </w:r>
      <w:r>
        <w:rPr>
          <w:rStyle w:val="Strong"/>
        </w:rPr>
        <w:t>7 das 13 partidas divergem</w:t>
      </w:r>
      <w:r>
        <w:rPr/>
        <w:t>:</w:t>
      </w:r>
    </w:p>
    <w:tbl>
      <w:tblPr>
        <w:tblW w:w="997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75"/>
        <w:gridCol w:w="3117"/>
        <w:gridCol w:w="2686"/>
        <w:gridCol w:w="2894"/>
      </w:tblGrid>
      <w:tr>
        <w:trPr>
          <w:cantSplit/>
          <w:tblHeader w:val="true"/>
        </w:trPr>
        <w:tc>
          <w:tcPr>
            <w:tcW w:w="1275" w:type="dxa"/>
            <w:tcBorders/>
            <w:vAlign w:val="center"/>
          </w:tcPr>
          <w:p>
            <w:pPr>
              <w:pStyle w:val="TableHeading"/>
              <w:bidi w:val="0"/>
              <w:ind w:hanging="0" w:left="0" w:right="0"/>
              <w:jc w:val="right"/>
              <w:rPr/>
            </w:pPr>
            <w:r>
              <w:rPr/>
              <w:t>D</w:t>
            </w:r>
          </w:p>
        </w:tc>
        <w:tc>
          <w:tcPr>
            <w:tcW w:w="3117" w:type="dxa"/>
            <w:tcBorders/>
            <w:vAlign w:val="center"/>
          </w:tcPr>
          <w:p>
            <w:pPr>
              <w:pStyle w:val="TableHeading"/>
              <w:bidi w:val="0"/>
              <w:ind w:hanging="0" w:left="0" w:right="0"/>
              <w:jc w:val="right"/>
              <w:rPr/>
            </w:pPr>
            <w:r>
              <w:rPr/>
              <w:t>esperado pela fórmula</w:t>
            </w:r>
          </w:p>
        </w:tc>
        <w:tc>
          <w:tcPr>
            <w:tcW w:w="2686" w:type="dxa"/>
            <w:tcBorders/>
            <w:vAlign w:val="center"/>
          </w:tcPr>
          <w:p>
            <w:pPr>
              <w:pStyle w:val="TableHeading"/>
              <w:bidi w:val="0"/>
              <w:ind w:hanging="0" w:left="0" w:right="0"/>
              <w:jc w:val="right"/>
              <w:rPr/>
            </w:pPr>
            <w:r>
              <w:rPr/>
              <w:t>ΔR pela fórmula</w:t>
            </w:r>
          </w:p>
        </w:tc>
        <w:tc>
          <w:tcPr>
            <w:tcW w:w="2894" w:type="dxa"/>
            <w:tcBorders/>
            <w:vAlign w:val="center"/>
          </w:tcPr>
          <w:p>
            <w:pPr>
              <w:pStyle w:val="TableHeading"/>
              <w:bidi w:val="0"/>
              <w:ind w:hanging="0" w:left="0" w:right="0"/>
              <w:jc w:val="right"/>
              <w:rPr/>
            </w:pPr>
            <w:r>
              <w:rPr/>
              <w:t>ΔR pela tabela (FIDE)</w:t>
            </w:r>
          </w:p>
        </w:tc>
      </w:tr>
      <w:tr>
        <w:trPr>
          <w:cantSplit/>
        </w:trPr>
        <w:tc>
          <w:tcPr>
            <w:tcW w:w="1275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400</w:t>
            </w:r>
          </w:p>
        </w:tc>
        <w:tc>
          <w:tcPr>
            <w:tcW w:w="311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0,9091</w:t>
            </w:r>
          </w:p>
        </w:tc>
        <w:tc>
          <w:tcPr>
            <w:tcW w:w="268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0,0909</w:t>
            </w:r>
          </w:p>
        </w:tc>
        <w:tc>
          <w:tcPr>
            <w:tcW w:w="2894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>
                <w:rStyle w:val="Strong"/>
              </w:rPr>
              <w:t>0,08</w:t>
            </w:r>
          </w:p>
        </w:tc>
      </w:tr>
      <w:tr>
        <w:trPr>
          <w:cantSplit/>
        </w:trPr>
        <w:tc>
          <w:tcPr>
            <w:tcW w:w="1275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367</w:t>
            </w:r>
          </w:p>
        </w:tc>
        <w:tc>
          <w:tcPr>
            <w:tcW w:w="311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0,8921</w:t>
            </w:r>
          </w:p>
        </w:tc>
        <w:tc>
          <w:tcPr>
            <w:tcW w:w="268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0,1079</w:t>
            </w:r>
          </w:p>
        </w:tc>
        <w:tc>
          <w:tcPr>
            <w:tcW w:w="2894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>
                <w:rStyle w:val="Strong"/>
              </w:rPr>
              <w:t>0,10</w:t>
            </w:r>
          </w:p>
        </w:tc>
      </w:tr>
      <w:tr>
        <w:trPr>
          <w:cantSplit/>
        </w:trPr>
        <w:tc>
          <w:tcPr>
            <w:tcW w:w="1275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46</w:t>
            </w:r>
          </w:p>
        </w:tc>
        <w:tc>
          <w:tcPr>
            <w:tcW w:w="311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0,5658</w:t>
            </w:r>
          </w:p>
        </w:tc>
        <w:tc>
          <w:tcPr>
            <w:tcW w:w="268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0,4342</w:t>
            </w:r>
          </w:p>
        </w:tc>
        <w:tc>
          <w:tcPr>
            <w:tcW w:w="2894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>
                <w:rStyle w:val="Strong"/>
              </w:rPr>
              <w:t>0,44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No período, a fórmula daria 20,36 contra os 19,60 publicados — </w:t>
      </w:r>
      <w:r>
        <w:rPr>
          <w:rStyle w:val="Strong"/>
        </w:rPr>
        <w:t>0,76 ponto de diferença</w:t>
      </w:r>
      <w:r>
        <w:rPr/>
        <w:t xml:space="preserve"> para um jogador em um mês.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11. O que muda nos arquivos</w:t>
      </w:r>
    </w:p>
    <w:p>
      <w:pPr>
        <w:pStyle w:val="Heading3"/>
        <w:bidi w:val="0"/>
        <w:jc w:val="left"/>
        <w:rPr/>
      </w:pPr>
      <w:r>
        <w:rPr/>
        <w:t>11.1 Lista de jogadores</w:t>
      </w:r>
    </w:p>
    <w:p>
      <w:pPr>
        <w:pStyle w:val="BodyText"/>
        <w:bidi w:val="0"/>
        <w:jc w:val="left"/>
        <w:rPr/>
      </w:pPr>
      <w:r>
        <w:rPr/>
        <w:t xml:space="preserve">Identidade única por jogador, com rating, contagem de partidas e indicador de "já atingiu 2200" </w:t>
      </w:r>
      <w:r>
        <w:rPr>
          <w:rStyle w:val="Strong"/>
        </w:rPr>
        <w:t>por modalidade</w:t>
      </w:r>
      <w:r>
        <w:rPr/>
        <w:t>. O cabeçalho atual de 12 colunas cresce.</w:t>
      </w:r>
    </w:p>
    <w:p>
      <w:pPr>
        <w:pStyle w:val="BodyText"/>
        <w:bidi w:val="0"/>
        <w:jc w:val="left"/>
        <w:rPr/>
      </w:pPr>
      <w:r>
        <w:rPr/>
        <w:t xml:space="preserve">A conversão a partir do formato atual é direta: a coluna </w:t>
      </w:r>
      <w:r>
        <w:rPr>
          <w:rStyle w:val="SourceText"/>
        </w:rPr>
        <w:t>Rtg_Nat</w:t>
      </w:r>
      <w:r>
        <w:rPr/>
        <w:t xml:space="preserve"> de hoje — que apesar do nome guarda o </w:t>
      </w:r>
      <w:r>
        <w:rPr>
          <w:rStyle w:val="Strong"/>
        </w:rPr>
        <w:t>rating FEXERJ</w:t>
      </w:r>
      <w:r>
        <w:rPr/>
        <w:t xml:space="preserve"> — vira o rating </w:t>
      </w:r>
      <w:r>
        <w:rPr>
          <w:rStyle w:val="Strong"/>
        </w:rPr>
        <w:t>STD</w:t>
      </w:r>
      <w:r>
        <w:rPr/>
        <w:t>; Rápido e Blitz começam vazios, o que dispara o transpasse (seção 1.1) no primeiro torneio de cada modalidade.</w:t>
      </w:r>
    </w:p>
    <w:p>
      <w:pPr>
        <w:pStyle w:val="BodyText"/>
        <w:bidi w:val="0"/>
        <w:jc w:val="left"/>
        <w:rPr/>
      </w:pPr>
      <w:r>
        <w:rPr/>
        <w:t xml:space="preserve">As colunas </w:t>
      </w:r>
      <w:r>
        <w:rPr>
          <w:rStyle w:val="SourceText"/>
        </w:rPr>
        <w:t>SumOpponRating</w:t>
      </w:r>
      <w:r>
        <w:rPr/>
        <w:t xml:space="preserve"> e </w:t>
      </w:r>
      <w:r>
        <w:rPr>
          <w:rStyle w:val="SourceText"/>
        </w:rPr>
        <w:t>TotalPoints</w:t>
      </w:r>
      <w:r>
        <w:rPr/>
        <w:t xml:space="preserve">, que hoje sustentam a regra de rating temporário, passam a servir apenas ao acúmulo de jogadores não-rated até as 5 partidas (seção 6.1). Ganha-se também a </w:t>
      </w:r>
      <w:r>
        <w:rPr>
          <w:rStyle w:val="Strong"/>
        </w:rPr>
        <w:t>data de início do acúmulo</w:t>
      </w:r>
      <w:r>
        <w:rPr/>
        <w:t>, necessária para a janela de 26 meses (seção 6.2).</w:t>
      </w:r>
    </w:p>
    <w:p>
      <w:pPr>
        <w:pStyle w:val="BodyText"/>
        <w:bidi w:val="0"/>
        <w:jc w:val="left"/>
        <w:rPr/>
      </w:pPr>
      <w:r>
        <w:rPr>
          <w:rStyle w:val="Strong"/>
        </w:rPr>
        <w:t>Continua sendo um arquivo só.</w:t>
      </w:r>
      <w:r>
        <w:rPr/>
        <w:t xml:space="preserve"> A recomendação técnica era separar arquivo de trabalho e lista publicada; a diretoria optou pelo arquivo único, com o </w:t>
      </w:r>
      <w:r>
        <w:rPr>
          <w:rStyle w:val="Strong"/>
        </w:rPr>
        <w:t>fator K</w:t>
      </w:r>
      <w:r>
        <w:rPr/>
        <w:t xml:space="preserve"> e o </w:t>
      </w:r>
      <w:r>
        <w:rPr>
          <w:rStyle w:val="Strong"/>
        </w:rPr>
        <w:t>status</w:t>
      </w:r>
      <w:r>
        <w:rPr/>
        <w:t xml:space="preserve"> do jogador incluídos.</w:t>
      </w:r>
    </w:p>
    <w:p>
      <w:pPr>
        <w:pStyle w:val="BodyText"/>
        <w:bidi w:val="0"/>
        <w:jc w:val="left"/>
        <w:rPr/>
      </w:pPr>
      <w:r>
        <w:rPr>
          <w:rStyle w:val="Strong"/>
        </w:rPr>
        <w:t>A coluna de fator K é saída.</w:t>
      </w:r>
      <w:r>
        <w:rPr/>
        <w:t xml:space="preserve"> O programa a reescreve a cada ciclo, calculando o K de cada jogador a partir do rating, da contagem de partidas e da data de nascimento (seção 5). Não é preciso avisar ninguém para não editá-la: uma edição manual não altera o cálculo daquele ciclo e desaparece na primeira execução seguinte, sobrescrita pelo valor calculado.</w:t>
      </w:r>
    </w:p>
    <w:p>
      <w:pPr>
        <w:pStyle w:val="BodyText"/>
        <w:bidi w:val="0"/>
        <w:jc w:val="left"/>
        <w:rPr/>
      </w:pPr>
      <w:r>
        <w:rPr>
          <w:rStyle w:val="Strong"/>
        </w:rPr>
        <w:t>Para que serve, então, uma coluna que o programa não lê:</w:t>
      </w:r>
      <w:r>
        <w:rPr/>
        <w:t xml:space="preserve"> para conferir. Ela mostra com que fator cada jogador foi calculado naquele ciclo, que é o número que explica o tamanho da variação dele. Sem ela, descobrir isso exige refazer a regra da seção 5 à mão, jogador a jogador. É o mesmo papel do rating publicado — é resultado, e é por ser resultado que serve de conferência.</w:t>
      </w:r>
    </w:p>
    <w:p>
      <w:pPr>
        <w:pStyle w:val="BodyText"/>
        <w:bidi w:val="0"/>
        <w:jc w:val="left"/>
        <w:rPr/>
      </w:pPr>
      <w:r>
        <w:rPr/>
        <w:t xml:space="preserve">Há um único dado que o cálculo </w:t>
      </w:r>
      <w:r>
        <w:rPr>
          <w:rStyle w:val="Strong"/>
        </w:rPr>
        <w:t>precisa</w:t>
      </w:r>
      <w:r>
        <w:rPr/>
        <w:t xml:space="preserve"> conhecer e não consegue deduzir do arquivo: a permanência do K=10, isto é, que o jogador já atingiu 2.200 alguma vez, mesmo estando abaixo disso agora. Como esse dado é guardado — em campo próprio, ou lido do próprio K — é o ponto em aberto 1.</w:t>
      </w:r>
    </w:p>
    <w:p>
      <w:pPr>
        <w:pStyle w:val="BodyText"/>
        <w:bidi w:val="0"/>
        <w:jc w:val="left"/>
        <w:rPr/>
      </w:pPr>
      <w:r>
        <w:rPr/>
        <w:t xml:space="preserve">O </w:t>
      </w:r>
      <w:r>
        <w:rPr>
          <w:rStyle w:val="Strong"/>
        </w:rPr>
        <w:t>status</w:t>
      </w:r>
      <w:r>
        <w:rPr/>
        <w:t xml:space="preserve"> é cadastral, como o clube: o operador preenche, e ele não entra em cálculo nenhum. Valores:</w:t>
      </w:r>
    </w:p>
    <w:tbl>
      <w:tblPr>
        <w:tblW w:w="997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014"/>
        <w:gridCol w:w="6958"/>
      </w:tblGrid>
      <w:tr>
        <w:trPr>
          <w:cantSplit/>
          <w:tblHeader w:val="true"/>
        </w:trPr>
        <w:tc>
          <w:tcPr>
            <w:tcW w:w="3014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Status</w:t>
            </w:r>
          </w:p>
        </w:tc>
        <w:tc>
          <w:tcPr>
            <w:tcW w:w="6958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Significado</w:t>
            </w:r>
          </w:p>
        </w:tc>
      </w:tr>
      <w:tr>
        <w:trPr>
          <w:cantSplit/>
        </w:trPr>
        <w:tc>
          <w:tcPr>
            <w:tcW w:w="30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1</w:t>
            </w:r>
          </w:p>
        </w:tc>
        <w:tc>
          <w:tcPr>
            <w:tcW w:w="69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Ativo</w:t>
            </w:r>
          </w:p>
        </w:tc>
      </w:tr>
      <w:tr>
        <w:trPr>
          <w:cantSplit/>
        </w:trPr>
        <w:tc>
          <w:tcPr>
            <w:tcW w:w="30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0</w:t>
            </w:r>
          </w:p>
        </w:tc>
        <w:tc>
          <w:tcPr>
            <w:tcW w:w="69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Inativo</w:t>
            </w:r>
          </w:p>
        </w:tc>
      </w:tr>
      <w:tr>
        <w:trPr>
          <w:cantSplit/>
        </w:trPr>
        <w:tc>
          <w:tcPr>
            <w:tcW w:w="30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2</w:t>
            </w:r>
          </w:p>
        </w:tc>
        <w:tc>
          <w:tcPr>
            <w:tcW w:w="69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Grampo — registro sem lastro válido</w:t>
            </w:r>
          </w:p>
        </w:tc>
      </w:tr>
      <w:tr>
        <w:trPr>
          <w:cantSplit/>
        </w:trPr>
        <w:tc>
          <w:tcPr>
            <w:tcW w:w="30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3</w:t>
            </w:r>
          </w:p>
        </w:tc>
        <w:tc>
          <w:tcPr>
            <w:tcW w:w="69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Inativo, em outro estado ou no exterior</w:t>
            </w:r>
          </w:p>
        </w:tc>
      </w:tr>
      <w:tr>
        <w:trPr>
          <w:cantSplit/>
        </w:trPr>
        <w:tc>
          <w:tcPr>
            <w:tcW w:w="30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4</w:t>
            </w:r>
          </w:p>
        </w:tc>
        <w:tc>
          <w:tcPr>
            <w:tcW w:w="69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Falecido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O status governa </w:t>
      </w:r>
      <w:r>
        <w:rPr>
          <w:rStyle w:val="Strong"/>
        </w:rPr>
        <w:t>publicação, não cálculo</w:t>
      </w:r>
      <w:r>
        <w:rPr/>
        <w:t>. Um jogador falecido continua sendo calculado e continua movimentando a contagem de partidas — apenas não aparece na lista publicada. Por isso o programa não recusa um arquivo em que um jogador nessa condição tenha partidas: a morte pode ocorrer no meio do ciclo, com torneios em andamento.</w:t>
      </w:r>
    </w:p>
    <w:p>
      <w:pPr>
        <w:pStyle w:val="BodyText"/>
        <w:bidi w:val="0"/>
        <w:jc w:val="left"/>
        <w:rPr/>
      </w:pPr>
      <w:r>
        <w:rPr/>
        <w:t xml:space="preserve">A única exceção é o status </w:t>
      </w:r>
      <w:r>
        <w:rPr>
          <w:rStyle w:val="SourceText"/>
        </w:rPr>
        <w:t>2</w:t>
      </w:r>
      <w:r>
        <w:rPr/>
        <w:t>, e ela vale uma vez só: na conversão da lista atual, o registro marcado como grampo é descartado (seção 7). Passada a virada, um registro nessa condição não deveria mais existir, e o status volta a ser apenas cadastral.</w:t>
      </w:r>
    </w:p>
    <w:p>
      <w:pPr>
        <w:pStyle w:val="BodyText"/>
        <w:bidi w:val="0"/>
        <w:jc w:val="left"/>
        <w:rPr/>
      </w:pPr>
      <w:r>
        <w:rPr>
          <w:rStyle w:val="Strong"/>
        </w:rPr>
        <w:t>"Id Anterior".</w:t>
      </w:r>
      <w:r>
        <w:rPr/>
        <w:t xml:space="preserve"> É um id de jogador </w:t>
      </w:r>
      <w:r>
        <w:rPr>
          <w:rStyle w:val="Strong"/>
        </w:rPr>
        <w:t>que já existe na lista</w:t>
      </w:r>
      <w:r>
        <w:rPr/>
        <w:t xml:space="preserve"> — a existência é condição necessária —, apontando o registro que aquela pessoa tinha antes. Serve para manter o histórico ligado sem publicar as duas linhas: o registro que traz um Id Anterior tem status diferente de </w:t>
      </w:r>
      <w:r>
        <w:rPr>
          <w:rStyle w:val="SourceText"/>
        </w:rPr>
        <w:t>1</w:t>
      </w:r>
      <w:r>
        <w:rPr/>
        <w:t xml:space="preserve"> e não é publicado. Hoje isso é controlado à mão pelo campo do clube. É informação cadastral, preenchida pelo operador, e não um valor que o programa calcule.</w:t>
      </w:r>
    </w:p>
    <w:p>
      <w:pPr>
        <w:pStyle w:val="Heading3"/>
        <w:bidi w:val="0"/>
        <w:jc w:val="left"/>
        <w:rPr/>
      </w:pPr>
      <w:r>
        <w:rPr/>
        <w:t>11.2 Lista de torneios</w:t>
      </w:r>
    </w:p>
    <w:p>
      <w:pPr>
        <w:pStyle w:val="BodyText"/>
        <w:bidi w:val="0"/>
        <w:jc w:val="left"/>
        <w:rPr/>
      </w:pPr>
      <w:r>
        <w:rPr/>
        <w:t xml:space="preserve">Ganha uma coluna de </w:t>
      </w:r>
      <w:r>
        <w:rPr>
          <w:rStyle w:val="Strong"/>
        </w:rPr>
        <w:t>modalidade</w:t>
      </w:r>
      <w:r>
        <w:rPr/>
        <w:t xml:space="preserve"> (STD/RPD/BLZ). A coluna </w:t>
      </w:r>
      <w:r>
        <w:rPr>
          <w:rStyle w:val="SourceText"/>
        </w:rPr>
        <w:t>Type</w:t>
      </w:r>
      <w:r>
        <w:rPr/>
        <w:t xml:space="preserve"> existente é </w:t>
      </w:r>
      <w:r>
        <w:rPr>
          <w:rStyle w:val="Strong"/>
        </w:rPr>
        <w:t>formato de disputa</w:t>
      </w:r>
      <w:r>
        <w:rPr/>
        <w:t xml:space="preserve"> (</w:t>
      </w:r>
      <w:r>
        <w:rPr>
          <w:rStyle w:val="SourceText"/>
        </w:rPr>
        <w:t>SS</w:t>
      </w:r>
      <w:r>
        <w:rPr/>
        <w:t xml:space="preserve">, </w:t>
      </w:r>
      <w:r>
        <w:rPr>
          <w:rStyle w:val="SourceText"/>
        </w:rPr>
        <w:t>RR</w:t>
      </w:r>
      <w:r>
        <w:rPr/>
        <w:t xml:space="preserve">, </w:t>
      </w:r>
      <w:r>
        <w:rPr>
          <w:rStyle w:val="SourceText"/>
        </w:rPr>
        <w:t>ST</w:t>
      </w:r>
      <w:r>
        <w:rPr/>
        <w:t>) e não ritmo de jogo — são coisas distintas.</w:t>
      </w:r>
    </w:p>
    <w:p>
      <w:pPr>
        <w:pStyle w:val="BodyText"/>
        <w:bidi w:val="0"/>
        <w:jc w:val="left"/>
        <w:rPr/>
      </w:pPr>
      <w:r>
        <w:rPr/>
        <w:t xml:space="preserve">A coluna </w:t>
      </w:r>
      <w:r>
        <w:rPr>
          <w:rStyle w:val="SourceText"/>
        </w:rPr>
        <w:t>EndDate</w:t>
      </w:r>
      <w:r>
        <w:rPr/>
        <w:t xml:space="preserve">, hoje opcional e nunca lida pelo cálculo, passa a ser </w:t>
      </w:r>
      <w:r>
        <w:rPr>
          <w:rStyle w:val="Strong"/>
        </w:rPr>
        <w:t>obrigatória e precisa ser uma data legível</w:t>
      </w:r>
      <w:r>
        <w:rPr/>
        <w:t xml:space="preserve">: é dela que saem o ano do período (regra de sub-18, seção 5) e o mês (janela de 26 meses, seção 6.2). São aceitos os formatos </w:t>
      </w:r>
      <w:r>
        <w:rPr>
          <w:rStyle w:val="SourceText"/>
        </w:rPr>
        <w:t>AAAA-MM-DD</w:t>
      </w:r>
      <w:r>
        <w:rPr/>
        <w:t xml:space="preserve">, </w:t>
      </w:r>
      <w:r>
        <w:rPr>
          <w:rStyle w:val="SourceText"/>
        </w:rPr>
        <w:t>DD/MM/AAAA</w:t>
      </w:r>
      <w:r>
        <w:rPr/>
        <w:t xml:space="preserve"> e </w:t>
      </w:r>
      <w:r>
        <w:rPr>
          <w:rStyle w:val="SourceText"/>
        </w:rPr>
        <w:t>DD.MM.AAAA</w:t>
      </w:r>
      <w:r>
        <w:rPr/>
        <w:t xml:space="preserve"> — o último é o que os arquivos da federação usam hoje.</w:t>
      </w:r>
    </w:p>
    <w:p>
      <w:pPr>
        <w:pStyle w:val="Heading3"/>
        <w:bidi w:val="0"/>
        <w:jc w:val="left"/>
        <w:rPr/>
      </w:pPr>
      <w:r>
        <w:rPr/>
        <w:t>11.3 Arquivo de auditoria</w:t>
      </w:r>
    </w:p>
    <w:p>
      <w:pPr>
        <w:pStyle w:val="BodyText"/>
        <w:bidi w:val="0"/>
        <w:jc w:val="left"/>
        <w:rPr/>
      </w:pPr>
      <w:r>
        <w:rPr/>
        <w:t xml:space="preserve">Precisa identificar a modalidade e passa a ter forma </w:t>
      </w:r>
      <w:r>
        <w:rPr>
          <w:rStyle w:val="Strong"/>
        </w:rPr>
        <w:t>por partida</w:t>
      </w:r>
      <w:r>
        <w:rPr/>
        <w:t>: as colunas atuais (</w:t>
      </w:r>
      <w:r>
        <w:rPr>
          <w:rStyle w:val="SourceText"/>
        </w:rPr>
        <w:t>Erm</w:t>
      </w:r>
      <w:r>
        <w:rPr/>
        <w:t xml:space="preserve">, </w:t>
      </w:r>
      <w:r>
        <w:rPr>
          <w:rStyle w:val="SourceText"/>
        </w:rPr>
        <w:t>Rm</w:t>
      </w:r>
      <w:r>
        <w:rPr/>
        <w:t xml:space="preserve">, </w:t>
      </w:r>
      <w:r>
        <w:rPr>
          <w:rStyle w:val="SourceText"/>
        </w:rPr>
        <w:t>Dif</w:t>
      </w:r>
      <w:r>
        <w:rPr/>
        <w:t xml:space="preserve">, </w:t>
      </w:r>
      <w:r>
        <w:rPr>
          <w:rStyle w:val="SourceText"/>
        </w:rPr>
        <w:t>Nwe</w:t>
      </w:r>
      <w:r>
        <w:rPr/>
        <w:t xml:space="preserve">, </w:t>
      </w:r>
      <w:r>
        <w:rPr>
          <w:rStyle w:val="SourceText"/>
        </w:rPr>
        <w:t>Dw</w:t>
      </w:r>
      <w:r>
        <w:rPr/>
        <w:t xml:space="preserve">, </w:t>
      </w:r>
      <w:r>
        <w:rPr>
          <w:rStyle w:val="SourceText"/>
        </w:rPr>
        <w:t>kDw</w:t>
      </w:r>
      <w:r>
        <w:rPr/>
        <w:t>) descrevem agregados de torneio que deixam de existir no modelo novo.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12. O que deixa de existir</w:t>
      </w:r>
    </w:p>
    <w:tbl>
      <w:tblPr>
        <w:tblW w:w="997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501"/>
        <w:gridCol w:w="4471"/>
      </w:tblGrid>
      <w:tr>
        <w:trPr>
          <w:cantSplit/>
          <w:tblHeader w:val="true"/>
        </w:trPr>
        <w:tc>
          <w:tcPr>
            <w:tcW w:w="5501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Regra atual</w:t>
            </w:r>
          </w:p>
        </w:tc>
        <w:tc>
          <w:tcPr>
            <w:tcW w:w="4471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Situação</w:t>
            </w:r>
          </w:p>
        </w:tc>
      </w:tr>
      <w:tr>
        <w:trPr>
          <w:cantSplit/>
        </w:trPr>
        <w:tc>
          <w:tcPr>
            <w:tcW w:w="55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RATING_PERFORMANCE</w:t>
            </w:r>
          </w:p>
        </w:tc>
        <w:tc>
          <w:tcPr>
            <w:tcW w:w="44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Aposentada</w:t>
            </w:r>
          </w:p>
        </w:tc>
      </w:tr>
      <w:tr>
        <w:trPr>
          <w:cantSplit/>
        </w:trPr>
        <w:tc>
          <w:tcPr>
            <w:tcW w:w="55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DOUBLE_K</w:t>
            </w:r>
          </w:p>
        </w:tc>
        <w:tc>
          <w:tcPr>
            <w:tcW w:w="44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Aposentada</w:t>
            </w:r>
          </w:p>
        </w:tc>
      </w:tr>
      <w:tr>
        <w:trPr>
          <w:cantSplit/>
        </w:trPr>
        <w:tc>
          <w:tcPr>
            <w:tcW w:w="55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TEMPORARY</w:t>
            </w:r>
            <w:r>
              <w:rPr/>
              <w:t xml:space="preserve"> (jogador com 1 a 14 partidas)</w:t>
            </w:r>
          </w:p>
        </w:tc>
        <w:tc>
          <w:tcPr>
            <w:tcW w:w="44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Substituída pelo rating inicial da seção 6</w:t>
            </w:r>
          </w:p>
        </w:tc>
      </w:tr>
      <w:tr>
        <w:trPr>
          <w:cantSplit/>
        </w:trPr>
        <w:tc>
          <w:tcPr>
            <w:tcW w:w="55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Tabela de K por partidas na vida (30/25/15/10)</w:t>
            </w:r>
          </w:p>
        </w:tc>
        <w:tc>
          <w:tcPr>
            <w:tcW w:w="44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Substituída pela seção 5</w:t>
            </w:r>
          </w:p>
        </w:tc>
      </w:tr>
      <w:tr>
        <w:trPr>
          <w:cantSplit/>
        </w:trPr>
        <w:tc>
          <w:tcPr>
            <w:tcW w:w="55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Expectativa pela </w:t>
            </w:r>
            <w:r>
              <w:rPr>
                <w:rStyle w:val="Strong"/>
              </w:rPr>
              <w:t>média</w:t>
            </w:r>
            <w:r>
              <w:rPr/>
              <w:t xml:space="preserve"> dos adversários do torneio</w:t>
            </w:r>
          </w:p>
        </w:tc>
        <w:tc>
          <w:tcPr>
            <w:tcW w:w="44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Substituída pelo cálculo por partida</w:t>
            </w:r>
          </w:p>
        </w:tc>
      </w:tr>
      <w:tr>
        <w:trPr>
          <w:cantSplit/>
        </w:trPr>
        <w:tc>
          <w:tcPr>
            <w:tcW w:w="55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Encadeamento torneio a torneio</w:t>
            </w:r>
          </w:p>
        </w:tc>
        <w:tc>
          <w:tcPr>
            <w:tcW w:w="44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Substituído pelo período da seção 4</w:t>
            </w:r>
          </w:p>
        </w:tc>
      </w:tr>
      <w:tr>
        <w:trPr>
          <w:cantSplit/>
        </w:trPr>
        <w:tc>
          <w:tcPr>
            <w:tcW w:w="55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Piso de rating em 1 ponto</w:t>
            </w:r>
          </w:p>
        </w:tc>
        <w:tc>
          <w:tcPr>
            <w:tcW w:w="44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Substituído pelo piso de 1200 (seção 7)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13. Simulação sobre um ciclo real</w:t>
      </w:r>
    </w:p>
    <w:p>
      <w:pPr>
        <w:pStyle w:val="BodyText"/>
        <w:bidi w:val="0"/>
        <w:jc w:val="left"/>
        <w:rPr/>
      </w:pPr>
      <w:r>
        <w:rPr/>
        <w:t xml:space="preserve">O modelo foi rodado sobre o último ciclo completo da federação: </w:t>
      </w:r>
      <w:r>
        <w:rPr>
          <w:rStyle w:val="Strong"/>
        </w:rPr>
        <w:t>35 torneios entre 25/01 e 07/06/2026</w:t>
      </w:r>
      <w:r>
        <w:rPr/>
        <w:t>, todos de Clássico, com os 2.385 jogadores da lista e 480 deles disputando partidas. Serve para sair da discussão teórica e ver o efeito das regras sobre gente real.</w:t>
      </w:r>
    </w:p>
    <w:p>
      <w:pPr>
        <w:pStyle w:val="BodyText"/>
        <w:bidi w:val="0"/>
        <w:jc w:val="left"/>
        <w:rPr/>
      </w:pPr>
      <w:r>
        <w:rPr>
          <w:rStyle w:val="Strong"/>
        </w:rPr>
        <w:t>Conferência de base.</w:t>
      </w:r>
      <w:r>
        <w:rPr/>
        <w:t xml:space="preserve"> O mesmo ciclo foi reprocessado pelo modelo atual e as </w:t>
      </w:r>
      <w:r>
        <w:rPr>
          <w:rStyle w:val="Strong"/>
        </w:rPr>
        <w:t>35 listas de rating saíram idênticas</w:t>
      </w:r>
      <w:r>
        <w:rPr/>
        <w:t xml:space="preserve"> às publicadas pela federação. Toda diferença apontada abaixo vem do modelo novo, não de uma leitura diferente dos arquivos.</w:t>
      </w:r>
    </w:p>
    <w:p>
      <w:pPr>
        <w:pStyle w:val="Heading3"/>
        <w:bidi w:val="0"/>
        <w:jc w:val="left"/>
        <w:rPr/>
      </w:pPr>
      <w:r>
        <w:rPr/>
        <w:t>14.1 Prontidão do cadastro</w:t>
      </w:r>
    </w:p>
    <w:tbl>
      <w:tblPr>
        <w:tblW w:w="997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462"/>
        <w:gridCol w:w="3510"/>
      </w:tblGrid>
      <w:tr>
        <w:trPr>
          <w:cantSplit/>
          <w:tblHeader w:val="true"/>
        </w:trPr>
        <w:tc>
          <w:tcPr>
            <w:tcW w:w="6462" w:type="dxa"/>
            <w:tcBorders/>
            <w:vAlign w:val="center"/>
          </w:tcPr>
          <w:p>
            <w:pPr>
              <w:pStyle w:val="TableHeading"/>
              <w:bidi w:val="0"/>
              <w:ind w:hanging="0" w:left="0" w:right="0"/>
              <w:jc w:val="left"/>
              <w:rPr/>
            </w:pPr>
            <w:r>
              <w:rPr/>
              <w:t>Achado</w:t>
            </w:r>
          </w:p>
        </w:tc>
        <w:tc>
          <w:tcPr>
            <w:tcW w:w="3510" w:type="dxa"/>
            <w:tcBorders/>
            <w:vAlign w:val="center"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Quantidade</w:t>
            </w:r>
          </w:p>
        </w:tc>
      </w:tr>
      <w:tr>
        <w:trPr>
          <w:cantSplit/>
        </w:trPr>
        <w:tc>
          <w:tcPr>
            <w:tcW w:w="646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Data de nascimento ausente</w:t>
            </w:r>
          </w:p>
        </w:tc>
        <w:tc>
          <w:tcPr>
            <w:tcW w:w="3510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296</w:t>
            </w:r>
          </w:p>
        </w:tc>
      </w:tr>
      <w:tr>
        <w:trPr>
          <w:cantSplit/>
        </w:trPr>
        <w:tc>
          <w:tcPr>
            <w:tcW w:w="646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Dessas, quantas mudam algum cálculo</w:t>
            </w:r>
          </w:p>
        </w:tc>
        <w:tc>
          <w:tcPr>
            <w:tcW w:w="3510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>
                <w:rStyle w:val="Strong"/>
              </w:rPr>
              <w:t>1</w:t>
            </w:r>
          </w:p>
        </w:tc>
      </w:tr>
      <w:tr>
        <w:trPr>
          <w:cantSplit/>
        </w:trPr>
        <w:tc>
          <w:tcPr>
            <w:tcW w:w="646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Data de nascimento ilegível (número de série do Excel)</w:t>
            </w:r>
          </w:p>
        </w:tc>
        <w:tc>
          <w:tcPr>
            <w:tcW w:w="3510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2</w:t>
            </w:r>
          </w:p>
        </w:tc>
      </w:tr>
      <w:tr>
        <w:trPr>
          <w:cantSplit/>
        </w:trPr>
        <w:tc>
          <w:tcPr>
            <w:tcW w:w="646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>
                <w:rStyle w:val="SourceText"/>
              </w:rPr>
              <w:t>Ord</w:t>
            </w:r>
            <w:r>
              <w:rPr/>
              <w:t xml:space="preserve"> de torneio duplicado</w:t>
            </w:r>
          </w:p>
        </w:tc>
        <w:tc>
          <w:tcPr>
            <w:tcW w:w="3510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0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A data de nascimento só muda o fator K de quem já tem 30 partidas ou mais, rating abaixo de 2100 e nunca atingiu 2200 (seção 5). Nesse recorte cai </w:t>
      </w:r>
      <w:r>
        <w:rPr>
          <w:rStyle w:val="Strong"/>
        </w:rPr>
        <w:t>um</w:t>
      </w:r>
      <w:r>
        <w:rPr/>
        <w:t xml:space="preserve"> jogador — que é, justamente, um dos dois registros com data corrompida. </w:t>
      </w:r>
      <w:r>
        <w:rPr>
          <w:rStyle w:val="Strong"/>
        </w:rPr>
        <w:t>Duas células precisam ser corrigidas antes do primeiro ciclo oficial</w:t>
      </w:r>
      <w:r>
        <w:rPr/>
        <w:t>; o resto do cadastro pode ser completado sem pressa.</w:t>
      </w:r>
    </w:p>
    <w:p>
      <w:pPr>
        <w:pStyle w:val="Heading3"/>
        <w:bidi w:val="0"/>
        <w:jc w:val="left"/>
        <w:rPr/>
      </w:pPr>
      <w:r>
        <w:rPr/>
        <w:t>14.2 O teto de 700 nunca agiu</w:t>
      </w:r>
    </w:p>
    <w:tbl>
      <w:tblPr>
        <w:tblW w:w="997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28"/>
        <w:gridCol w:w="1828"/>
        <w:gridCol w:w="2664"/>
        <w:gridCol w:w="1501"/>
        <w:gridCol w:w="2151"/>
      </w:tblGrid>
      <w:tr>
        <w:trPr>
          <w:cantSplit/>
          <w:tblHeader w:val="true"/>
        </w:trPr>
        <w:tc>
          <w:tcPr>
            <w:tcW w:w="1828" w:type="dxa"/>
            <w:tcBorders/>
            <w:vAlign w:val="center"/>
          </w:tcPr>
          <w:p>
            <w:pPr>
              <w:pStyle w:val="TableHeading"/>
              <w:bidi w:val="0"/>
              <w:ind w:hanging="0" w:left="0" w:right="0"/>
              <w:jc w:val="left"/>
              <w:rPr/>
            </w:pPr>
            <w:r>
              <w:rPr/>
              <w:t>Bimestre</w:t>
            </w:r>
          </w:p>
        </w:tc>
        <w:tc>
          <w:tcPr>
            <w:tcW w:w="1828" w:type="dxa"/>
            <w:tcBorders/>
            <w:vAlign w:val="center"/>
          </w:tcPr>
          <w:p>
            <w:pPr>
              <w:pStyle w:val="TableHeading"/>
              <w:bidi w:val="0"/>
              <w:ind w:hanging="0" w:left="0" w:right="0"/>
              <w:jc w:val="right"/>
              <w:rPr/>
            </w:pPr>
            <w:r>
              <w:rPr/>
              <w:t>Torneios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TableHeading"/>
              <w:bidi w:val="0"/>
              <w:ind w:hanging="0" w:left="0" w:right="0"/>
              <w:jc w:val="right"/>
              <w:rPr/>
            </w:pPr>
            <w:r>
              <w:rPr/>
              <w:t>Partidas por jogador (mediana)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Heading"/>
              <w:bidi w:val="0"/>
              <w:ind w:hanging="0" w:left="0" w:right="0"/>
              <w:jc w:val="right"/>
              <w:rPr/>
            </w:pPr>
            <w:r>
              <w:rPr/>
              <w:t>Máximo</w:t>
            </w:r>
          </w:p>
        </w:tc>
        <w:tc>
          <w:tcPr>
            <w:tcW w:w="2151" w:type="dxa"/>
            <w:tcBorders/>
            <w:vAlign w:val="center"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Com 18+ partidas</w:t>
            </w:r>
          </w:p>
        </w:tc>
      </w:tr>
      <w:tr>
        <w:trPr>
          <w:cantSplit/>
        </w:trPr>
        <w:tc>
          <w:tcPr>
            <w:tcW w:w="1828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jan-fev</w:t>
            </w:r>
          </w:p>
        </w:tc>
        <w:tc>
          <w:tcPr>
            <w:tcW w:w="1828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4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5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10</w:t>
            </w:r>
          </w:p>
        </w:tc>
        <w:tc>
          <w:tcPr>
            <w:tcW w:w="2151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0</w:t>
            </w:r>
          </w:p>
        </w:tc>
      </w:tr>
      <w:tr>
        <w:trPr>
          <w:cantSplit/>
        </w:trPr>
        <w:tc>
          <w:tcPr>
            <w:tcW w:w="1828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mar-abr</w:t>
            </w:r>
          </w:p>
        </w:tc>
        <w:tc>
          <w:tcPr>
            <w:tcW w:w="1828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16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5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16</w:t>
            </w:r>
          </w:p>
        </w:tc>
        <w:tc>
          <w:tcPr>
            <w:tcW w:w="2151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0</w:t>
            </w:r>
          </w:p>
        </w:tc>
      </w:tr>
      <w:tr>
        <w:trPr>
          <w:cantSplit/>
        </w:trPr>
        <w:tc>
          <w:tcPr>
            <w:tcW w:w="1828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mai-jun</w:t>
            </w:r>
          </w:p>
        </w:tc>
        <w:tc>
          <w:tcPr>
            <w:tcW w:w="1828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15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4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26</w:t>
            </w:r>
          </w:p>
        </w:tc>
        <w:tc>
          <w:tcPr>
            <w:tcW w:w="2151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O teto começa a agir em 18 partidas sob K=40 e em 36 sob K=20. Os três jogadores que passaram de 18 partidas já estavam em K=20. </w:t>
      </w:r>
      <w:r>
        <w:rPr>
          <w:rStyle w:val="Strong"/>
        </w:rPr>
        <w:t>Nenhum K foi reduzido pelo teto.</w:t>
      </w:r>
    </w:p>
    <w:p>
      <w:pPr>
        <w:pStyle w:val="Heading3"/>
        <w:bidi w:val="0"/>
        <w:jc w:val="left"/>
        <w:rPr/>
      </w:pPr>
      <w:r>
        <w:rPr/>
        <w:t>14.3 Quanto o rating muda</w:t>
      </w:r>
    </w:p>
    <w:p>
      <w:pPr>
        <w:pStyle w:val="BodyText"/>
        <w:bidi w:val="0"/>
        <w:jc w:val="left"/>
        <w:rPr/>
      </w:pPr>
      <w:r>
        <w:rPr/>
        <w:t>348 jogadores terminam o semestre com rating nos dois modelos e podem ser comparados:</w:t>
      </w:r>
    </w:p>
    <w:tbl>
      <w:tblPr>
        <w:tblW w:w="997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255"/>
        <w:gridCol w:w="3737"/>
        <w:gridCol w:w="1980"/>
      </w:tblGrid>
      <w:tr>
        <w:trPr>
          <w:cantSplit/>
          <w:tblHeader w:val="true"/>
        </w:trPr>
        <w:tc>
          <w:tcPr>
            <w:tcW w:w="4255" w:type="dxa"/>
            <w:tcBorders/>
            <w:vAlign w:val="center"/>
          </w:tcPr>
          <w:p>
            <w:pPr>
              <w:pStyle w:val="TableHeading"/>
              <w:bidi w:val="0"/>
              <w:ind w:hanging="0" w:left="0" w:right="0"/>
              <w:jc w:val="left"/>
              <w:rPr/>
            </w:pPr>
            <w:r>
              <w:rPr/>
              <w:t>Diferença</w:t>
            </w:r>
          </w:p>
        </w:tc>
        <w:tc>
          <w:tcPr>
            <w:tcW w:w="3737" w:type="dxa"/>
            <w:tcBorders/>
            <w:vAlign w:val="center"/>
          </w:tcPr>
          <w:p>
            <w:pPr>
              <w:pStyle w:val="TableHeading"/>
              <w:bidi w:val="0"/>
              <w:ind w:hanging="0" w:left="0" w:right="0"/>
              <w:jc w:val="right"/>
              <w:rPr/>
            </w:pPr>
            <w:r>
              <w:rPr/>
              <w:t>Jogadores</w:t>
            </w:r>
          </w:p>
        </w:tc>
        <w:tc>
          <w:tcPr>
            <w:tcW w:w="1980" w:type="dxa"/>
            <w:tcBorders/>
            <w:vAlign w:val="center"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%</w:t>
            </w:r>
          </w:p>
        </w:tc>
      </w:tr>
      <w:tr>
        <w:trPr>
          <w:cantSplit/>
        </w:trPr>
        <w:tc>
          <w:tcPr>
            <w:tcW w:w="4255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até 10 pontos</w:t>
            </w:r>
          </w:p>
        </w:tc>
        <w:tc>
          <w:tcPr>
            <w:tcW w:w="373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163</w:t>
            </w:r>
          </w:p>
        </w:tc>
        <w:tc>
          <w:tcPr>
            <w:tcW w:w="1980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47%</w:t>
            </w:r>
          </w:p>
        </w:tc>
      </w:tr>
      <w:tr>
        <w:trPr>
          <w:cantSplit/>
        </w:trPr>
        <w:tc>
          <w:tcPr>
            <w:tcW w:w="4255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11 a 25</w:t>
            </w:r>
          </w:p>
        </w:tc>
        <w:tc>
          <w:tcPr>
            <w:tcW w:w="373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85</w:t>
            </w:r>
          </w:p>
        </w:tc>
        <w:tc>
          <w:tcPr>
            <w:tcW w:w="1980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24%</w:t>
            </w:r>
          </w:p>
        </w:tc>
      </w:tr>
      <w:tr>
        <w:trPr>
          <w:cantSplit/>
        </w:trPr>
        <w:tc>
          <w:tcPr>
            <w:tcW w:w="4255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26 a 50</w:t>
            </w:r>
          </w:p>
        </w:tc>
        <w:tc>
          <w:tcPr>
            <w:tcW w:w="373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53</w:t>
            </w:r>
          </w:p>
        </w:tc>
        <w:tc>
          <w:tcPr>
            <w:tcW w:w="1980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15%</w:t>
            </w:r>
          </w:p>
        </w:tc>
      </w:tr>
      <w:tr>
        <w:trPr>
          <w:cantSplit/>
        </w:trPr>
        <w:tc>
          <w:tcPr>
            <w:tcW w:w="4255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51 a 100</w:t>
            </w:r>
          </w:p>
        </w:tc>
        <w:tc>
          <w:tcPr>
            <w:tcW w:w="373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25</w:t>
            </w:r>
          </w:p>
        </w:tc>
        <w:tc>
          <w:tcPr>
            <w:tcW w:w="1980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7%</w:t>
            </w:r>
          </w:p>
        </w:tc>
      </w:tr>
      <w:tr>
        <w:trPr>
          <w:cantSplit/>
        </w:trPr>
        <w:tc>
          <w:tcPr>
            <w:tcW w:w="4255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acima de 100</w:t>
            </w:r>
          </w:p>
        </w:tc>
        <w:tc>
          <w:tcPr>
            <w:tcW w:w="373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22</w:t>
            </w:r>
          </w:p>
        </w:tc>
        <w:tc>
          <w:tcPr>
            <w:tcW w:w="1980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6%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Mediana de </w:t>
      </w:r>
      <w:r>
        <w:rPr>
          <w:rStyle w:val="Strong"/>
        </w:rPr>
        <w:t>11,5 pontos</w:t>
      </w:r>
      <w:r>
        <w:rPr/>
        <w:t xml:space="preserve">. </w:t>
      </w:r>
      <w:r>
        <w:rPr>
          <w:rStyle w:val="Strong"/>
        </w:rPr>
        <w:t>Não há viés de direção</w:t>
      </w:r>
      <w:r>
        <w:rPr/>
        <w:t>: 173 sobem, 162 descem, 13 ficam iguais. As maiores mudanças concentram-se em rating baixo e recém-chegados, onde ficam as regras aposentadas (seção 12).</w:t>
      </w:r>
    </w:p>
    <w:p>
      <w:pPr>
        <w:pStyle w:val="Heading3"/>
        <w:bidi w:val="0"/>
        <w:jc w:val="left"/>
        <w:rPr/>
      </w:pPr>
      <w:r>
        <w:rPr/>
        <w:t>14.4 O que o modelo novo faz e o atual não fazia</w:t>
      </w:r>
    </w:p>
    <w:p>
      <w:pPr>
        <w:pStyle w:val="BodyText"/>
        <w:bidi w:val="0"/>
        <w:jc w:val="left"/>
        <w:rPr/>
      </w:pPr>
      <w:r>
        <w:rPr/>
        <w:t xml:space="preserve">Somando os três bimestres: </w:t>
      </w:r>
      <w:r>
        <w:rPr>
          <w:rStyle w:val="Strong"/>
        </w:rPr>
        <w:t>50 jogadores</w:t>
      </w:r>
      <w:r>
        <w:rPr/>
        <w:t xml:space="preserve"> conquistaram o primeiro rating pela regra da seção 6, </w:t>
      </w:r>
      <w:r>
        <w:rPr>
          <w:rStyle w:val="Strong"/>
        </w:rPr>
        <w:t>111</w:t>
      </w:r>
      <w:r>
        <w:rPr/>
        <w:t xml:space="preserve"> seguem acumulando rumo às 5 partidas, e o descarte do primeiro torneio zerado (seção 6.1) foi acionado </w:t>
      </w:r>
      <w:r>
        <w:rPr>
          <w:rStyle w:val="Strong"/>
        </w:rPr>
        <w:t>23 vezes</w:t>
      </w:r>
      <w:r>
        <w:rPr/>
        <w:t xml:space="preserve">. Na conversão, </w:t>
      </w:r>
      <w:r>
        <w:rPr>
          <w:rStyle w:val="Strong"/>
        </w:rPr>
        <w:t>1.361</w:t>
      </w:r>
      <w:r>
        <w:rPr/>
        <w:t xml:space="preserve"> jogadores entram com rating, dos quais </w:t>
      </w:r>
      <w:r>
        <w:rPr>
          <w:rStyle w:val="Strong"/>
        </w:rPr>
        <w:t>60 no piso de 1200</w:t>
      </w:r>
      <w:r>
        <w:rPr/>
        <w:t>.</w:t>
      </w:r>
    </w:p>
    <w:p>
      <w:pPr>
        <w:pStyle w:val="Heading3"/>
        <w:bidi w:val="0"/>
        <w:jc w:val="left"/>
        <w:rPr/>
      </w:pPr>
      <w:r>
        <w:rPr/>
        <w:t>14.5 Por que o bimestre roda de uma vez</w:t>
      </w:r>
    </w:p>
    <w:p>
      <w:pPr>
        <w:pStyle w:val="BodyText"/>
        <w:bidi w:val="0"/>
        <w:spacing w:before="0" w:after="140"/>
        <w:jc w:val="left"/>
        <w:rPr/>
      </w:pPr>
      <w:r>
        <w:rPr/>
        <w:t xml:space="preserve">Rodar os seis meses como </w:t>
      </w:r>
      <w:r>
        <w:rPr>
          <w:rStyle w:val="Strong"/>
        </w:rPr>
        <w:t>um período único</w:t>
      </w:r>
      <w:r>
        <w:rPr/>
        <w:t xml:space="preserve">, em vez de três bimestres, muda o rating final de </w:t>
      </w:r>
      <w:r>
        <w:rPr>
          <w:rStyle w:val="Strong"/>
        </w:rPr>
        <w:t>182 jogadores</w:t>
      </w:r>
      <w:r>
        <w:rPr/>
        <w:t xml:space="preserve">, com diferença de até </w:t>
      </w:r>
      <w:r>
        <w:rPr>
          <w:rStyle w:val="Strong"/>
        </w:rPr>
        <w:t>75 pontos</w:t>
      </w:r>
      <w:r>
        <w:rPr/>
        <w:t>. Nenhum dos dois está errado — são períodos diferentes. É a razão de o recorte precisar ser fixo e combinado de antemão (seção 4.1).</w:t>
      </w:r>
    </w:p>
    <w:sectPr>
      <w:type w:val="nextPage"/>
      <w:pgSz w:w="12240" w:h="15840"/>
      <w:pgMar w:left="1134" w:right="1134" w:gutter="0" w:header="0" w:top="567" w:footer="0" w:bottom="56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Carlito"/>
    <w:charset w:val="01"/>
    <w:family w:val="auto"/>
    <w:pitch w:val="default"/>
  </w:font>
  <w:font w:name="Courier New">
    <w:altName w:val="monospace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24"/>
    </w:pPr>
    <w:rPr>
      <w:rFonts w:ascii="Calibri;Carlito;sans-serif" w:hAnsi="Calibri;Carlito;sans-serif" w:eastAsia="Calibri;Carlito;sans-serif" w:cs="Calibri;Carlito;sans-serif"/>
      <w:color w:val="auto"/>
      <w:sz w:val="22"/>
      <w:szCs w:val="22"/>
      <w:lang w:val="pt-BR" w:eastAsia="zh-CN" w:bidi="hi-IN"/>
    </w:rPr>
  </w:style>
  <w:style w:type="paragraph" w:styleId="Heading1">
    <w:name w:val="heading 1"/>
    <w:basedOn w:val="Heading"/>
    <w:next w:val="BodyText"/>
    <w:qFormat/>
    <w:pPr>
      <w:spacing w:before="360" w:after="120"/>
      <w:outlineLvl w:val="0"/>
    </w:pPr>
    <w:rPr>
      <w:rFonts w:ascii="Liberation Serif" w:hAnsi="Liberation Serif" w:eastAsia="Songti SC" w:cs="Arial Unicode MS"/>
      <w:b/>
      <w:bCs/>
      <w:sz w:val="40"/>
      <w:szCs w:val="40"/>
    </w:rPr>
  </w:style>
  <w:style w:type="paragraph" w:styleId="Heading2">
    <w:name w:val="heading 2"/>
    <w:basedOn w:val="Heading"/>
    <w:next w:val="BodyText"/>
    <w:qFormat/>
    <w:pPr>
      <w:pBdr>
        <w:bottom w:val="single" w:sz="2" w:space="2" w:color="999999"/>
      </w:pBdr>
      <w:spacing w:before="320" w:after="120"/>
      <w:outlineLvl w:val="1"/>
    </w:pPr>
    <w:rPr>
      <w:rFonts w:ascii="Liberation Serif" w:hAnsi="Liberation Serif" w:eastAsia="Songti SC" w:cs="Arial Unicode MS"/>
      <w:b/>
      <w:bCs/>
      <w:sz w:val="30"/>
      <w:szCs w:val="30"/>
    </w:rPr>
  </w:style>
  <w:style w:type="paragraph" w:styleId="Heading3">
    <w:name w:val="heading 3"/>
    <w:basedOn w:val="Heading"/>
    <w:next w:val="BodyText"/>
    <w:qFormat/>
    <w:pPr>
      <w:spacing w:before="240" w:after="120"/>
      <w:outlineLvl w:val="2"/>
    </w:pPr>
    <w:rPr>
      <w:rFonts w:ascii="Liberation Serif" w:hAnsi="Liberation Serif" w:eastAsia="Songti SC" w:cs="Arial Unicode MS"/>
      <w:b/>
      <w:bCs/>
      <w:sz w:val="25"/>
      <w:szCs w:val="25"/>
    </w:rPr>
  </w:style>
  <w:style w:type="character" w:styleId="SourceText">
    <w:name w:val="Source Text"/>
    <w:qFormat/>
    <w:rPr>
      <w:rFonts w:ascii="Courier New;monospace" w:hAnsi="Courier New;monospace" w:eastAsia="Courier New;monospace" w:cs="Courier New;monospace"/>
      <w:sz w:val="19"/>
      <w:szCs w:val="19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PreformattedText">
    <w:name w:val="Preformatted Text"/>
    <w:basedOn w:val="Normal"/>
    <w:qFormat/>
    <w:pPr>
      <w:pBdr>
        <w:top w:val="single" w:sz="2" w:space="6" w:color="CCCCCC"/>
        <w:left w:val="single" w:sz="2" w:space="6" w:color="CCCCCC"/>
        <w:bottom w:val="single" w:sz="2" w:space="6" w:color="CCCCCC"/>
        <w:right w:val="single" w:sz="2" w:space="6" w:color="CCCCCC"/>
      </w:pBdr>
      <w:shd w:fill="F4F4F4" w:val="clear"/>
      <w:spacing w:before="0" w:after="0"/>
    </w:pPr>
    <w:rPr>
      <w:rFonts w:ascii="Courier New;monospace" w:hAnsi="Courier New;monospace" w:eastAsia="Courier New;monospace" w:cs="Courier New;monospace"/>
      <w:sz w:val="19"/>
      <w:szCs w:val="19"/>
    </w:rPr>
  </w:style>
  <w:style w:type="paragraph" w:styleId="BlockQuotation">
    <w:name w:val="Block Quotation"/>
    <w:basedOn w:val="Normal"/>
    <w:qFormat/>
    <w:pPr>
      <w:pBdr>
        <w:left w:val="single" w:sz="24" w:space="10" w:color="999999"/>
      </w:pBdr>
      <w:spacing w:before="0" w:after="283"/>
      <w:ind w:hanging="0" w:left="567" w:right="567"/>
    </w:pPr>
    <w:rPr>
      <w:color w:val="333333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shd w:fill="E8E8E8" w:val="clear"/>
      <w:jc w:val="left"/>
    </w:pPr>
    <w:rPr>
      <w:b/>
      <w:bCs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../CALCULATOR.md" TargetMode="External"/><Relationship Id="rId3" Type="http://schemas.openxmlformats.org/officeDocument/2006/relationships/hyperlink" Target="https://handbook.fide.com/chapter/B022024" TargetMode="External"/><Relationship Id="rId4" Type="http://schemas.openxmlformats.org/officeDocument/2006/relationships/hyperlink" Target="https://handbook.fide.com/chapter/B02RBRegulations2024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LibreOffice/26.2.5.2$MacOSX_AARCH64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modelo-rating-fide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