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Modelo de rating FEXERJ — regras completas</w:t>
      </w:r>
    </w:p>
    <w:p>
      <w:pPr>
        <w:pStyle w:val="BodyText"/>
        <w:bidi w:val="0"/>
        <w:jc w:val="left"/>
        <w:rPr/>
      </w:pPr>
      <w:r>
        <w:rPr/>
        <w:t xml:space="preserve">Especificação do modelo </w:t>
      </w:r>
      <w:r>
        <w:rPr>
          <w:rStyle w:val="Strong"/>
        </w:rPr>
        <w:t>por partida</w:t>
      </w:r>
      <w:r>
        <w:rPr/>
        <w:t>, alinhado ao Handbook FIDE B02 com as adaptações do Art. 68 do regulamento da FEXERJ.</w:t>
      </w:r>
    </w:p>
    <w:p>
      <w:pPr>
        <w:pStyle w:val="BodyText"/>
        <w:bidi w:val="0"/>
        <w:jc w:val="left"/>
        <w:rPr/>
      </w:pPr>
      <w:r>
        <w:rPr/>
        <w:t xml:space="preserve">Substitui o modelo por torneio descrito em </w:t>
      </w:r>
      <w:r>
        <w:rPr>
          <w:rStyle w:val="SourceText"/>
        </w:rPr>
        <w:t>CALCULATOR.md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Base normativa:</w:t>
      </w:r>
      <w:r>
        <w:rPr/>
        <w:t xml:space="preserve"> </w:t>
      </w:r>
      <w:hyperlink r:id="rId2">
        <w:r>
          <w:rPr>
            <w:rStyle w:val="Hyperlink"/>
          </w:rPr>
          <w:t>FIDE Rating Regulations</w:t>
        </w:r>
      </w:hyperlink>
      <w:r>
        <w:rPr/>
        <w:t xml:space="preserve"> (vigente desde 01/03/2024, com emenda de 01/10/2025 em 8.3.1) e </w:t>
      </w:r>
      <w:hyperlink r:id="rId3">
        <w:r>
          <w:rPr>
            <w:rStyle w:val="Hyperlink"/>
          </w:rPr>
          <w:t>FIDE Rapid and Blitz Rating Regulations</w:t>
        </w:r>
      </w:hyperlink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Adaptações:</w:t>
      </w:r>
      <w:r>
        <w:rPr/>
        <w:t xml:space="preserve"> Art. 68 do regulamento FEXERJ.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Validação:</w:t>
      </w:r>
      <w:r>
        <w:rPr/>
        <w:t xml:space="preserve"> o cálculo descrito na seção 3 foi conferido contra uma consulta oficial da FIDE — 13 partidas, todas conferem, e a soma do período reproduz o valor publicado. Ver seção 10. </w:t>
      </w:r>
    </w:p>
    <w:p>
      <w:pPr>
        <w:pStyle w:val="BlockQuotation"/>
        <w:bidi w:val="0"/>
        <w:jc w:val="left"/>
        <w:rPr/>
      </w:pPr>
      <w:r>
        <w:rPr/>
        <w:t xml:space="preserve">Este documento tem </w:t>
      </w:r>
      <w:r>
        <w:rPr>
          <w:rStyle w:val="Strong"/>
        </w:rPr>
        <w:t>seis pontos em aberto</w:t>
      </w:r>
      <w:r>
        <w:rPr/>
        <w:t xml:space="preserve"> — ver "Decisões pendentes" logo abaixo. As regras já decididas estão marcadas </w:t>
      </w:r>
      <w:r>
        <w:rPr>
          <w:rStyle w:val="Emphasis"/>
        </w:rPr>
        <w:t>Confirmado pela FEXERJ</w:t>
      </w:r>
      <w:r>
        <w:rPr/>
        <w:t xml:space="preserve"> ou </w:t>
      </w:r>
      <w:r>
        <w:rPr>
          <w:rStyle w:val="Emphasis"/>
        </w:rPr>
        <w:t>Decidido pela FEXERJ</w:t>
      </w:r>
      <w:r>
        <w:rPr/>
        <w:t xml:space="preserve"> onde aparecem; o registro completo está na seção 13.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Decisões pendentes</w:t>
      </w:r>
    </w:p>
    <w:p>
      <w:pPr>
        <w:pStyle w:val="BodyText"/>
        <w:bidi w:val="0"/>
        <w:jc w:val="left"/>
        <w:rPr/>
      </w:pPr>
      <w:r>
        <w:rPr/>
        <w:t xml:space="preserve">Seis perguntas fechadas, para a diretoria responder de uma vez. Esta seção é </w:t>
      </w:r>
      <w:r>
        <w:rPr>
          <w:rStyle w:val="Strong"/>
        </w:rPr>
        <w:t>auto-contida</w:t>
      </w:r>
      <w:r>
        <w:rPr/>
        <w:t xml:space="preserve"> — basta lê-la para responder tudo. O resto do documento é referência, para quem quiser conferir o raciocínio por trás de cada regra.</w:t>
      </w:r>
    </w:p>
    <w:p>
      <w:pPr>
        <w:pStyle w:val="Heading3"/>
        <w:bidi w:val="0"/>
        <w:jc w:val="left"/>
        <w:rPr/>
      </w:pPr>
      <w:r>
        <w:rPr/>
        <w:t>A. O teto de 700 (partidas × K por período) muda com o bimestre?</w:t>
      </w:r>
    </w:p>
    <w:p>
      <w:pPr>
        <w:pStyle w:val="BodyText"/>
        <w:bidi w:val="0"/>
        <w:jc w:val="left"/>
        <w:rPr/>
      </w:pPr>
      <w:r>
        <w:rPr/>
        <w:t>Hoje o teto é 700 — o valor que a própria FIDE usa (seção 5.1). Com a lista bimestral (decisão já tomada, seção 4.1), ele passa a agir a partir de 18 partidas de um jogador com K=40 no bimestre; em lista mensal, quase nunca agia.</w:t>
      </w:r>
    </w:p>
    <w:p>
      <w:pPr>
        <w:pStyle w:val="BodyText"/>
        <w:bidi w:val="0"/>
        <w:jc w:val="left"/>
        <w:rPr/>
      </w:pPr>
      <w:r>
        <w:rPr>
          <w:rStyle w:val="Strong"/>
        </w:rPr>
        <w:t>Opções:</w:t>
      </w:r>
      <w:r>
        <w:rPr/>
        <w:t xml:space="preserve"> (1) manter 700; (2) adotar um valor pensado para o bimestre.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</w:t>
      </w:r>
      <w:r>
        <w:rPr/>
        <w:t xml:space="preserve"> manter 700 — não acrescenta ao modelo um número que não vem de fonte externa nenhuma.</w:t>
      </w:r>
    </w:p>
    <w:p>
      <w:pPr>
        <w:pStyle w:val="BodyText"/>
        <w:bidi w:val="0"/>
        <w:jc w:val="left"/>
        <w:rPr/>
      </w:pPr>
      <w:r>
        <w:rPr>
          <w:rStyle w:val="Strong"/>
        </w:rPr>
        <w:t>Se decidirem diferente:</w:t>
      </w:r>
      <w:r>
        <w:rPr/>
        <w:t xml:space="preserve"> o time técnico calcula o novo valor a partir da distribuição real de partidas por jogador num ano de dados passados, para que o número tenha origem verificável, e não seja uma estimativa.</w:t>
      </w:r>
    </w:p>
    <w:p>
      <w:pPr>
        <w:pStyle w:val="Heading3"/>
        <w:bidi w:val="0"/>
        <w:jc w:val="left"/>
        <w:rPr/>
      </w:pPr>
      <w:r>
        <w:rPr/>
        <w:t>B. O descarte do primeiro torneio zerado tira partidas da contagem que alimenta o K?</w:t>
      </w:r>
    </w:p>
    <w:p>
      <w:pPr>
        <w:pStyle w:val="BodyText"/>
        <w:bidi w:val="0"/>
        <w:jc w:val="left"/>
        <w:rPr/>
      </w:pPr>
      <w:r>
        <w:rPr/>
        <w:t xml:space="preserve">A federação pediu que o descarte não altere "o número de partidas" do jogador. A leitura adotada (seção 6.1): o torneio zerado sai do </w:t>
      </w:r>
      <w:r>
        <w:rPr>
          <w:rStyle w:val="Strong"/>
        </w:rPr>
        <w:t>cálculo do primeiro rating</w:t>
      </w:r>
      <w:r>
        <w:rPr/>
        <w:t>, mas as partidas continuam contando no total de partidas disputadas, que é o que alimenta o fator K (seção 5). O jogador não perde as partidas do currículo — perde o resultado na hora de calcular o primeiro rating.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Opções:</w:t>
      </w:r>
      <w:r>
        <w:rPr/>
        <w:t xml:space="preserve"> (1) confirmar essa leitura; (2) as partidas do torneio descartado também saem da contagem que alimenta o K.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</w:t>
      </w:r>
      <w:r>
        <w:rPr/>
        <w:t xml:space="preserve"> confirmar (opção 1) — é a leitura mais literal de "sem alterar o número de partidas".</w:t>
      </w:r>
    </w:p>
    <w:p>
      <w:pPr>
        <w:pStyle w:val="BodyText"/>
        <w:bidi w:val="0"/>
        <w:jc w:val="left"/>
        <w:rPr/>
      </w:pPr>
      <w:r>
        <w:rPr>
          <w:rStyle w:val="Strong"/>
        </w:rPr>
        <w:t>Se decidirem diferente:</w:t>
      </w:r>
      <w:r>
        <w:rPr/>
        <w:t xml:space="preserve"> um jogador que zerou o primeiro torneio entraria no cálculo do fator K com menos partidas do que de fato disputou.</w:t>
      </w:r>
    </w:p>
    <w:p>
      <w:pPr>
        <w:pStyle w:val="Heading3"/>
        <w:bidi w:val="0"/>
        <w:jc w:val="left"/>
        <w:rPr/>
      </w:pPr>
      <w:r>
        <w:rPr/>
        <w:t>C. Na conversão da lista atual, jogador com rating e menos de 5 partidas mantém o rating?</w:t>
      </w:r>
    </w:p>
    <w:p>
      <w:pPr>
        <w:pStyle w:val="BodyText"/>
        <w:bidi w:val="0"/>
        <w:jc w:val="left"/>
        <w:rPr/>
      </w:pPr>
      <w:r>
        <w:rPr/>
        <w:t>Hoje a conversão mantém o rating publicado pelo valor de face. O modelo novo nunca produziria um rating com menos de 5 partidas (seção 6.1) — a lista convertida nasceria com números que o próprio modelo, rodando do zero, recusaria.</w:t>
      </w:r>
    </w:p>
    <w:p>
      <w:pPr>
        <w:pStyle w:val="BodyText"/>
        <w:bidi w:val="0"/>
        <w:jc w:val="left"/>
        <w:rPr/>
      </w:pPr>
      <w:r>
        <w:rPr>
          <w:rStyle w:val="Strong"/>
        </w:rPr>
        <w:t>Opções:</w:t>
      </w:r>
      <w:r>
        <w:rPr/>
        <w:t xml:space="preserve"> (1) manter o rating desses jogadores na conversão; (2) zerar e tratá-los como não-rated, sujeitos à regra do rating inicial (seção 6).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</w:t>
      </w:r>
      <w:r>
        <w:rPr/>
        <w:t xml:space="preserve"> manter (opção 1). Esses jogadores entram com K=40 e o rating converge para o valor real do jogo em um ou dois períodos.</w:t>
      </w:r>
    </w:p>
    <w:p>
      <w:pPr>
        <w:pStyle w:val="BodyText"/>
        <w:bidi w:val="0"/>
        <w:jc w:val="left"/>
        <w:rPr/>
      </w:pPr>
      <w:r>
        <w:rPr>
          <w:rStyle w:val="Strong"/>
        </w:rPr>
        <w:t>Se decidirem diferente:</w:t>
      </w:r>
      <w:r>
        <w:rPr/>
        <w:t xml:space="preserve"> vale levantar antes quantos jogadores estão nessa situação — o impacto depende do volume.</w:t>
      </w:r>
    </w:p>
    <w:p>
      <w:pPr>
        <w:pStyle w:val="Heading3"/>
        <w:bidi w:val="0"/>
        <w:jc w:val="left"/>
        <w:rPr/>
      </w:pPr>
      <w:r>
        <w:rPr/>
        <w:t>D. Na conversão, jogador com rating abaixo de 1200 e 5 partidas ou mais sobe para o piso?</w:t>
      </w:r>
    </w:p>
    <w:p>
      <w:pPr>
        <w:pStyle w:val="BodyText"/>
        <w:bidi w:val="0"/>
        <w:jc w:val="left"/>
        <w:rPr/>
      </w:pPr>
      <w:r>
        <w:rPr/>
        <w:t>A federação propôs subir esses jogadores para 1200 na conversão.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Opções:</w:t>
      </w:r>
      <w:r>
        <w:rPr/>
        <w:t xml:space="preserve"> (1) subir para 1200, entrando rated; (2) não subir — o jogador entra como não-rated no modelo novo.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</w:t>
      </w:r>
      <w:r>
        <w:rPr/>
        <w:t xml:space="preserve"> opção 1. Não é gentileza: se ele virar não-rated na conversão, na prática sai da lista de forma definitiva, porque o cálculo do rating inicial raramente devolve alguém acima de 1200. Subindo para o piso, ele entra rated e, se de fato jogar abaixo disso, cai no período seguinte pela regra normal (seção 7), com linha de auditoria explicando a queda.</w:t>
      </w:r>
    </w:p>
    <w:p>
      <w:pPr>
        <w:pStyle w:val="BodyText"/>
        <w:bidi w:val="0"/>
        <w:jc w:val="left"/>
        <w:rPr/>
      </w:pPr>
      <w:r>
        <w:rPr>
          <w:rStyle w:val="Strong"/>
        </w:rPr>
        <w:t>Se decidirem diferente:</w:t>
      </w:r>
      <w:r>
        <w:rPr/>
        <w:t xml:space="preserve"> o destino prático é o mesmo — o jogador some da lista — mas sem auditoria: a migração o remove em silêncio, em vez de a regra do modelo mostrar o motivo.</w:t>
      </w:r>
    </w:p>
    <w:p>
      <w:pPr>
        <w:pStyle w:val="Heading3"/>
        <w:bidi w:val="0"/>
        <w:jc w:val="left"/>
        <w:rPr/>
      </w:pPr>
      <w:r>
        <w:rPr/>
        <w:t>E. Arquivo de rating: um só, ou um de trabalho e uma lista publicada separada?</w:t>
      </w:r>
    </w:p>
    <w:p>
      <w:pPr>
        <w:pStyle w:val="BodyText"/>
        <w:bidi w:val="0"/>
        <w:jc w:val="left"/>
        <w:rPr/>
      </w:pPr>
      <w:r>
        <w:rPr/>
        <w:t xml:space="preserve">A federação pediu o fator K e o status do jogador nos arquivos. Os dois são </w:t>
      </w:r>
      <w:r>
        <w:rPr>
          <w:rStyle w:val="Strong"/>
        </w:rPr>
        <w:t>derivados</w:t>
      </w:r>
      <w:r>
        <w:rPr/>
        <w:t xml:space="preserve"> — vêm do rating, da contagem de partidas e da data de nascimento, não são dados independentes. O arquivo de rating hoje é entrada e saída do mesmo programa: o que sai de um ciclo é o que entra no seguinte. Se o K estiver nesse arquivo único, duas coisas ruins podem acontecer: o programa o ignora e recalcula sempre — e o valor salvo é decoração que alguém vai editar achando que muda algo — ou o programa confia nele, e um K editado à mão produz rating errado sem aviso.</w:t>
      </w:r>
    </w:p>
    <w:p>
      <w:pPr>
        <w:pStyle w:val="BodyText"/>
        <w:bidi w:val="0"/>
        <w:jc w:val="left"/>
        <w:rPr/>
      </w:pPr>
      <w:r>
        <w:rPr>
          <w:rStyle w:val="Strong"/>
        </w:rPr>
        <w:t>Opções:</w:t>
      </w:r>
      <w:r>
        <w:rPr/>
        <w:t xml:space="preserve"> (1) arquivo único, com K e status incluídos; (2) dois arquivos — um </w:t>
      </w:r>
      <w:r>
        <w:rPr>
          <w:rStyle w:val="Strong"/>
        </w:rPr>
        <w:t>arquivo de trabalho</w:t>
      </w:r>
      <w:r>
        <w:rPr/>
        <w:t xml:space="preserve"> (o programa lê e escreve; guarda só o estado: rating, contagem, data de nascimento, indicador de 2200) e uma </w:t>
      </w:r>
      <w:r>
        <w:rPr>
          <w:rStyle w:val="Strong"/>
        </w:rPr>
        <w:t>lista publicada</w:t>
      </w:r>
      <w:r>
        <w:rPr/>
        <w:t>, para os filiados, com rating, título, clube, partidas no período, fator K e status — o conteúdo que a cláusula 7.1.2 da FIDE descreve para lista publicada (a própria FIDE publica o valor corrente de K).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</w:t>
      </w:r>
      <w:r>
        <w:rPr/>
        <w:t xml:space="preserve"> opção 2 — dois arquivos.</w:t>
      </w:r>
    </w:p>
    <w:p>
      <w:pPr>
        <w:pStyle w:val="BodyText"/>
        <w:bidi w:val="0"/>
        <w:jc w:val="left"/>
        <w:rPr/>
      </w:pPr>
      <w:r>
        <w:rPr>
          <w:rStyle w:val="Strong"/>
        </w:rPr>
        <w:t>Se decidirem diferente:</w:t>
      </w:r>
      <w:r>
        <w:rPr/>
        <w:t xml:space="preserve"> decidir antes qual dos dois problemas acima o programa vai carregar.</w:t>
      </w:r>
    </w:p>
    <w:p>
      <w:pPr>
        <w:pStyle w:val="Heading3"/>
        <w:bidi w:val="0"/>
        <w:jc w:val="left"/>
        <w:rPr/>
      </w:pPr>
      <w:r>
        <w:rPr/>
        <w:t>F. Quando o modelo atual se aposenta?</w:t>
      </w:r>
    </w:p>
    <w:p>
      <w:pPr>
        <w:pStyle w:val="BodyText"/>
        <w:bidi w:val="0"/>
        <w:jc w:val="left"/>
        <w:rPr/>
      </w:pPr>
      <w:r>
        <w:rPr/>
        <w:t>Os dois modelos coexistem, com o atual como padrão. A virada é decisão de calendário da federação, não uma questão de engenharia.</w:t>
      </w:r>
    </w:p>
    <w:p>
      <w:pPr>
        <w:pStyle w:val="BodyText"/>
        <w:bidi w:val="0"/>
        <w:jc w:val="left"/>
        <w:rPr/>
      </w:pPr>
      <w:r>
        <w:rPr>
          <w:rStyle w:val="Strong"/>
        </w:rPr>
        <w:t>Opções:</w:t>
      </w:r>
      <w:r>
        <w:rPr/>
        <w:t xml:space="preserve"> escolher uma data de virada; ou manter o atual como padrão até nova decisão.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</w:t>
      </w:r>
      <w:r>
        <w:rPr/>
        <w:t xml:space="preserve"> nenhuma — é decisão de calendário da federação, não técnica.</w:t>
      </w:r>
    </w:p>
    <w:p>
      <w:pPr>
        <w:pStyle w:val="BodyText"/>
        <w:bidi w:val="0"/>
        <w:jc w:val="left"/>
        <w:rPr/>
      </w:pPr>
      <w:r>
        <w:rPr>
          <w:rStyle w:val="Strong"/>
        </w:rPr>
        <w:t>Se não decidirem agora:</w:t>
      </w:r>
      <w:r>
        <w:rPr/>
        <w:t xml:space="preserve"> o programa continua publicando pelo modelo atual por padrão, sem prazo definido.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Modalidades</w:t>
      </w:r>
    </w:p>
    <w:p>
      <w:pPr>
        <w:pStyle w:val="BodyText"/>
        <w:bidi w:val="0"/>
        <w:jc w:val="left"/>
        <w:rPr/>
      </w:pPr>
      <w:r>
        <w:rPr/>
        <w:t xml:space="preserve">A FEXERJ passa a manter </w:t>
      </w:r>
      <w:r>
        <w:rPr>
          <w:rStyle w:val="Strong"/>
        </w:rPr>
        <w:t>três ratings independentes</w:t>
      </w:r>
      <w:r>
        <w:rPr/>
        <w:t xml:space="preserve"> por jogador:</w:t>
      </w:r>
    </w:p>
    <w:tbl>
      <w:tblPr>
        <w:tblW w:w="2123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38"/>
        <w:gridCol w:w="685"/>
      </w:tblGrid>
      <w:tr>
        <w:trPr>
          <w:tblHeader w:val="true"/>
        </w:trPr>
        <w:tc>
          <w:tcPr>
            <w:tcW w:w="143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Modalidade</w:t>
            </w:r>
          </w:p>
        </w:tc>
        <w:tc>
          <w:tcPr>
            <w:tcW w:w="68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Sigla</w:t>
            </w:r>
          </w:p>
        </w:tc>
      </w:tr>
      <w:tr>
        <w:trPr/>
        <w:tc>
          <w:tcPr>
            <w:tcW w:w="14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Clássico</w:t>
            </w:r>
          </w:p>
        </w:tc>
        <w:tc>
          <w:tcPr>
            <w:tcW w:w="6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STD</w:t>
            </w:r>
          </w:p>
        </w:tc>
      </w:tr>
      <w:tr>
        <w:trPr/>
        <w:tc>
          <w:tcPr>
            <w:tcW w:w="143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Rápido</w:t>
            </w:r>
          </w:p>
        </w:tc>
        <w:tc>
          <w:tcPr>
            <w:tcW w:w="68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RPD</w:t>
            </w:r>
          </w:p>
        </w:tc>
      </w:tr>
      <w:tr>
        <w:trPr/>
        <w:tc>
          <w:tcPr>
            <w:tcW w:w="143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Blitz</w:t>
            </w:r>
          </w:p>
        </w:tc>
        <w:tc>
          <w:tcPr>
            <w:tcW w:w="68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BLZ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Cada modalidade tem rating, contagem de partidas e histórico próprios. As regras abaixo se aplicam </w:t>
      </w:r>
      <w:r>
        <w:rPr>
          <w:rStyle w:val="Strong"/>
        </w:rPr>
        <w:t>igualmente às três</w:t>
      </w:r>
      <w:r>
        <w:rPr/>
        <w:t>, salvo onde indicado.</w:t>
      </w:r>
    </w:p>
    <w:p>
      <w:pPr>
        <w:pStyle w:val="BodyText"/>
        <w:bidi w:val="0"/>
        <w:jc w:val="left"/>
        <w:rPr/>
      </w:pPr>
      <w:r>
        <w:rPr/>
        <w:t xml:space="preserve">As adaptações numéricas do Art. 68 (seção 2) valem </w:t>
      </w:r>
      <w:r>
        <w:rPr>
          <w:rStyle w:val="Strong"/>
        </w:rPr>
        <w:t>igualmente para as três modalidades</w:t>
      </w:r>
      <w:r>
        <w:rPr/>
        <w:t xml:space="preserve">. A única divergência em relação ao texto da FIDE é o teto de 2400/2650, que a FEXERJ ignora — substituído por 2200 (seção 2) e pelo teto de 400 sempre aplicado (§3º). </w:t>
      </w:r>
      <w:r>
        <w:rPr>
          <w:rStyle w:val="Emphasis"/>
        </w:rPr>
        <w:t>Confirmado pela FEXERJ.</w:t>
      </w:r>
    </w:p>
    <w:p>
      <w:pPr>
        <w:pStyle w:val="Heading3"/>
        <w:bidi w:val="0"/>
        <w:jc w:val="left"/>
        <w:rPr/>
      </w:pPr>
      <w:r>
        <w:rPr/>
        <w:t>1.1 Transpasse entre modalidades</w:t>
      </w:r>
    </w:p>
    <w:p>
      <w:pPr>
        <w:pStyle w:val="BodyText"/>
        <w:bidi w:val="0"/>
        <w:jc w:val="left"/>
        <w:rPr/>
      </w:pPr>
      <w:r>
        <w:rPr/>
        <w:t>Espelha o 7.2.1 do regulamento FIDE de Rápido/Blitz.</w:t>
      </w:r>
    </w:p>
    <w:p>
      <w:pPr>
        <w:pStyle w:val="BodyText"/>
        <w:bidi w:val="0"/>
        <w:jc w:val="left"/>
        <w:rPr/>
      </w:pPr>
      <w:r>
        <w:rPr/>
        <w:t xml:space="preserve">Jogador </w:t>
      </w:r>
      <w:r>
        <w:rPr>
          <w:rStyle w:val="Strong"/>
        </w:rPr>
        <w:t>sem rating</w:t>
      </w:r>
      <w:r>
        <w:rPr/>
        <w:t xml:space="preserve"> numa modalidade que </w:t>
      </w:r>
      <w:r>
        <w:rPr>
          <w:rStyle w:val="Strong"/>
        </w:rPr>
        <w:t>tenha rating STD</w:t>
      </w:r>
      <w:r>
        <w:rPr/>
        <w:t xml:space="preserve"> entra no cálculo daquela modalidade usando o </w:t>
      </w:r>
      <w:r>
        <w:rPr>
          <w:rStyle w:val="Strong"/>
        </w:rPr>
        <w:t>rating STD</w:t>
      </w:r>
      <w:r>
        <w:rPr/>
        <w:t xml:space="preserve"> e é tratado como </w:t>
      </w:r>
      <w:r>
        <w:rPr>
          <w:rStyle w:val="Strong"/>
        </w:rPr>
        <w:t>rated</w:t>
      </w:r>
      <w:r>
        <w:rPr/>
        <w:t xml:space="preserve"> — não passa pelo cálculo de rating inicial da seção 6.</w:t>
      </w:r>
    </w:p>
    <w:p>
      <w:pPr>
        <w:pStyle w:val="BodyText"/>
        <w:bidi w:val="0"/>
        <w:jc w:val="left"/>
        <w:rPr/>
      </w:pPr>
      <w:r>
        <w:rPr/>
        <w:t xml:space="preserve">O fator K do jogador transposto sai da contagem de partidas </w:t>
      </w:r>
      <w:r>
        <w:rPr>
          <w:rStyle w:val="Strong"/>
        </w:rPr>
        <w:t>da modalidade nova</w:t>
      </w:r>
      <w:r>
        <w:rPr/>
        <w:t xml:space="preserve">, que é zero — portanto </w:t>
      </w:r>
      <w:r>
        <w:rPr>
          <w:rStyle w:val="Strong"/>
        </w:rPr>
        <w:t>K=40</w:t>
      </w:r>
      <w:r>
        <w:rPr/>
        <w:t xml:space="preserve">. Fatores K e contagens de partidas são independentes por modalidade; só o rating inicial vem do STD. </w:t>
      </w:r>
      <w:r>
        <w:rPr>
          <w:rStyle w:val="Emphasis"/>
        </w:rPr>
        <w:t>Confirmado pela FEXERJ.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Parâmetros — FIDE e adaptação FEXERJ</w:t>
      </w:r>
    </w:p>
    <w:tbl>
      <w:tblPr>
        <w:tblW w:w="8686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084"/>
        <w:gridCol w:w="1382"/>
        <w:gridCol w:w="702"/>
        <w:gridCol w:w="1518"/>
      </w:tblGrid>
      <w:tr>
        <w:trPr>
          <w:tblHeader w:val="true"/>
        </w:trPr>
        <w:tc>
          <w:tcPr>
            <w:tcW w:w="508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Parâmetro</w:t>
            </w:r>
          </w:p>
        </w:tc>
        <w:tc>
          <w:tcPr>
            <w:tcW w:w="138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Seção FIDE</w:t>
            </w:r>
          </w:p>
        </w:tc>
        <w:tc>
          <w:tcPr>
            <w:tcW w:w="7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FIDE</w:t>
            </w:r>
          </w:p>
        </w:tc>
        <w:tc>
          <w:tcPr>
            <w:tcW w:w="15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>
                <w:rStyle w:val="Strong"/>
                <w:b/>
                <w:bCs/>
              </w:rPr>
              <w:t>FEXERJ</w:t>
            </w:r>
          </w:p>
        </w:tc>
      </w:tr>
      <w:tr>
        <w:trPr/>
        <w:tc>
          <w:tcPr>
            <w:tcW w:w="5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mínimo (abaixo disso, jogador vira não-rated)</w:t>
            </w:r>
          </w:p>
        </w:tc>
        <w:tc>
          <w:tcPr>
            <w:tcW w:w="1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7.2</w:t>
            </w:r>
          </w:p>
        </w:tc>
        <w:tc>
          <w:tcPr>
            <w:tcW w:w="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1400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1200</w:t>
            </w:r>
          </w:p>
        </w:tc>
      </w:tr>
      <w:tr>
        <w:trPr/>
        <w:tc>
          <w:tcPr>
            <w:tcW w:w="5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dos adversários fictícios no rating inicial</w:t>
            </w:r>
          </w:p>
        </w:tc>
        <w:tc>
          <w:tcPr>
            <w:tcW w:w="1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8.2.2</w:t>
            </w:r>
          </w:p>
        </w:tc>
        <w:tc>
          <w:tcPr>
            <w:tcW w:w="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1800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1600</w:t>
            </w:r>
          </w:p>
        </w:tc>
      </w:tr>
      <w:tr>
        <w:trPr/>
        <w:tc>
          <w:tcPr>
            <w:tcW w:w="5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inicial máximo</w:t>
            </w:r>
          </w:p>
        </w:tc>
        <w:tc>
          <w:tcPr>
            <w:tcW w:w="1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8.2.3</w:t>
            </w:r>
          </w:p>
        </w:tc>
        <w:tc>
          <w:tcPr>
            <w:tcW w:w="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2200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2000</w:t>
            </w:r>
          </w:p>
        </w:tc>
      </w:tr>
      <w:tr>
        <w:trPr/>
        <w:tc>
          <w:tcPr>
            <w:tcW w:w="5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que fixa K=10</w:t>
            </w:r>
          </w:p>
        </w:tc>
        <w:tc>
          <w:tcPr>
            <w:tcW w:w="1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2400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2200</w:t>
            </w:r>
          </w:p>
        </w:tc>
      </w:tr>
      <w:tr>
        <w:trPr/>
        <w:tc>
          <w:tcPr>
            <w:tcW w:w="5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de rating para o K=40 de sub-18</w:t>
            </w:r>
          </w:p>
        </w:tc>
        <w:tc>
          <w:tcPr>
            <w:tcW w:w="1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2300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2100</w:t>
            </w:r>
          </w:p>
        </w:tc>
      </w:tr>
      <w:tr>
        <w:trPr/>
        <w:tc>
          <w:tcPr>
            <w:tcW w:w="508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da diferença de rating</w:t>
            </w:r>
          </w:p>
        </w:tc>
        <w:tc>
          <w:tcPr>
            <w:tcW w:w="1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8.3.1</w:t>
            </w:r>
          </w:p>
        </w:tc>
        <w:tc>
          <w:tcPr>
            <w:tcW w:w="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400, sempre</w:t>
            </w:r>
          </w:p>
        </w:tc>
      </w:tr>
      <w:tr>
        <w:trPr/>
        <w:tc>
          <w:tcPr>
            <w:tcW w:w="508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Partidas mínimas para primeiro rating</w:t>
            </w:r>
          </w:p>
        </w:tc>
        <w:tc>
          <w:tcPr>
            <w:tcW w:w="138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7.1.4</w:t>
            </w:r>
          </w:p>
        </w:tc>
        <w:tc>
          <w:tcPr>
            <w:tcW w:w="7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5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Art. 68 §2º</w:t>
      </w:r>
      <w:r>
        <w:rPr/>
        <w:t xml:space="preserve"> — revogado pela FEXERJ. Prescrevia reduzir o K pela metade em </w:t>
      </w:r>
      <w:r>
        <w:rPr>
          <w:rStyle w:val="Strong"/>
        </w:rPr>
        <w:t>torneio interno</w:t>
      </w:r>
      <w:r>
        <w:rPr/>
        <w:t xml:space="preserve"> (aquele que não é IRT nem organizado pela federação — as duas flags do arquivo de torneios, </w:t>
      </w:r>
      <w:r>
        <w:rPr>
          <w:rStyle w:val="SourceText"/>
        </w:rPr>
        <w:t>IsIrt</w:t>
      </w:r>
      <w:r>
        <w:rPr/>
        <w:t xml:space="preserve"> e </w:t>
      </w:r>
      <w:r>
        <w:rPr>
          <w:rStyle w:val="SourceText"/>
        </w:rPr>
        <w:t>IsFexerj</w:t>
      </w:r>
      <w:r>
        <w:rPr/>
        <w:t xml:space="preserve">, desligadas). </w:t>
      </w:r>
      <w:r>
        <w:rPr>
          <w:rStyle w:val="Emphasis"/>
        </w:rPr>
        <w:t>Decidido pela FEXERJ:</w:t>
      </w:r>
      <w:r>
        <w:rPr/>
        <w:t xml:space="preserve"> com o K único dentro do período (seção 5), as partidas entre jogador rated e não-rated já fora do cálculo (seção 3) e o teto de 700 pontos mantido (seção 5.1), a metade não protegia mais nada que esses três mecanismos já não protegessem. O cálculo passa a ser uniforme, sem exceção por tipo de torneio. As duas flags continuam existindo no arquivo de torneios — são elas que resolvem os identificadores da CBX em torneio IRT — só o uso delas para reduzir o K desaparece.</w:t>
      </w:r>
    </w:p>
    <w:p>
      <w:pPr>
        <w:pStyle w:val="BodyText"/>
        <w:bidi w:val="0"/>
        <w:jc w:val="left"/>
        <w:rPr/>
      </w:pPr>
      <w:r>
        <w:rPr>
          <w:rStyle w:val="Strong"/>
        </w:rPr>
        <w:t>Art. 68 §3º</w:t>
      </w:r>
      <w:r>
        <w:rPr/>
        <w:t xml:space="preserve"> — o teto de 400 pontos </w:t>
      </w:r>
      <w:r>
        <w:rPr>
          <w:rStyle w:val="Strong"/>
        </w:rPr>
        <w:t>sempre</w:t>
      </w:r>
      <w:r>
        <w:rPr/>
        <w:t xml:space="preserve"> se aplica. A exceção da FIDE para jogadores com 2650 ou mais </w:t>
      </w:r>
      <w:r>
        <w:rPr>
          <w:rStyle w:val="Strong"/>
        </w:rPr>
        <w:t>não vale</w:t>
      </w:r>
      <w:r>
        <w:rPr/>
        <w:t xml:space="preserve"> na FEXERJ.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Cálculo para jogador já rated</w:t>
      </w:r>
    </w:p>
    <w:p>
      <w:pPr>
        <w:pStyle w:val="BodyText"/>
        <w:bidi w:val="0"/>
        <w:jc w:val="left"/>
        <w:rPr/>
      </w:pPr>
      <w:r>
        <w:rPr/>
        <w:t xml:space="preserve">Aplicado a cada partida </w:t>
      </w:r>
      <w:r>
        <w:rPr>
          <w:rStyle w:val="Strong"/>
        </w:rPr>
        <w:t>contra adversário rated</w:t>
      </w:r>
      <w:r>
        <w:rPr/>
        <w:t xml:space="preserve">. Partidas contra não-rated </w:t>
      </w:r>
      <w:r>
        <w:rPr>
          <w:rStyle w:val="Strong"/>
        </w:rPr>
        <w:t>não entram</w:t>
      </w:r>
      <w:r>
        <w:rPr/>
        <w:t xml:space="preserve"> no cálculo do jogador rated (8.3.1: </w:t>
      </w:r>
      <w:r>
        <w:rPr>
          <w:rStyle w:val="Emphasis"/>
        </w:rPr>
        <w:t>"for each game played against a rated player"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Passo 1 — diferença de rating, com teto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 = rating_do_jogador − rating_do_adversário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 = max(−400, min(400, D))</w:t>
      </w:r>
    </w:p>
    <w:p>
      <w:pPr>
        <w:pStyle w:val="BodyText"/>
        <w:bidi w:val="0"/>
        <w:jc w:val="left"/>
        <w:rPr/>
      </w:pPr>
      <w:r>
        <w:rPr/>
        <w:t xml:space="preserve">O teto é aplicado </w:t>
      </w:r>
      <w:r>
        <w:rPr>
          <w:rStyle w:val="Strong"/>
        </w:rPr>
        <w:t>ao rating do adversário</w:t>
      </w:r>
      <w:r>
        <w:rPr/>
        <w:t>, antes de qualquer conta. A própria FIDE exibe o adversário já limitado em suas páginas de cálculo.</w:t>
      </w:r>
    </w:p>
    <w:p>
      <w:pPr>
        <w:pStyle w:val="Heading3"/>
        <w:bidi w:val="0"/>
        <w:jc w:val="left"/>
        <w:rPr/>
      </w:pPr>
      <w:r>
        <w:rPr/>
        <w:t>Passo 2 — probabilidade esperada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PD</w:t>
      </w:r>
      <w:r>
        <w:rPr/>
        <w:t xml:space="preserve"> sai da </w:t>
      </w:r>
      <w:r>
        <w:rPr>
          <w:rStyle w:val="Strong"/>
        </w:rPr>
        <w:t>tabela 8.1.2</w:t>
      </w:r>
      <w:r>
        <w:rPr/>
        <w:t xml:space="preserve"> (seção 8 deste documento), pela diferença </w:t>
      </w:r>
      <w:r>
        <w:rPr>
          <w:rStyle w:val="SourceText"/>
        </w:rPr>
        <w:t>D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 ≥ 0</w:t>
      </w:r>
      <w:r>
        <w:rPr/>
        <w:t xml:space="preserve"> (jogador é o de rating maior): usa a coluna </w:t>
      </w:r>
      <w:r>
        <w:rPr>
          <w:rStyle w:val="Strong"/>
        </w:rPr>
        <w:t>H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 &lt; 0</w:t>
      </w:r>
      <w:r>
        <w:rPr/>
        <w:t xml:space="preserve">: usa a coluna </w:t>
      </w:r>
      <w:r>
        <w:rPr>
          <w:rStyle w:val="Strong"/>
        </w:rPr>
        <w:t>L</w:t>
      </w:r>
      <w:r>
        <w:rPr/>
        <w:t xml:space="preserve"> para </w:t>
      </w:r>
      <w:r>
        <w:rPr>
          <w:rStyle w:val="SourceText"/>
        </w:rPr>
        <w:t>|D|</w:t>
      </w:r>
      <w:r>
        <w:rPr/>
        <w:t xml:space="preserve">, que equivale a </w:t>
      </w:r>
      <w:r>
        <w:rPr>
          <w:rStyle w:val="SourceText"/>
        </w:rPr>
        <w:t>1 − PD_H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Não usar a fórmula logística.</w:t>
      </w:r>
      <w:r>
        <w:rPr/>
        <w:t xml:space="preserve"> A tabela produz valores diferentes — a divergência foi medida e está documentada na seção 10.</w:t>
      </w:r>
    </w:p>
    <w:p>
      <w:pPr>
        <w:pStyle w:val="Heading3"/>
        <w:bidi w:val="0"/>
        <w:jc w:val="left"/>
        <w:rPr/>
      </w:pPr>
      <w:r>
        <w:rPr/>
        <w:t>Passo 3 — variação da partida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ΔR = resultado − PD          resultado ∈ {1, 0.5, 0}</w:t>
      </w:r>
    </w:p>
    <w:p>
      <w:pPr>
        <w:pStyle w:val="Heading3"/>
        <w:bidi w:val="0"/>
        <w:jc w:val="left"/>
        <w:rPr/>
      </w:pPr>
      <w:r>
        <w:rPr/>
        <w:t>Passo 4 — variação do período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ΣΔR = soma de todos os ΔR do período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variação = ΣΔR × K</w:t>
      </w:r>
    </w:p>
    <w:p>
      <w:pPr>
        <w:pStyle w:val="Heading3"/>
        <w:bidi w:val="0"/>
        <w:jc w:val="left"/>
        <w:rPr/>
      </w:pPr>
      <w:r>
        <w:rPr/>
        <w:t>Passo 5 — arredondamento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novo_rating = rating_inicial_do_período + arredonda(variação)</w:t>
      </w:r>
    </w:p>
    <w:p>
      <w:pPr>
        <w:pStyle w:val="BodyText"/>
        <w:bidi w:val="0"/>
        <w:jc w:val="left"/>
        <w:rPr/>
      </w:pPr>
      <w:r>
        <w:rPr/>
        <w:t xml:space="preserve">Arredonda para o inteiro mais próximo, </w:t>
      </w:r>
      <w:r>
        <w:rPr>
          <w:rStyle w:val="Strong"/>
        </w:rPr>
        <w:t>uma única vez por período</w:t>
      </w:r>
      <w:r>
        <w:rPr/>
        <w:t xml:space="preserve"> (8.3.4). O 0,5 arredonda </w:t>
      </w:r>
      <w:r>
        <w:rPr>
          <w:rStyle w:val="Strong"/>
        </w:rPr>
        <w:t>para longe do zero</w:t>
      </w:r>
      <w:r>
        <w:rPr/>
        <w:t xml:space="preserve"> (</w:t>
      </w:r>
      <w:r>
        <w:rPr>
          <w:rStyle w:val="SourceText"/>
        </w:rPr>
        <w:t>+0,5 → +1</w:t>
      </w:r>
      <w:r>
        <w:rPr/>
        <w:t xml:space="preserve">; </w:t>
      </w:r>
      <w:r>
        <w:rPr>
          <w:rStyle w:val="SourceText"/>
        </w:rPr>
        <w:t>−0,5 → −1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Período de cálculo</w:t>
      </w:r>
    </w:p>
    <w:p>
      <w:pPr>
        <w:pStyle w:val="BodyText"/>
        <w:bidi w:val="0"/>
        <w:jc w:val="left"/>
        <w:rPr/>
      </w:pPr>
      <w:r>
        <w:rPr>
          <w:rStyle w:val="Strong"/>
        </w:rPr>
        <w:t>Todas as partidas do período são calculadas contra o rating do início do período.</w:t>
      </w:r>
      <w:r>
        <w:rPr/>
        <w:t xml:space="preserve"> O rating não é atualizado entre torneios do mesmo período.</w:t>
      </w:r>
    </w:p>
    <w:p>
      <w:pPr>
        <w:pStyle w:val="BodyText"/>
        <w:bidi w:val="0"/>
        <w:jc w:val="left"/>
        <w:rPr/>
      </w:pPr>
      <w:r>
        <w:rPr/>
        <w:t xml:space="preserve">Isso vale também para o rating dos </w:t>
      </w:r>
      <w:r>
        <w:rPr>
          <w:rStyle w:val="Strong"/>
        </w:rPr>
        <w:t>adversários</w:t>
      </w:r>
      <w:r>
        <w:rPr/>
        <w:t>: usa-se o do início do período.</w:t>
      </w:r>
    </w:p>
    <w:p>
      <w:pPr>
        <w:pStyle w:val="BlockQuotation"/>
        <w:bidi w:val="0"/>
        <w:jc w:val="left"/>
        <w:rPr/>
      </w:pPr>
      <w:r>
        <w:rPr/>
        <w:t xml:space="preserve">Verificado empiricamente numa consulta oficial da FIDE: um jogador disputou dois torneios no mesmo mês, com doze dias de intervalo, tendo ganho 11,40 pontos no primeiro. O segundo torneio foi calculado com o </w:t>
      </w:r>
      <w:r>
        <w:rPr>
          <w:rStyle w:val="Strong"/>
        </w:rPr>
        <w:t>mesmo</w:t>
      </w:r>
      <w:r>
        <w:rPr/>
        <w:t xml:space="preserve"> rating de partida do primeiro.</w:t>
      </w:r>
    </w:p>
    <w:p>
      <w:pPr>
        <w:pStyle w:val="Heading3"/>
        <w:bidi w:val="0"/>
        <w:jc w:val="left"/>
        <w:rPr/>
      </w:pPr>
      <w:r>
        <w:rPr/>
        <w:t>4.1 Como o período é delimitado</w:t>
      </w:r>
    </w:p>
    <w:p>
      <w:pPr>
        <w:pStyle w:val="BodyText"/>
        <w:bidi w:val="0"/>
        <w:jc w:val="left"/>
        <w:rPr/>
      </w:pPr>
      <w:r>
        <w:rPr/>
        <w:t xml:space="preserve">O período passa a ser </w:t>
      </w:r>
      <w:r>
        <w:rPr>
          <w:rStyle w:val="Strong"/>
        </w:rPr>
        <w:t>fixo: bimestral, com lista publicada em meses ímpares</w:t>
      </w:r>
      <w:r>
        <w:rPr/>
        <w:t xml:space="preserve">. </w:t>
      </w:r>
      <w:r>
        <w:rPr>
          <w:rStyle w:val="Emphasis"/>
        </w:rPr>
        <w:t>Decidido pela FEXERJ.</w:t>
      </w:r>
      <w:r>
        <w:rPr/>
        <w:t xml:space="preserve"> Isso substitui a regra anterior, em que o período era simplesmente o conjunto de torneios que o operador escolhesse rodar numa execução.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Consequência, com todas as letras: todos os torneios do bimestre entram numa execução só.</w:t>
      </w:r>
      <w:r>
        <w:rPr/>
        <w:t xml:space="preserve"> Rodar torneio a torneio dentro do mesmo bimestre dá um resultado diferente de rodar o bimestre inteiro de uma vez, porque o fator K (seção 5), o teto de 700 (seção 5.1) e o arredondamento (seção 3, passo 5) são todos definidos </w:t>
      </w:r>
      <w:r>
        <w:rPr>
          <w:rStyle w:val="Strong"/>
        </w:rPr>
        <w:t>por período</w:t>
      </w:r>
      <w:r>
        <w:rPr/>
        <w:t xml:space="preserve"> — fatiar a execução fatia os três junto. Não é preferência operacional: é o que faz "por período" significar alguma coisa.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Fator K</w:t>
      </w:r>
    </w:p>
    <w:tbl>
      <w:tblPr>
        <w:tblW w:w="7089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685"/>
        <w:gridCol w:w="404"/>
      </w:tblGrid>
      <w:tr>
        <w:trPr>
          <w:tblHeader w:val="true"/>
        </w:trPr>
        <w:tc>
          <w:tcPr>
            <w:tcW w:w="668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Condição</w:t>
            </w:r>
          </w:p>
        </w:tc>
        <w:tc>
          <w:tcPr>
            <w:tcW w:w="40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K</w:t>
            </w:r>
          </w:p>
        </w:tc>
      </w:tr>
      <w:tr>
        <w:trPr/>
        <w:tc>
          <w:tcPr>
            <w:tcW w:w="66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Jogador novo na lista, até completar 30 partidas</w:t>
            </w:r>
          </w:p>
        </w:tc>
        <w:tc>
          <w:tcPr>
            <w:tcW w:w="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/>
        <w:tc>
          <w:tcPr>
            <w:tcW w:w="66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Até o fim do ano em que completa 18 anos, com rating abaixo de </w:t>
            </w:r>
            <w:r>
              <w:rPr>
                <w:rStyle w:val="Strong"/>
              </w:rPr>
              <w:t>2100</w:t>
            </w:r>
          </w:p>
        </w:tc>
        <w:tc>
          <w:tcPr>
            <w:tcW w:w="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/>
        <w:tc>
          <w:tcPr>
            <w:tcW w:w="66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abaixo de </w:t>
            </w:r>
            <w:r>
              <w:rPr>
                <w:rStyle w:val="Strong"/>
              </w:rPr>
              <w:t>2200</w:t>
            </w:r>
          </w:p>
        </w:tc>
        <w:tc>
          <w:tcPr>
            <w:tcW w:w="4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20</w:t>
            </w:r>
          </w:p>
        </w:tc>
      </w:tr>
      <w:tr>
        <w:trPr/>
        <w:tc>
          <w:tcPr>
            <w:tcW w:w="668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já atingiu </w:t>
            </w:r>
            <w:r>
              <w:rPr>
                <w:rStyle w:val="Strong"/>
              </w:rPr>
              <w:t>2200</w:t>
            </w:r>
            <w:r>
              <w:rPr/>
              <w:t xml:space="preserve"> em alguma lista publicada</w:t>
            </w:r>
          </w:p>
        </w:tc>
        <w:tc>
          <w:tcPr>
            <w:tcW w:w="40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K de 10 é </w:t>
      </w:r>
      <w:r>
        <w:rPr>
          <w:rStyle w:val="Strong"/>
        </w:rPr>
        <w:t>permanente</w:t>
      </w:r>
      <w:r>
        <w:rPr/>
        <w:t xml:space="preserve">: uma vez que o rating publicado atinge 2200, o jogador mantém K=10 mesmo que caia depois. Isso exige </w:t>
      </w:r>
      <w:r>
        <w:rPr>
          <w:rStyle w:val="Strong"/>
        </w:rPr>
        <w:t>persistir um indicador por modalidade</w:t>
      </w:r>
      <w:r>
        <w:rPr/>
        <w:t xml:space="preserve"> de que o jogador já atingiu 2200 — não basta olhar o rating atual.</w:t>
      </w:r>
    </w:p>
    <w:p>
      <w:pPr>
        <w:pStyle w:val="BodyText"/>
        <w:bidi w:val="0"/>
        <w:jc w:val="left"/>
        <w:rPr/>
      </w:pPr>
      <w:r>
        <w:rPr/>
        <w:t xml:space="preserve">Esse indicador </w:t>
      </w:r>
      <w:r>
        <w:rPr>
          <w:rStyle w:val="Strong"/>
        </w:rPr>
        <w:t>vence todas as outras condições</w:t>
      </w:r>
      <w:r>
        <w:rPr/>
        <w:t xml:space="preserve"> da tabela acima: nem a regra de sub-18 nem a de jogador novo levantam o K de volta depois que ele chega a 10. O K é um freio que só aperta, nunca afrouxa.</w:t>
      </w:r>
    </w:p>
    <w:p>
      <w:pPr>
        <w:pStyle w:val="BodyText"/>
        <w:bidi w:val="0"/>
        <w:jc w:val="left"/>
        <w:rPr/>
      </w:pPr>
      <w:r>
        <w:rPr/>
        <w:t xml:space="preserve">A única situação que parece contradizer isso não é exceção: um jogador que estreia numa modalidade nova (seção 1.1) entra com K=40 mesmo já tendo K=10 na modalidade de origem, porque o indicador de 2200 é guardado </w:t>
      </w:r>
      <w:r>
        <w:rPr>
          <w:rStyle w:val="Strong"/>
        </w:rPr>
        <w:t>por modalidade</w:t>
      </w:r>
      <w:r>
        <w:rPr/>
        <w:t xml:space="preserve"> — e naquela modalidade ele não atingiu 2200 nenhuma vez. O freio existe por modalidade; a modalidade nova começa sem ele.</w:t>
      </w:r>
    </w:p>
    <w:p>
      <w:pPr>
        <w:pStyle w:val="BodyText"/>
        <w:bidi w:val="0"/>
        <w:jc w:val="left"/>
        <w:rPr/>
      </w:pPr>
      <w:r>
        <w:rPr/>
        <w:t xml:space="preserve">O K é determinado </w:t>
      </w:r>
      <w:r>
        <w:rPr>
          <w:rStyle w:val="Strong"/>
        </w:rPr>
        <w:t>uma vez por período</w:t>
      </w:r>
      <w:r>
        <w:rPr/>
        <w:t xml:space="preserve"> e vale para todas as partidas dele, sem exceção.</w:t>
      </w:r>
    </w:p>
    <w:p>
      <w:pPr>
        <w:pStyle w:val="Heading3"/>
        <w:bidi w:val="0"/>
        <w:jc w:val="left"/>
        <w:rPr/>
      </w:pPr>
      <w:r>
        <w:rPr/>
        <w:t>5.1 Teto de 700 (8.3.3)</w:t>
      </w:r>
    </w:p>
    <w:p>
      <w:pPr>
        <w:pStyle w:val="BodyText"/>
        <w:bidi w:val="0"/>
        <w:jc w:val="left"/>
        <w:rPr/>
      </w:pPr>
      <w:r>
        <w:rPr/>
        <w:t xml:space="preserve">Cláusula da FIDE, aplicada ao pé da letra: </w:t>
      </w:r>
      <w:r>
        <w:rPr>
          <w:rStyle w:val="Emphasis"/>
        </w:rPr>
        <w:t>"If the number of games (n) for a player on any list for a rating period multiplied by K exceeds 700, then K shall be the largest whole number such that K x n does not exceed 700."</w:t>
      </w:r>
    </w:p>
    <w:p>
      <w:pPr>
        <w:pStyle w:val="BodyText"/>
        <w:bidi w:val="0"/>
        <w:jc w:val="left"/>
        <w:rPr/>
      </w:pPr>
      <w:r>
        <w:rPr/>
        <w:t xml:space="preserve">Um K, um n, o período inteiro: </w:t>
      </w:r>
      <w:r>
        <w:rPr>
          <w:rStyle w:val="SourceText"/>
        </w:rPr>
        <w:t>n</w:t>
      </w:r>
      <w:r>
        <w:rPr/>
        <w:t xml:space="preserve"> é o número de partidas do jogador </w:t>
      </w:r>
      <w:r>
        <w:rPr>
          <w:rStyle w:val="Strong"/>
        </w:rPr>
        <w:t>no período</w:t>
      </w:r>
      <w:r>
        <w:rPr/>
        <w:t xml:space="preserve"> e </w:t>
      </w:r>
      <w:r>
        <w:rPr>
          <w:rStyle w:val="SourceText"/>
        </w:rPr>
        <w:t>K</w:t>
      </w:r>
      <w:r>
        <w:rPr/>
        <w:t xml:space="preserve"> é o fator único da seção 5. Se </w:t>
      </w:r>
      <w:r>
        <w:rPr>
          <w:rStyle w:val="SourceText"/>
        </w:rPr>
        <w:t>n × K &gt; 700</w:t>
      </w:r>
      <w:r>
        <w:rPr/>
        <w:t xml:space="preserve">, </w:t>
      </w:r>
      <w:r>
        <w:rPr>
          <w:rStyle w:val="SourceText"/>
        </w:rPr>
        <w:t>K</w:t>
      </w:r>
      <w:r>
        <w:rPr/>
        <w:t xml:space="preserve"> passa a ser o </w:t>
      </w:r>
      <w:r>
        <w:rPr>
          <w:rStyle w:val="Strong"/>
        </w:rPr>
        <w:t>maior inteiro</w:t>
      </w:r>
      <w:r>
        <w:rPr/>
        <w:t xml:space="preserve"> tal que </w:t>
      </w:r>
      <w:r>
        <w:rPr>
          <w:rStyle w:val="SourceText"/>
        </w:rPr>
        <w:t>K × n ≤ 700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O teto é por período, não por torneio.</w:t>
      </w:r>
      <w:r>
        <w:rPr/>
        <w:t xml:space="preserve"> </w:t>
      </w:r>
      <w:r>
        <w:rPr>
          <w:rStyle w:val="Emphasis"/>
        </w:rPr>
        <w:t>Decidido pela FEXERJ.</w:t>
      </w:r>
      <w:r>
        <w:rPr/>
        <w:t xml:space="preserve"> Aplicar o teto torneio a torneio deixava o período total passar do limite por um múltiplo dele: um jogador com 40 partidas sob K=40, em dois torneios de 20, chegaria a K=35 em cada torneio (700 ÷ 20) — 1.400 no período, o dobro do teto. Com o teto sobre as 40 partidas do período inteiro, K vira 17 (40 × 17 = 680).</w:t>
      </w:r>
    </w:p>
    <w:p>
      <w:pPr>
        <w:pStyle w:val="Heading3"/>
        <w:bidi w:val="0"/>
        <w:jc w:val="left"/>
        <w:rPr/>
      </w:pPr>
      <w:r>
        <w:rPr/>
        <w:t>5.2 Dependência de data de nascimento</w:t>
      </w:r>
    </w:p>
    <w:p>
      <w:pPr>
        <w:pStyle w:val="BodyText"/>
        <w:bidi w:val="0"/>
        <w:jc w:val="left"/>
        <w:rPr/>
      </w:pPr>
      <w:r>
        <w:rPr/>
        <w:t xml:space="preserve">A regra de sub-18 exige a </w:t>
      </w:r>
      <w:r>
        <w:rPr>
          <w:rStyle w:val="Strong"/>
        </w:rPr>
        <w:t>data de nascimento</w:t>
      </w:r>
      <w:r>
        <w:rPr/>
        <w:t xml:space="preserve">, hoje presente na coluna </w:t>
      </w:r>
      <w:r>
        <w:rPr>
          <w:rStyle w:val="SourceText"/>
        </w:rPr>
        <w:t>Birthday</w:t>
      </w:r>
      <w:r>
        <w:rPr/>
        <w:t xml:space="preserve"> do arquivo de jogadores mas </w:t>
      </w:r>
      <w:r>
        <w:rPr>
          <w:rStyle w:val="Strong"/>
        </w:rPr>
        <w:t>nunca usada</w:t>
      </w:r>
      <w:r>
        <w:rPr/>
        <w:t xml:space="preserve"> pelo cálculo. Passa a ser insumo com efeito direto no rating, o que torna a qualidade desse dado relevante.</w:t>
      </w:r>
    </w:p>
    <w:p>
      <w:pPr>
        <w:pStyle w:val="BodyText"/>
        <w:bidi w:val="0"/>
        <w:jc w:val="left"/>
        <w:rPr/>
      </w:pPr>
      <w:r>
        <w:rPr>
          <w:rStyle w:val="Strong"/>
        </w:rPr>
        <w:t>A data de nascimento passa a ser dado obrigatório.</w:t>
      </w:r>
      <w:r>
        <w:rPr/>
        <w:t xml:space="preserve"> Nos torneios IRT e FEXERJ a informação já está disponível pelo cadastro; a lacuna aparece nos internos. A decisão da FEXERJ é exigi-la, em vez de adotar um comportamento padrão para o caso ausente. </w:t>
      </w:r>
      <w:r>
        <w:rPr>
          <w:rStyle w:val="Emphasis"/>
        </w:rPr>
        <w:t>Confirmado pela FEXERJ.</w:t>
      </w:r>
    </w:p>
    <w:p>
      <w:pPr>
        <w:pStyle w:val="BodyText"/>
        <w:bidi w:val="0"/>
        <w:jc w:val="left"/>
        <w:rPr/>
      </w:pPr>
      <w:r>
        <w:rPr/>
        <w:t xml:space="preserve">Consequência de migração: a lista de jogadores atual aceita </w:t>
      </w:r>
      <w:r>
        <w:rPr>
          <w:rStyle w:val="SourceText"/>
        </w:rPr>
        <w:t>Birthday</w:t>
      </w:r>
      <w:r>
        <w:rPr/>
        <w:t xml:space="preserve"> em branco, e o validador precisará passar a rejeitar. Isso se resolve na mesma conversão única que adiciona as colunas de Rápido e Blitz (seção 11.1) — não exige passo separado, mas exige que os cadastros estejam completos antes do primeiro ciclo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Rating inicial de jogador não-rated</w:t>
      </w:r>
    </w:p>
    <w:p>
      <w:pPr>
        <w:pStyle w:val="Heading3"/>
        <w:bidi w:val="0"/>
        <w:jc w:val="left"/>
        <w:rPr/>
      </w:pPr>
      <w:r>
        <w:rPr/>
        <w:t>6.1 Quando o rating é calculado</w:t>
      </w:r>
    </w:p>
    <w:p>
      <w:pPr>
        <w:pStyle w:val="BodyText"/>
        <w:bidi w:val="0"/>
        <w:jc w:val="left"/>
        <w:rPr/>
      </w:pPr>
      <w:r>
        <w:rPr/>
        <w:t xml:space="preserve">Só quando o jogador acumular </w:t>
      </w:r>
      <w:r>
        <w:rPr>
          <w:rStyle w:val="Strong"/>
        </w:rPr>
        <w:t>pelo menos 5 partidas contra adversários rated</w:t>
      </w:r>
      <w:r>
        <w:rPr/>
        <w:t xml:space="preserve"> (7.1.4). Até lá, os resultados ficam acumulados e nenhum rating é publicado.</w:t>
      </w:r>
    </w:p>
    <w:p>
      <w:pPr>
        <w:pStyle w:val="BodyText"/>
        <w:bidi w:val="0"/>
        <w:jc w:val="left"/>
        <w:rPr/>
      </w:pPr>
      <w:r>
        <w:rPr/>
        <w:t xml:space="preserve">Se o jogador </w:t>
      </w:r>
      <w:r>
        <w:rPr>
          <w:rStyle w:val="Strong"/>
        </w:rPr>
        <w:t>zerar seu primeiro torneio</w:t>
      </w:r>
      <w:r>
        <w:rPr/>
        <w:t xml:space="preserve">, esse resultado é </w:t>
      </w:r>
      <w:r>
        <w:rPr>
          <w:rStyle w:val="Strong"/>
        </w:rPr>
        <w:t>descartado</w:t>
      </w:r>
      <w:r>
        <w:rPr/>
        <w:t xml:space="preserve"> do cálculo do primeiro rating (8.2.1) — mesmo que ele tenha pontuado em outro torneio do mesmo período. Aqui, "evento" é o </w:t>
      </w:r>
      <w:r>
        <w:rPr>
          <w:rStyle w:val="Strong"/>
        </w:rPr>
        <w:t>torneio</w:t>
      </w:r>
      <w:r>
        <w:rPr/>
        <w:t xml:space="preserve">, não o período: o descarte olha o primeiro torneio isoladamente. </w:t>
      </w:r>
      <w:r>
        <w:rPr>
          <w:rStyle w:val="Emphasis"/>
        </w:rPr>
        <w:t>Decidido pela FEXERJ.</w:t>
      </w:r>
      <w:r>
        <w:rPr/>
        <w:t xml:space="preserve"> Se essas partidas continuam ou não contando para o fator K é a pendência B, no início deste documento.</w:t>
      </w:r>
    </w:p>
    <w:p>
      <w:pPr>
        <w:pStyle w:val="Heading3"/>
        <w:bidi w:val="0"/>
        <w:jc w:val="left"/>
        <w:rPr/>
      </w:pPr>
      <w:r>
        <w:rPr/>
        <w:t>6.2 Janela de 26 meses (7.1.4)</w:t>
      </w:r>
    </w:p>
    <w:p>
      <w:pPr>
        <w:pStyle w:val="BodyText"/>
        <w:bidi w:val="0"/>
        <w:jc w:val="left"/>
        <w:rPr/>
      </w:pPr>
      <w:r>
        <w:rPr/>
        <w:t xml:space="preserve">Passa a ser guardada a </w:t>
      </w:r>
      <w:r>
        <w:rPr>
          <w:rStyle w:val="Strong"/>
        </w:rPr>
        <w:t>data em que o acúmulo do jogador sem rating começou</w:t>
      </w:r>
      <w:r>
        <w:rPr/>
        <w:t xml:space="preserve"> — a data do primeiro torneio que contribuiu partidas para o cálculo do primeiro rating dele. </w:t>
      </w:r>
      <w:r>
        <w:rPr>
          <w:rStyle w:val="Emphasis"/>
        </w:rPr>
        <w:t>Decidido pela FEXERJ.</w:t>
      </w:r>
    </w:p>
    <w:p>
      <w:pPr>
        <w:pStyle w:val="BodyText"/>
        <w:bidi w:val="0"/>
        <w:jc w:val="left"/>
        <w:rPr/>
      </w:pPr>
      <w:r>
        <w:rPr/>
        <w:t xml:space="preserve">Cláusula da FIDE: </w:t>
      </w:r>
      <w:r>
        <w:rPr>
          <w:rStyle w:val="Emphasis"/>
        </w:rPr>
        <w:t>"Results from other tournaments played within consecutive rating periods of not more than 26 months are pooled to obtain the initial rating."</w:t>
      </w:r>
      <w:r>
        <w:rPr/>
        <w:t xml:space="preserve"> (7.1.4)</w:t>
      </w:r>
    </w:p>
    <w:p>
      <w:pPr>
        <w:pStyle w:val="BodyText"/>
        <w:bidi w:val="0"/>
        <w:jc w:val="left"/>
        <w:rPr/>
      </w:pPr>
      <w:r>
        <w:rPr/>
        <w:t xml:space="preserve">É um limite de </w:t>
      </w:r>
      <w:r>
        <w:rPr>
          <w:rStyle w:val="Strong"/>
        </w:rPr>
        <w:t>janela</w:t>
      </w:r>
      <w:r>
        <w:rPr/>
        <w:t>, não uma expiração partida a partida: as partidas acumuladas não vencem uma a uma. O que se verifica, a cada período, é a distância entre o período corrente e o período em que o acúmulo começou. Se essa distância ultrapassar 26 meses, o acúmulo não pode mais ser agrupado — os resultados anteriores saem do cálculo e o acúmulo do jogador recomeça do zero, a partir do período corrente.</w:t>
      </w:r>
    </w:p>
    <w:p>
      <w:pPr>
        <w:pStyle w:val="Heading3"/>
        <w:bidi w:val="0"/>
        <w:jc w:val="left"/>
        <w:rPr/>
      </w:pPr>
      <w:r>
        <w:rPr/>
        <w:t>6.3 Fórmula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 = média dos ratings dos adversários rated,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acrescida de dois adversários fictícios de rating 1600,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contra os quais o resultado é considerado empate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  = pontos obtidos ÷ partidas jogadas   (incluindo os dois empates fictícios)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dp = valor correspondente a p na tabela 8.1.1 (seção 9)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Ru = Ra + dp        arredondado para o inteiro mais próximo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Ru = min(Ru, 2000)  teto do rating inicial</w:t>
      </w:r>
    </w:p>
    <w:p>
      <w:pPr>
        <w:pStyle w:val="BodyText"/>
        <w:bidi w:val="0"/>
        <w:jc w:val="left"/>
        <w:rPr/>
      </w:pPr>
      <w:r>
        <w:rPr/>
        <w:t xml:space="preserve">Se </w:t>
      </w:r>
      <w:r>
        <w:rPr>
          <w:rStyle w:val="SourceText"/>
        </w:rPr>
        <w:t>Ru</w:t>
      </w:r>
      <w:r>
        <w:rPr/>
        <w:t xml:space="preserve"> ficar abaixo de </w:t>
      </w:r>
      <w:r>
        <w:rPr>
          <w:rStyle w:val="Strong"/>
        </w:rPr>
        <w:t>1200</w:t>
      </w:r>
      <w:r>
        <w:rPr/>
        <w:t>, o jogador permanece não-rated.</w:t>
      </w:r>
    </w:p>
    <w:p>
      <w:pPr>
        <w:pStyle w:val="Heading3"/>
        <w:bidi w:val="0"/>
        <w:jc w:val="left"/>
        <w:rPr/>
      </w:pPr>
      <w:r>
        <w:rPr/>
        <w:t>6.4 Jogador que recebe rating entre torneios (8.2.4)</w:t>
      </w:r>
    </w:p>
    <w:p>
      <w:pPr>
        <w:pStyle w:val="BodyText"/>
        <w:bidi w:val="0"/>
        <w:jc w:val="left"/>
        <w:rPr/>
      </w:pPr>
      <w:r>
        <w:rPr/>
        <w:t xml:space="preserve">Se um jogador não-rated receber rating publicado </w:t>
      </w:r>
      <w:r>
        <w:rPr>
          <w:rStyle w:val="Strong"/>
        </w:rPr>
        <w:t>antes</w:t>
      </w:r>
      <w:r>
        <w:rPr/>
        <w:t xml:space="preserve"> de um torneio dele ser processado, ele é calculado </w:t>
      </w:r>
      <w:r>
        <w:rPr>
          <w:rStyle w:val="Strong"/>
        </w:rPr>
        <w:t>como rated</w:t>
      </w:r>
      <w:r>
        <w:rPr/>
        <w:t xml:space="preserve">, com o rating atual — mas, no cálculo dos </w:t>
      </w:r>
      <w:r>
        <w:rPr>
          <w:rStyle w:val="Strong"/>
        </w:rPr>
        <w:t>adversários</w:t>
      </w:r>
      <w:r>
        <w:rPr/>
        <w:t xml:space="preserve"> daquele torneio, continua contando como </w:t>
      </w:r>
      <w:r>
        <w:rPr>
          <w:rStyle w:val="Strong"/>
        </w:rPr>
        <w:t>não-rated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Piso de rating</w:t>
      </w:r>
    </w:p>
    <w:p>
      <w:pPr>
        <w:pStyle w:val="BodyText"/>
        <w:bidi w:val="0"/>
        <w:jc w:val="left"/>
        <w:rPr/>
      </w:pPr>
      <w:r>
        <w:rPr/>
        <w:t>O piso de 1200 aparece em dois momentos diferentes: durante o cálculo normal de um jogador que já tem rating, e na conversão única da lista atual para o modelo novo. São situações distintas.</w:t>
      </w:r>
    </w:p>
    <w:p>
      <w:pPr>
        <w:pStyle w:val="Heading3"/>
        <w:bidi w:val="0"/>
        <w:jc w:val="left"/>
        <w:rPr/>
      </w:pPr>
      <w:r>
        <w:rPr/>
        <w:t>Durante o cálculo</w:t>
      </w:r>
    </w:p>
    <w:p>
      <w:pPr>
        <w:pStyle w:val="BodyText"/>
        <w:bidi w:val="0"/>
        <w:jc w:val="left"/>
        <w:rPr/>
      </w:pPr>
      <w:r>
        <w:rPr/>
        <w:t xml:space="preserve">Jogador cujo rating cair abaixo de </w:t>
      </w:r>
      <w:r>
        <w:rPr>
          <w:rStyle w:val="Strong"/>
        </w:rPr>
        <w:t>1200</w:t>
      </w:r>
      <w:r>
        <w:rPr/>
        <w:t xml:space="preserve"> passa a ser exibido como </w:t>
      </w:r>
      <w:r>
        <w:rPr>
          <w:rStyle w:val="Strong"/>
        </w:rPr>
        <w:t>não-rated</w:t>
      </w:r>
      <w:r>
        <w:rPr/>
        <w:t xml:space="preserve"> na lista seguinte (7.2, adaptado).</w:t>
      </w:r>
    </w:p>
    <w:p>
      <w:pPr>
        <w:pStyle w:val="BodyText"/>
        <w:bidi w:val="0"/>
        <w:jc w:val="left"/>
        <w:rPr/>
      </w:pPr>
      <w:r>
        <w:rPr>
          <w:rStyle w:val="Strong"/>
        </w:rPr>
        <w:t>O rating é zerado; a contagem de partidas é preservada.</w:t>
      </w:r>
      <w:r>
        <w:rPr/>
        <w:t xml:space="preserve"> O jogador volta à condição de não-rated e precisa das 5 partidas da seção 6 para ter rating publicado de novo, mas seu histórico de partidas jogadas não é apagado — o que significa que, ao voltar, o K vem da contagem preservada e não necessariamente de 40. </w:t>
      </w:r>
      <w:r>
        <w:rPr>
          <w:rStyle w:val="Emphasis"/>
        </w:rPr>
        <w:t>Confirmado pela FEXERJ.</w:t>
      </w:r>
    </w:p>
    <w:p>
      <w:pPr>
        <w:pStyle w:val="BlockQuotation"/>
        <w:bidi w:val="0"/>
        <w:jc w:val="left"/>
        <w:rPr/>
      </w:pPr>
      <w:r>
        <w:rPr/>
        <w:t xml:space="preserve">Esta é uma decisão da FEXERJ, não uma leitura do texto da FIDE. Conferimos: o regulamento FIDE é </w:t>
      </w:r>
      <w:r>
        <w:rPr>
          <w:rStyle w:val="Strong"/>
        </w:rPr>
        <w:t>silencioso</w:t>
      </w:r>
      <w:r>
        <w:rPr/>
        <w:t xml:space="preserve"> sobre o que acontece com a contagem de partidas e com o histórico de quem cai abaixo do mínimo, sobre como esse jogador recupera rating, e não tem seção de reintegração. A regra acima preenche uma lacuna, não contraria o original.</w:t>
      </w:r>
    </w:p>
    <w:p>
      <w:pPr>
        <w:pStyle w:val="Heading3"/>
        <w:bidi w:val="0"/>
        <w:jc w:val="left"/>
        <w:rPr/>
      </w:pPr>
      <w:r>
        <w:rPr/>
        <w:t>Na conversão da lista atual</w:t>
      </w:r>
    </w:p>
    <w:p>
      <w:pPr>
        <w:pStyle w:val="BodyText"/>
        <w:bidi w:val="0"/>
        <w:jc w:val="left"/>
        <w:rPr/>
      </w:pPr>
      <w:r>
        <w:rPr/>
        <w:t xml:space="preserve">A conversão da lista atual para o formato do modelo novo levanta dois casos que a regra acima — pensada para o cálculo corrente — não cobre, porque tratam de registros que </w:t>
      </w:r>
      <w:r>
        <w:rPr>
          <w:rStyle w:val="Strong"/>
        </w:rPr>
        <w:t>já existem</w:t>
      </w:r>
      <w:r>
        <w:rPr/>
        <w:t xml:space="preserve"> na lista de hoje, não de um rating que caiu durante um período: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jogador com rating publicado e </w:t>
      </w:r>
      <w:r>
        <w:rPr>
          <w:rStyle w:val="Strong"/>
        </w:rPr>
        <w:t>menos de 5 partidas</w:t>
      </w:r>
      <w:r>
        <w:rPr/>
        <w:t xml:space="preserve"> — pendência C;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jogador com rating </w:t>
      </w:r>
      <w:r>
        <w:rPr>
          <w:rStyle w:val="Strong"/>
        </w:rPr>
        <w:t>abaixo de 1200</w:t>
      </w:r>
      <w:r>
        <w:rPr/>
        <w:t xml:space="preserve"> e </w:t>
      </w:r>
      <w:r>
        <w:rPr>
          <w:rStyle w:val="Strong"/>
        </w:rPr>
        <w:t>5 partidas ou mais</w:t>
      </w:r>
      <w:r>
        <w:rPr/>
        <w:t xml:space="preserve"> — pendência D. </w:t>
      </w:r>
    </w:p>
    <w:p>
      <w:pPr>
        <w:pStyle w:val="BodyText"/>
        <w:bidi w:val="0"/>
        <w:jc w:val="left"/>
        <w:rPr/>
      </w:pPr>
      <w:r>
        <w:rPr/>
        <w:t>As duas estão na seção "Decisões pendentes", no início deste documento, e ainda não têm resposta.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Tabela 8.1.2 — diferença de rating (D) para probabilidade (PD)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H</w:t>
      </w:r>
      <w:r>
        <w:rPr/>
        <w:t xml:space="preserve"> = jogador de rating </w:t>
      </w:r>
      <w:r>
        <w:rPr>
          <w:rStyle w:val="Strong"/>
        </w:rPr>
        <w:t>maior</w:t>
      </w:r>
      <w:r>
        <w:rPr/>
        <w:t xml:space="preserve">. </w:t>
      </w:r>
      <w:r>
        <w:rPr>
          <w:rStyle w:val="SourceText"/>
        </w:rPr>
        <w:t>L</w:t>
      </w:r>
      <w:r>
        <w:rPr/>
        <w:t xml:space="preserve"> = jogador de rating </w:t>
      </w:r>
      <w:r>
        <w:rPr>
          <w:rStyle w:val="Strong"/>
        </w:rPr>
        <w:t>menor</w:t>
      </w:r>
      <w:r>
        <w:rPr/>
        <w:t xml:space="preserve"> (</w:t>
      </w:r>
      <w:r>
        <w:rPr>
          <w:rStyle w:val="SourceText"/>
        </w:rPr>
        <w:t>L = 1 − H</w:t>
      </w:r>
      <w:r>
        <w:rPr/>
        <w:t>).</w:t>
      </w:r>
    </w:p>
    <w:tbl>
      <w:tblPr>
        <w:tblW w:w="7585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50"/>
        <w:gridCol w:w="446"/>
        <w:gridCol w:w="446"/>
        <w:gridCol w:w="1036"/>
        <w:gridCol w:w="442"/>
        <w:gridCol w:w="443"/>
        <w:gridCol w:w="1060"/>
        <w:gridCol w:w="452"/>
        <w:gridCol w:w="444"/>
        <w:gridCol w:w="1049"/>
        <w:gridCol w:w="446"/>
        <w:gridCol w:w="471"/>
      </w:tblGrid>
      <w:tr>
        <w:trPr>
          <w:tblHeader w:val="true"/>
        </w:trPr>
        <w:tc>
          <w:tcPr>
            <w:tcW w:w="8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4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4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0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4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44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0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4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44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0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4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4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L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  <w:noBreakHyphen/>
              <w:t>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92</w:t>
              <w:noBreakHyphen/>
              <w:t>98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198</w:t>
              <w:noBreakHyphen/>
              <w:t>206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345</w:t>
              <w:noBreakHyphen/>
              <w:t>357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  <w:noBreakHyphen/>
              <w:t>10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99</w:t>
              <w:noBreakHyphen/>
              <w:t>106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207</w:t>
              <w:noBreakHyphen/>
              <w:t>215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358</w:t>
              <w:noBreakHyphen/>
              <w:t>374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  <w:noBreakHyphen/>
              <w:t>17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107</w:t>
              <w:noBreakHyphen/>
              <w:t>113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216</w:t>
              <w:noBreakHyphen/>
              <w:t>225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</w:t>
              <w:noBreakHyphen/>
              <w:t>391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</w:t>
              <w:noBreakHyphen/>
              <w:t>25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</w:t>
              <w:noBreakHyphen/>
              <w:t>121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226</w:t>
              <w:noBreakHyphen/>
              <w:t>235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392</w:t>
              <w:noBreakHyphen/>
              <w:t>411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</w:t>
              <w:noBreakHyphen/>
              <w:t>32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122</w:t>
              <w:noBreakHyphen/>
              <w:t>129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236</w:t>
              <w:noBreakHyphen/>
              <w:t>245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412</w:t>
              <w:noBreakHyphen/>
              <w:t>432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</w:t>
              <w:noBreakHyphen/>
              <w:t>39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130</w:t>
              <w:noBreakHyphen/>
              <w:t>137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246</w:t>
              <w:noBreakHyphen/>
              <w:t>256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433</w:t>
              <w:noBreakHyphen/>
              <w:t>456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  <w:noBreakHyphen/>
              <w:t>46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138</w:t>
              <w:noBreakHyphen/>
              <w:t>145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257</w:t>
              <w:noBreakHyphen/>
              <w:t>267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457</w:t>
              <w:noBreakHyphen/>
              <w:t>484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</w:t>
              <w:noBreakHyphen/>
              <w:t>53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146</w:t>
              <w:noBreakHyphen/>
              <w:t>153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268</w:t>
              <w:noBreakHyphen/>
              <w:t>278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485</w:t>
              <w:noBreakHyphen/>
              <w:t>517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</w:t>
              <w:noBreakHyphen/>
              <w:t>61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154</w:t>
              <w:noBreakHyphen/>
              <w:t>162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279</w:t>
              <w:noBreakHyphen/>
              <w:t>290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518</w:t>
              <w:noBreakHyphen/>
              <w:t>559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</w:t>
              <w:noBreakHyphen/>
              <w:t>68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163</w:t>
              <w:noBreakHyphen/>
              <w:t>170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291</w:t>
              <w:noBreakHyphen/>
              <w:t>302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560</w:t>
              <w:noBreakHyphen/>
              <w:t>619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</w:t>
              <w:noBreakHyphen/>
              <w:t>76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171</w:t>
              <w:noBreakHyphen/>
              <w:t>179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303</w:t>
              <w:noBreakHyphen/>
              <w:t>315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620</w:t>
              <w:noBreakHyphen/>
              <w:t>735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77</w:t>
              <w:noBreakHyphen/>
              <w:t>83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180</w:t>
              <w:noBreakHyphen/>
              <w:t>188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316</w:t>
              <w:noBreakHyphen/>
              <w:t>328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&gt; 735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</w:tr>
      <w:tr>
        <w:trPr/>
        <w:tc>
          <w:tcPr>
            <w:tcW w:w="8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84</w:t>
              <w:noBreakHyphen/>
              <w:t>91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0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189</w:t>
              <w:noBreakHyphen/>
              <w:t>197</w:t>
            </w:r>
          </w:p>
        </w:tc>
        <w:tc>
          <w:tcPr>
            <w:tcW w:w="4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44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06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329</w:t>
              <w:noBreakHyphen/>
              <w:t>344</w:t>
            </w:r>
          </w:p>
        </w:tc>
        <w:tc>
          <w:tcPr>
            <w:tcW w:w="4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44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0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Com o teto de 400 sempre aplicado (§3º), </w:t>
      </w:r>
      <w:r>
        <w:rPr>
          <w:rStyle w:val="Strong"/>
        </w:rPr>
        <w:t>as faixas acima de 411 são inalcançáveis na FEXERJ</w:t>
      </w:r>
      <w:r>
        <w:rPr/>
        <w:t xml:space="preserve"> — ficam registradas por fidelidade ao original.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Tabela 8.1.1 — percentual de pontos (p) para diferença de rating (dp)</w:t>
      </w:r>
    </w:p>
    <w:p>
      <w:pPr>
        <w:pStyle w:val="BodyText"/>
        <w:bidi w:val="0"/>
        <w:jc w:val="left"/>
        <w:rPr/>
      </w:pPr>
      <w:r>
        <w:rPr/>
        <w:t xml:space="preserve">Usada apenas no </w:t>
      </w:r>
      <w:r>
        <w:rPr>
          <w:rStyle w:val="Strong"/>
        </w:rPr>
        <w:t>rating inicial</w:t>
      </w:r>
      <w:r>
        <w:rPr/>
        <w:t xml:space="preserve"> (seção 6).</w:t>
      </w:r>
    </w:p>
    <w:tbl>
      <w:tblPr>
        <w:tblW w:w="4129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66"/>
        <w:gridCol w:w="524"/>
        <w:gridCol w:w="446"/>
        <w:gridCol w:w="477"/>
        <w:gridCol w:w="446"/>
        <w:gridCol w:w="640"/>
        <w:gridCol w:w="456"/>
        <w:gridCol w:w="674"/>
      </w:tblGrid>
      <w:tr>
        <w:trPr>
          <w:tblHeader w:val="true"/>
        </w:trPr>
        <w:tc>
          <w:tcPr>
            <w:tcW w:w="46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52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4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47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4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6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4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6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dp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184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220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677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175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230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589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240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538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158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251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149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43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262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273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444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57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284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65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296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72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309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322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87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336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95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95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351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102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366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110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383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309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117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401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125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422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284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133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444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141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470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149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501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158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538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166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589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175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677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184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800</w:t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211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193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202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6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52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193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47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</w:t>
            </w:r>
          </w:p>
        </w:tc>
        <w:tc>
          <w:tcPr>
            <w:tcW w:w="4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6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211</w:t>
            </w:r>
          </w:p>
        </w:tc>
        <w:tc>
          <w:tcPr>
            <w:tcW w:w="4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tabela é antissimétrica: </w:t>
      </w:r>
      <w:r>
        <w:rPr>
          <w:rStyle w:val="SourceText"/>
        </w:rPr>
        <w:t>dp(p) = −dp(1−p)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Validação contra dado oficial da FIDE</w:t>
      </w:r>
    </w:p>
    <w:p>
      <w:pPr>
        <w:pStyle w:val="BodyText"/>
        <w:bidi w:val="0"/>
        <w:jc w:val="left"/>
        <w:rPr/>
      </w:pPr>
      <w:r>
        <w:rPr/>
        <w:t xml:space="preserve">O cálculo da seção 3 foi conferido contra uma consulta pública de cálculo da FIDE (lista de agosto de 2026, modalidade Clássico, um jogador com dois torneios no período). </w:t>
      </w:r>
      <w:r>
        <w:rPr>
          <w:rStyle w:val="Strong"/>
        </w:rPr>
        <w:t>As 13 partidas conferem individualmente</w:t>
      </w:r>
      <w:r>
        <w:rPr/>
        <w:t xml:space="preserve"> e a soma reproduz exatamente a variação publicada de 19,60.</w:t>
      </w:r>
    </w:p>
    <w:p>
      <w:pPr>
        <w:pStyle w:val="BodyText"/>
        <w:bidi w:val="0"/>
        <w:jc w:val="left"/>
        <w:rPr/>
      </w:pPr>
      <w:r>
        <w:rPr/>
        <w:t xml:space="preserve">A mesma conferência mostrou por que a tabela não pode ser trocada pela fórmula logística — </w:t>
      </w:r>
      <w:r>
        <w:rPr>
          <w:rStyle w:val="Strong"/>
        </w:rPr>
        <w:t>7 das 13 partidas divergem</w:t>
      </w:r>
      <w:r>
        <w:rPr/>
        <w:t>:</w:t>
      </w:r>
    </w:p>
    <w:tbl>
      <w:tblPr>
        <w:tblW w:w="7514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1"/>
        <w:gridCol w:w="2574"/>
        <w:gridCol w:w="1904"/>
        <w:gridCol w:w="2505"/>
      </w:tblGrid>
      <w:tr>
        <w:trPr>
          <w:tblHeader w:val="true"/>
        </w:trPr>
        <w:tc>
          <w:tcPr>
            <w:tcW w:w="53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D</w:t>
            </w:r>
          </w:p>
        </w:tc>
        <w:tc>
          <w:tcPr>
            <w:tcW w:w="25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esperado pela fórmula</w:t>
            </w:r>
          </w:p>
        </w:tc>
        <w:tc>
          <w:tcPr>
            <w:tcW w:w="190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fórmula</w:t>
            </w:r>
          </w:p>
        </w:tc>
        <w:tc>
          <w:tcPr>
            <w:tcW w:w="25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tabela (FIDE)</w:t>
            </w:r>
          </w:p>
        </w:tc>
      </w:tr>
      <w:tr>
        <w:trPr/>
        <w:tc>
          <w:tcPr>
            <w:tcW w:w="5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2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0,9091</w:t>
            </w:r>
          </w:p>
        </w:tc>
        <w:tc>
          <w:tcPr>
            <w:tcW w:w="19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0,0909</w:t>
            </w:r>
          </w:p>
        </w:tc>
        <w:tc>
          <w:tcPr>
            <w:tcW w:w="25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0,08</w:t>
            </w:r>
          </w:p>
        </w:tc>
      </w:tr>
      <w:tr>
        <w:trPr/>
        <w:tc>
          <w:tcPr>
            <w:tcW w:w="5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367</w:t>
            </w:r>
          </w:p>
        </w:tc>
        <w:tc>
          <w:tcPr>
            <w:tcW w:w="2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0,8921</w:t>
            </w:r>
          </w:p>
        </w:tc>
        <w:tc>
          <w:tcPr>
            <w:tcW w:w="190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0,1079</w:t>
            </w:r>
          </w:p>
        </w:tc>
        <w:tc>
          <w:tcPr>
            <w:tcW w:w="25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0,10</w:t>
            </w:r>
          </w:p>
        </w:tc>
      </w:tr>
      <w:tr>
        <w:trPr/>
        <w:tc>
          <w:tcPr>
            <w:tcW w:w="53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46</w:t>
            </w:r>
          </w:p>
        </w:tc>
        <w:tc>
          <w:tcPr>
            <w:tcW w:w="25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0,5658</w:t>
            </w:r>
          </w:p>
        </w:tc>
        <w:tc>
          <w:tcPr>
            <w:tcW w:w="190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0,4342</w:t>
            </w:r>
          </w:p>
        </w:tc>
        <w:tc>
          <w:tcPr>
            <w:tcW w:w="25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0,44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No período, a fórmula daria 20,36 contra os 19,60 publicados — </w:t>
      </w:r>
      <w:r>
        <w:rPr>
          <w:rStyle w:val="Strong"/>
        </w:rPr>
        <w:t>0,76 ponto de diferença</w:t>
      </w:r>
      <w:r>
        <w:rPr/>
        <w:t xml:space="preserve"> para um jogador em um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O que muda nos arquivos</w:t>
      </w:r>
    </w:p>
    <w:p>
      <w:pPr>
        <w:pStyle w:val="Heading3"/>
        <w:bidi w:val="0"/>
        <w:jc w:val="left"/>
        <w:rPr/>
      </w:pPr>
      <w:r>
        <w:rPr/>
        <w:t>11.1 Lista de jogadores</w:t>
      </w:r>
    </w:p>
    <w:p>
      <w:pPr>
        <w:pStyle w:val="BodyText"/>
        <w:bidi w:val="0"/>
        <w:jc w:val="left"/>
        <w:rPr/>
      </w:pPr>
      <w:r>
        <w:rPr/>
        <w:t xml:space="preserve">Identidade única por jogador, com rating, contagem de partidas e indicador de "já atingiu 2200" </w:t>
      </w:r>
      <w:r>
        <w:rPr>
          <w:rStyle w:val="Strong"/>
        </w:rPr>
        <w:t>por modalidade</w:t>
      </w:r>
      <w:r>
        <w:rPr/>
        <w:t>. O cabeçalho atual de 12 colunas cresce.</w:t>
      </w:r>
    </w:p>
    <w:p>
      <w:pPr>
        <w:pStyle w:val="BodyText"/>
        <w:bidi w:val="0"/>
        <w:jc w:val="left"/>
        <w:rPr/>
      </w:pPr>
      <w:r>
        <w:rPr/>
        <w:t xml:space="preserve">A conversão a partir do formato atual é direta: a coluna </w:t>
      </w:r>
      <w:r>
        <w:rPr>
          <w:rStyle w:val="SourceText"/>
        </w:rPr>
        <w:t>Rtg_Nat</w:t>
      </w:r>
      <w:r>
        <w:rPr/>
        <w:t xml:space="preserve"> de hoje — que apesar do nome guarda o </w:t>
      </w:r>
      <w:r>
        <w:rPr>
          <w:rStyle w:val="Strong"/>
        </w:rPr>
        <w:t>rating FEXERJ</w:t>
      </w:r>
      <w:r>
        <w:rPr/>
        <w:t xml:space="preserve"> — vira o rating </w:t>
      </w:r>
      <w:r>
        <w:rPr>
          <w:rStyle w:val="Strong"/>
        </w:rPr>
        <w:t>STD</w:t>
      </w:r>
      <w:r>
        <w:rPr/>
        <w:t>; Rápido e Blitz começam vazios, o que dispara o transpasse (seção 1.1) no primeiro torneio de cada modalidade.</w:t>
      </w:r>
    </w:p>
    <w:p>
      <w:pPr>
        <w:pStyle w:val="BodyText"/>
        <w:bidi w:val="0"/>
        <w:jc w:val="left"/>
        <w:rPr/>
      </w:pPr>
      <w:r>
        <w:rPr/>
        <w:t xml:space="preserve">As colunas </w:t>
      </w:r>
      <w:r>
        <w:rPr>
          <w:rStyle w:val="SourceText"/>
        </w:rPr>
        <w:t>SumOpponRating</w:t>
      </w:r>
      <w:r>
        <w:rPr/>
        <w:t xml:space="preserve"> e </w:t>
      </w:r>
      <w:r>
        <w:rPr>
          <w:rStyle w:val="SourceText"/>
        </w:rPr>
        <w:t>TotalPoints</w:t>
      </w:r>
      <w:r>
        <w:rPr/>
        <w:t xml:space="preserve">, que hoje sustentam a regra de rating temporário, passam a servir apenas ao acúmulo de jogadores não-rated até as 5 partidas (seção 6.1). Ganha-se também a </w:t>
      </w:r>
      <w:r>
        <w:rPr>
          <w:rStyle w:val="Strong"/>
        </w:rPr>
        <w:t>data de início do acúmulo</w:t>
      </w:r>
      <w:r>
        <w:rPr/>
        <w:t>, necessária para a janela de 26 meses (seção 6.2).</w:t>
      </w:r>
    </w:p>
    <w:p>
      <w:pPr>
        <w:pStyle w:val="BodyText"/>
        <w:bidi w:val="0"/>
        <w:jc w:val="left"/>
        <w:rPr/>
      </w:pPr>
      <w:r>
        <w:rPr/>
        <w:t>Falta decidir se isso continua num arquivo só, ou se passa a ser um arquivo de trabalho mais uma lista publicada separada — pendência E, no início deste documento.</w:t>
      </w:r>
    </w:p>
    <w:p>
      <w:pPr>
        <w:pStyle w:val="Heading3"/>
        <w:bidi w:val="0"/>
        <w:jc w:val="left"/>
        <w:rPr/>
      </w:pPr>
      <w:r>
        <w:rPr/>
        <w:t>11.2 Lista de torneios</w:t>
      </w:r>
    </w:p>
    <w:p>
      <w:pPr>
        <w:pStyle w:val="BodyText"/>
        <w:bidi w:val="0"/>
        <w:jc w:val="left"/>
        <w:rPr/>
      </w:pPr>
      <w:r>
        <w:rPr/>
        <w:t xml:space="preserve">Ganha uma coluna de </w:t>
      </w:r>
      <w:r>
        <w:rPr>
          <w:rStyle w:val="Strong"/>
        </w:rPr>
        <w:t>modalidade</w:t>
      </w:r>
      <w:r>
        <w:rPr/>
        <w:t xml:space="preserve"> (STD/RPD/BLZ). A coluna </w:t>
      </w:r>
      <w:r>
        <w:rPr>
          <w:rStyle w:val="SourceText"/>
        </w:rPr>
        <w:t>Type</w:t>
      </w:r>
      <w:r>
        <w:rPr/>
        <w:t xml:space="preserve"> existente é </w:t>
      </w:r>
      <w:r>
        <w:rPr>
          <w:rStyle w:val="Strong"/>
        </w:rPr>
        <w:t>formato de disputa</w:t>
      </w:r>
      <w:r>
        <w:rPr/>
        <w:t xml:space="preserve"> (</w:t>
      </w:r>
      <w:r>
        <w:rPr>
          <w:rStyle w:val="SourceText"/>
        </w:rPr>
        <w:t>SS</w:t>
      </w:r>
      <w:r>
        <w:rPr/>
        <w:t xml:space="preserve">, </w:t>
      </w:r>
      <w:r>
        <w:rPr>
          <w:rStyle w:val="SourceText"/>
        </w:rPr>
        <w:t>RR</w:t>
      </w:r>
      <w:r>
        <w:rPr/>
        <w:t xml:space="preserve">, </w:t>
      </w:r>
      <w:r>
        <w:rPr>
          <w:rStyle w:val="SourceText"/>
        </w:rPr>
        <w:t>ST</w:t>
      </w:r>
      <w:r>
        <w:rPr/>
        <w:t>) e não ritmo de jogo — são coisas distintas.</w:t>
      </w:r>
    </w:p>
    <w:p>
      <w:pPr>
        <w:pStyle w:val="Heading3"/>
        <w:bidi w:val="0"/>
        <w:jc w:val="left"/>
        <w:rPr/>
      </w:pPr>
      <w:r>
        <w:rPr/>
        <w:t>11.3 Arquivo de auditoria</w:t>
      </w:r>
    </w:p>
    <w:p>
      <w:pPr>
        <w:pStyle w:val="BodyText"/>
        <w:bidi w:val="0"/>
        <w:jc w:val="left"/>
        <w:rPr/>
      </w:pPr>
      <w:r>
        <w:rPr/>
        <w:t xml:space="preserve">Precisa identificar a modalidade e passa a ter forma </w:t>
      </w:r>
      <w:r>
        <w:rPr>
          <w:rStyle w:val="Strong"/>
        </w:rPr>
        <w:t>por partida</w:t>
      </w:r>
      <w:r>
        <w:rPr/>
        <w:t>: as colunas atuais (</w:t>
      </w:r>
      <w:r>
        <w:rPr>
          <w:rStyle w:val="SourceText"/>
        </w:rPr>
        <w:t>Erm</w:t>
      </w:r>
      <w:r>
        <w:rPr/>
        <w:t xml:space="preserve">, </w:t>
      </w:r>
      <w:r>
        <w:rPr>
          <w:rStyle w:val="SourceText"/>
        </w:rPr>
        <w:t>Rm</w:t>
      </w:r>
      <w:r>
        <w:rPr/>
        <w:t xml:space="preserve">, </w:t>
      </w:r>
      <w:r>
        <w:rPr>
          <w:rStyle w:val="SourceText"/>
        </w:rPr>
        <w:t>Dif</w:t>
      </w:r>
      <w:r>
        <w:rPr/>
        <w:t xml:space="preserve">, </w:t>
      </w:r>
      <w:r>
        <w:rPr>
          <w:rStyle w:val="SourceText"/>
        </w:rPr>
        <w:t>Nwe</w:t>
      </w:r>
      <w:r>
        <w:rPr/>
        <w:t xml:space="preserve">, </w:t>
      </w:r>
      <w:r>
        <w:rPr>
          <w:rStyle w:val="SourceText"/>
        </w:rPr>
        <w:t>Dw</w:t>
      </w:r>
      <w:r>
        <w:rPr/>
        <w:t xml:space="preserve">, </w:t>
      </w:r>
      <w:r>
        <w:rPr>
          <w:rStyle w:val="SourceText"/>
        </w:rPr>
        <w:t>kDw</w:t>
      </w:r>
      <w:r>
        <w:rPr/>
        <w:t>) descrevem agregados de torneio que deixam de existir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O que deixa de existir</w:t>
      </w:r>
    </w:p>
    <w:tbl>
      <w:tblPr>
        <w:tblW w:w="8798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900"/>
        <w:gridCol w:w="3898"/>
      </w:tblGrid>
      <w:tr>
        <w:trPr>
          <w:tblHeader w:val="true"/>
        </w:trPr>
        <w:tc>
          <w:tcPr>
            <w:tcW w:w="49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Regra atual</w:t>
            </w:r>
          </w:p>
        </w:tc>
        <w:tc>
          <w:tcPr>
            <w:tcW w:w="389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Situação</w:t>
            </w:r>
          </w:p>
        </w:tc>
      </w:tr>
      <w:tr>
        <w:trPr/>
        <w:tc>
          <w:tcPr>
            <w:tcW w:w="49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RATING_PERFORMANCE</w:t>
            </w:r>
          </w:p>
        </w:tc>
        <w:tc>
          <w:tcPr>
            <w:tcW w:w="3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/>
        <w:tc>
          <w:tcPr>
            <w:tcW w:w="49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DOUBLE_K</w:t>
            </w:r>
          </w:p>
        </w:tc>
        <w:tc>
          <w:tcPr>
            <w:tcW w:w="3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/>
        <w:tc>
          <w:tcPr>
            <w:tcW w:w="49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TEMPORARY</w:t>
            </w:r>
            <w:r>
              <w:rPr/>
              <w:t xml:space="preserve"> (jogador com 1 a 14 partidas)</w:t>
            </w:r>
          </w:p>
        </w:tc>
        <w:tc>
          <w:tcPr>
            <w:tcW w:w="3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rating inicial da seção 6</w:t>
            </w:r>
          </w:p>
        </w:tc>
      </w:tr>
      <w:tr>
        <w:trPr/>
        <w:tc>
          <w:tcPr>
            <w:tcW w:w="49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Tabela de K por partidas na vida (30/25/15/10)</w:t>
            </w:r>
          </w:p>
        </w:tc>
        <w:tc>
          <w:tcPr>
            <w:tcW w:w="3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pela seção 5</w:t>
            </w:r>
          </w:p>
        </w:tc>
      </w:tr>
      <w:tr>
        <w:trPr/>
        <w:tc>
          <w:tcPr>
            <w:tcW w:w="49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Expectativa pela </w:t>
            </w:r>
            <w:r>
              <w:rPr>
                <w:rStyle w:val="Strong"/>
              </w:rPr>
              <w:t>média</w:t>
            </w:r>
            <w:r>
              <w:rPr/>
              <w:t xml:space="preserve"> dos adversários do torneio</w:t>
            </w:r>
          </w:p>
        </w:tc>
        <w:tc>
          <w:tcPr>
            <w:tcW w:w="3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cálculo por partida</w:t>
            </w:r>
          </w:p>
        </w:tc>
      </w:tr>
      <w:tr>
        <w:trPr/>
        <w:tc>
          <w:tcPr>
            <w:tcW w:w="49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Encadeamento torneio a torneio</w:t>
            </w:r>
          </w:p>
        </w:tc>
        <w:tc>
          <w:tcPr>
            <w:tcW w:w="389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período da seção 4</w:t>
            </w:r>
          </w:p>
        </w:tc>
      </w:tr>
      <w:tr>
        <w:trPr/>
        <w:tc>
          <w:tcPr>
            <w:tcW w:w="49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Piso de rating em 1 ponto</w:t>
            </w:r>
          </w:p>
        </w:tc>
        <w:tc>
          <w:tcPr>
            <w:tcW w:w="389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piso de 1200 (seção 7)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Decisões já tomadas</w:t>
      </w:r>
    </w:p>
    <w:p>
      <w:pPr>
        <w:pStyle w:val="BodyText"/>
        <w:bidi w:val="0"/>
        <w:jc w:val="left"/>
        <w:rPr/>
      </w:pPr>
      <w:r>
        <w:rPr/>
        <w:t xml:space="preserve">Registro das decisões que a FEXERJ já tomou e que este documento incorpora como regra vigente. Não confundir com a seção "Decisões pendentes", no início — aquela lista o que </w:t>
      </w:r>
      <w:r>
        <w:rPr>
          <w:rStyle w:val="Strong"/>
        </w:rPr>
        <w:t>ainda falta</w:t>
      </w:r>
      <w:r>
        <w:rPr/>
        <w:t xml:space="preserve"> responder; esta lista o que </w:t>
      </w:r>
      <w:r>
        <w:rPr>
          <w:rStyle w:val="Strong"/>
        </w:rPr>
        <w:t>já foi</w:t>
      </w:r>
      <w:r>
        <w:rPr/>
        <w:t xml:space="preserve"> respondido.</w:t>
      </w:r>
    </w:p>
    <w:tbl>
      <w:tblPr>
        <w:tblW w:w="9972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985"/>
        <w:gridCol w:w="6203"/>
        <w:gridCol w:w="784"/>
      </w:tblGrid>
      <w:tr>
        <w:trPr>
          <w:tblHeader w:val="true"/>
        </w:trPr>
        <w:tc>
          <w:tcPr>
            <w:tcW w:w="298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Decisão</w:t>
            </w:r>
          </w:p>
        </w:tc>
        <w:tc>
          <w:tcPr>
            <w:tcW w:w="62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Regra</w:t>
            </w:r>
          </w:p>
        </w:tc>
        <w:tc>
          <w:tcPr>
            <w:tcW w:w="7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Seção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Art. 68 vale para as três modalidades?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Sim. Só diverge da FIDE no teto 2400/2650, ignorado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 do jogador transposto entre modalidades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 modalidade nova — zero partidas, portanto K=40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Metade do K em torneio interno (Art. 68 §2º)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Abolida — os outros três mecanismos do período já protegiam o mesmo risco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de 700 (8.3.3)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Por período, não por torneio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5.1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K=10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Permanente — nunca volta a subir, nem com sub-18, nem com modalidade nova (indicador é por modalidade)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de nascimento ausente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Passa a ser dado obrigatório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5.2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Período de cálculo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Fixo, bimestral, lista publicada em meses ímpares — o bimestre inteiro roda numa execução só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4.1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Descarte do primeiro torneio zerado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"Evento" é o torneio, não o período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Janela de acúmulo do rating inicial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 meses corridos a partir do início do acúmulo (7.1.4)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</w:tr>
      <w:tr>
        <w:trPr/>
        <w:tc>
          <w:tcPr>
            <w:tcW w:w="298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Cair abaixo de 1200 durante o cálculo</w:t>
            </w:r>
          </w:p>
        </w:tc>
        <w:tc>
          <w:tcPr>
            <w:tcW w:w="62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Zera o rating, preserva a contagem de partidas</w:t>
            </w:r>
          </w:p>
        </w:tc>
        <w:tc>
          <w:tcPr>
            <w:tcW w:w="7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</w:tr>
    </w:tbl>
    <w:p>
      <w:pPr>
        <w:pStyle w:val="BodyText"/>
        <w:bidi w:val="0"/>
        <w:jc w:val="left"/>
        <w:rPr/>
      </w:pPr>
      <w:r>
        <w:rPr/>
        <w:t>Seis pontos continuam em aberto — ver "Decisões pendentes" no início do documento.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Aprovação</w:t>
      </w:r>
    </w:p>
    <w:p>
      <w:pPr>
        <w:pStyle w:val="BodyText"/>
        <w:bidi w:val="0"/>
        <w:jc w:val="left"/>
        <w:rPr/>
      </w:pPr>
      <w:r>
        <w:rPr/>
        <w:t>Ao assinar abaixo, a diretoria da FEXERJ declara que as regras descritas neste documento foram aprovadas e as pendências da seção "Decisões pendentes" (A a F) foram respondidas.</w:t>
      </w:r>
    </w:p>
    <w:tbl>
      <w:tblPr>
        <w:tblW w:w="1889" w:type="dxa"/>
        <w:jc w:val="left"/>
        <w:tblInd w:w="-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54"/>
        <w:gridCol w:w="735"/>
      </w:tblGrid>
      <w:tr>
        <w:trPr>
          <w:tblHeader w:val="true"/>
        </w:trPr>
        <w:tc>
          <w:tcPr>
            <w:tcW w:w="115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CECEC" w:val="clear"/>
              <w:bidi w:val="0"/>
              <w:jc w:val="left"/>
              <w:rPr/>
            </w:pPr>
            <w:r>
              <w:rPr/>
              <w:t>Campo</w:t>
            </w:r>
          </w:p>
        </w:tc>
        <w:tc>
          <w:tcPr>
            <w:tcW w:w="7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</w:t>
            </w:r>
          </w:p>
        </w:tc>
        <w:tc>
          <w:tcPr>
            <w:tcW w:w="7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Emphasis"/>
              </w:rPr>
              <w:t>___</w:t>
            </w:r>
            <w:r>
              <w:rPr/>
              <w:t>_</w:t>
            </w:r>
          </w:p>
        </w:tc>
      </w:tr>
      <w:tr>
        <w:trPr/>
        <w:tc>
          <w:tcPr>
            <w:tcW w:w="11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Nome</w:t>
            </w:r>
          </w:p>
        </w:tc>
        <w:tc>
          <w:tcPr>
            <w:tcW w:w="7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Emphasis"/>
              </w:rPr>
              <w:t>___</w:t>
            </w:r>
            <w:r>
              <w:rPr/>
              <w:t>_</w:t>
            </w:r>
          </w:p>
        </w:tc>
      </w:tr>
      <w:tr>
        <w:trPr/>
        <w:tc>
          <w:tcPr>
            <w:tcW w:w="115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Assinatura</w:t>
            </w:r>
          </w:p>
        </w:tc>
        <w:tc>
          <w:tcPr>
            <w:tcW w:w="7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Emphasis"/>
              </w:rPr>
              <w:t>___</w:t>
            </w:r>
            <w:r>
              <w:rPr/>
              <w:t>_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247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Georgia;Times New Roman;serif" w:hAnsi="Georgia;Times New Roman;serif" w:eastAsia="Georgia;Times New Roman;serif" w:cs="Georgia;Times New Roman;serif"/>
      <w:color w:val="1A1A1A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240" w:after="8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keepNext w:val="true"/>
      <w:pBdr>
        <w:bottom w:val="single" w:sz="8" w:space="3" w:color="999999"/>
      </w:pBdr>
      <w:spacing w:before="400" w:after="120"/>
      <w:ind w:left="400" w:right="400"/>
      <w:outlineLvl w:val="1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80" w:after="80"/>
      <w:ind w:left="280" w:right="280"/>
      <w:outlineLvl w:val="2"/>
    </w:pPr>
    <w:rPr>
      <w:rFonts w:ascii="Liberation Serif" w:hAnsi="Liberation Serif" w:eastAsia="Songti SC" w:cs="Arial Unicode MS"/>
      <w:b/>
      <w:bCs/>
      <w:sz w:val="23"/>
      <w:szCs w:val="23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keepLines/>
      <w:pBdr>
        <w:left w:val="single" w:sz="20" w:space="9" w:color="808080"/>
      </w:pBdr>
      <w:shd w:fill="F4F4F4" w:val="clear"/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20" w:space="11" w:color="666666"/>
      </w:pBdr>
      <w:spacing w:before="180" w:after="180"/>
      <w:ind w:hanging="0" w:left="180" w:right="180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CECEC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andbook.fide.com/chapter/B022024" TargetMode="External"/><Relationship Id="rId3" Type="http://schemas.openxmlformats.org/officeDocument/2006/relationships/hyperlink" Target="https://handbook.fide.com/chapter/B02RBRegulations2024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LibreOffice/24.8.4.2$MacOSX_X86_64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modelo-rating-fide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