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Anexo de Testes — Modelo de rating da FEXERJ</w:t>
      </w:r>
    </w:p>
    <w:p>
      <w:pPr>
        <w:pStyle w:val="BodyText"/>
        <w:bidi w:val="0"/>
        <w:jc w:val="left"/>
        <w:rPr/>
      </w:pPr>
      <w:r>
        <w:rPr>
          <w:rStyle w:val="Strong"/>
        </w:rPr>
        <w:t>Rascunho 2 — 30/09/2026.</w:t>
      </w:r>
      <w:r>
        <w:rPr/>
        <w:t xml:space="preserve"> Documento em revisão com a FEXERJ; não é versão final.</w:t>
      </w:r>
    </w:p>
    <w:p>
      <w:pPr>
        <w:pStyle w:val="BodyText"/>
        <w:bidi w:val="0"/>
        <w:jc w:val="left"/>
        <w:rPr/>
      </w:pPr>
      <w:r>
        <w:rPr/>
        <w:t xml:space="preserve">As conferências que sustentam os números do modelo. São registros </w:t>
      </w:r>
      <w:r>
        <w:rPr>
          <w:rStyle w:val="Strong"/>
        </w:rPr>
        <w:t>fechados, com data e escopo declarados</w:t>
      </w:r>
      <w:r>
        <w:rPr/>
        <w:t>: não deixam de ser verdade com o tempo, viram histórico. É a seção 3 que justifica ter mantido o teto de 700 do fator K.</w:t>
      </w:r>
    </w:p>
    <w:p>
      <w:pPr>
        <w:pStyle w:val="BodyText"/>
        <w:bidi w:val="0"/>
        <w:jc w:val="left"/>
        <w:rPr/>
      </w:pPr>
      <w:r>
        <w:rPr/>
        <w:t xml:space="preserve">As regras estão no </w:t>
      </w:r>
      <w:r>
        <w:rPr>
          <w:rStyle w:val="Strong"/>
        </w:rPr>
        <w:t>Anexo Normativo</w:t>
      </w:r>
      <w:r>
        <w:rPr/>
        <w:t xml:space="preserve">; a passagem do modelo antigo para este, no </w:t>
      </w:r>
      <w:r>
        <w:rPr>
          <w:rStyle w:val="Strong"/>
        </w:rPr>
        <w:t>Anexo de Transição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Os parâmetros contra a lista da federação</w:t>
      </w:r>
      <w:r>
        <w:rPr/>
        <w:t xml:space="preserve"> — os cinco números adaptados da FIDE conferidos contra a lista de agosto de 2026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Validação contra dado oficial da FIDE</w:t>
      </w:r>
      <w:r>
        <w:rPr/>
        <w:t xml:space="preserve"> — o cálculo por partida conferido contra uma consulta pública de cálculo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3. Simulação sobre um ciclo real</w:t>
      </w:r>
      <w:r>
        <w:rPr/>
        <w:t xml:space="preserve"> — o modelo rodado sobre os 35 torneios de 2026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Os parâmetros contra a lista da federação</w:t>
      </w:r>
    </w:p>
    <w:p>
      <w:pPr>
        <w:pStyle w:val="BodyText"/>
        <w:bidi w:val="0"/>
        <w:jc w:val="left"/>
        <w:rPr/>
      </w:pPr>
      <w:r>
        <w:rPr/>
        <w:t xml:space="preserve">A tabela de parâmetros (Anexo Normativo, seção 2) foi conferida contra a lista da federação de agosto de 2026 — </w:t>
      </w:r>
      <w:r>
        <w:rPr>
          <w:rStyle w:val="SourceText"/>
        </w:rPr>
        <w:t>FEX2608</w:t>
      </w:r>
      <w:r>
        <w:rPr/>
        <w:t xml:space="preserve">, </w:t>
      </w:r>
      <w:r>
        <w:rPr>
          <w:rStyle w:val="Strong"/>
        </w:rPr>
        <w:t>1.152 jogadores de 42 clubes, 868 deles com rating</w:t>
      </w:r>
      <w:r>
        <w:rPr/>
        <w:t xml:space="preserve"> (coluna </w:t>
      </w:r>
      <w:r>
        <w:rPr>
          <w:rStyle w:val="SourceText"/>
        </w:rPr>
        <w:t>Rtg_Nat</w:t>
      </w:r>
      <w:r>
        <w:rPr/>
        <w:t>). É uma lista de Clássico: Rápido e Blitz ainda não têm população.</w:t>
      </w:r>
    </w:p>
    <w:p>
      <w:pPr>
        <w:pStyle w:val="BodyText"/>
        <w:bidi w:val="0"/>
        <w:jc w:val="left"/>
        <w:rPr/>
      </w:pPr>
      <w:r>
        <w:rPr/>
        <w:t xml:space="preserve">Dos sete parâmetros, </w:t>
      </w:r>
      <w:r>
        <w:rPr>
          <w:rStyle w:val="Strong"/>
        </w:rPr>
        <w:t>cinco são adaptações numéricas, e as cinco são o mesmo movimento — o limiar da FIDE, 200 pontos abaixo</w:t>
      </w:r>
      <w:r>
        <w:rPr/>
        <w:t>. Esta seção pergunta se a população da federação sustenta esse deslocamento, e responde pelos 868 com rating: limiar de rating não se afere em quem não tem rating.</w:t>
      </w:r>
    </w:p>
    <w:p>
      <w:pPr>
        <w:pStyle w:val="BlockQuotation"/>
        <w:bidi w:val="0"/>
        <w:jc w:val="left"/>
        <w:rPr/>
      </w:pPr>
      <w:r>
        <w:rPr/>
        <w:t xml:space="preserve">A coluna FIDE é a do regulamento </w:t>
      </w:r>
      <w:r>
        <w:rPr>
          <w:rStyle w:val="Strong"/>
        </w:rPr>
        <w:t>de 2024</w:t>
      </w:r>
      <w:r>
        <w:rPr/>
        <w:t xml:space="preserve"> (B02, em vigor desde 01/03/2024), que é a base normativa declarada do modelo. Antes dela os números eram outros — o piso da FIDE era 1000, e os dois adversários fictícios não existiam. Comparar com o regulamento anterior daria conclusão diferente, e errada.</w:t>
      </w:r>
    </w:p>
    <w:p>
      <w:pPr>
        <w:pStyle w:val="Heading3"/>
        <w:bidi w:val="0"/>
        <w:jc w:val="left"/>
        <w:rPr/>
      </w:pPr>
      <w:r>
        <w:rPr/>
        <w:t>1.1 Como a lista se distribui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76"/>
        <w:gridCol w:w="3371"/>
        <w:gridCol w:w="2925"/>
      </w:tblGrid>
      <w:tr>
        <w:trPr>
          <w:cantSplit/>
          <w:tblHeader w:val="true"/>
        </w:trPr>
        <w:tc>
          <w:tcPr>
            <w:tcW w:w="367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Faixa de rating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Jogadores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% dos 868</w:t>
            </w:r>
          </w:p>
        </w:tc>
      </w:tr>
      <w:tr>
        <w:trPr>
          <w:cantSplit/>
        </w:trPr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abaixo de 1200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29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3,3%</w:t>
            </w:r>
          </w:p>
        </w:tc>
      </w:tr>
      <w:tr>
        <w:trPr>
          <w:cantSplit/>
        </w:trPr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1200 a 1399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116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13,4%</w:t>
            </w:r>
          </w:p>
        </w:tc>
      </w:tr>
      <w:tr>
        <w:trPr>
          <w:cantSplit/>
        </w:trPr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1400 a 1599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26,5%</w:t>
            </w:r>
          </w:p>
        </w:tc>
      </w:tr>
      <w:tr>
        <w:trPr>
          <w:cantSplit/>
        </w:trPr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1600 a 1799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224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25,8%</w:t>
            </w:r>
          </w:p>
        </w:tc>
      </w:tr>
      <w:tr>
        <w:trPr>
          <w:cantSplit/>
        </w:trPr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1800 a 1999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166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19,1%</w:t>
            </w:r>
          </w:p>
        </w:tc>
      </w:tr>
      <w:tr>
        <w:trPr>
          <w:cantSplit/>
        </w:trPr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2000 a 2199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74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8,5%</w:t>
            </w:r>
          </w:p>
        </w:tc>
      </w:tr>
      <w:tr>
        <w:trPr>
          <w:cantSplit/>
        </w:trPr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2200 ou mais</w:t>
            </w:r>
          </w:p>
        </w:tc>
        <w:tc>
          <w:tcPr>
            <w:tcW w:w="3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29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3,3%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Mediana </w:t>
      </w:r>
      <w:r>
        <w:rPr>
          <w:rStyle w:val="Strong"/>
        </w:rPr>
        <w:t>1656,5</w:t>
      </w:r>
      <w:r>
        <w:rPr/>
        <w:t xml:space="preserve"> — são 868 ratings, e os dois centrais são 1656 e 1657. Quartis em 1474 e 1860. Menor rating 921, maior 2496.</w:t>
      </w:r>
    </w:p>
    <w:p>
      <w:pPr>
        <w:pStyle w:val="Heading3"/>
        <w:bidi w:val="0"/>
        <w:jc w:val="left"/>
        <w:rPr/>
      </w:pPr>
      <w:r>
        <w:rPr/>
        <w:t>1.2 Parâmetro a parâmetro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96"/>
        <w:gridCol w:w="1242"/>
        <w:gridCol w:w="1609"/>
        <w:gridCol w:w="3825"/>
      </w:tblGrid>
      <w:tr>
        <w:trPr>
          <w:cantSplit/>
          <w:tblHeader w:val="true"/>
        </w:trPr>
        <w:tc>
          <w:tcPr>
            <w:tcW w:w="329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Parâmetro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FIDE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FEXERJ</w:t>
            </w:r>
          </w:p>
        </w:tc>
        <w:tc>
          <w:tcPr>
            <w:tcW w:w="382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Na lista de agosto de 2026</w:t>
            </w:r>
          </w:p>
        </w:tc>
      </w:tr>
      <w:tr>
        <w:trPr>
          <w:cantSplit/>
        </w:trPr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Rating dos adversários fictícios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1800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1600</w:t>
            </w:r>
          </w:p>
        </w:tc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1600 fica 56,5 pontos abaixo da mediana; 1800 ficaria 143,5 acima dela</w:t>
            </w:r>
          </w:p>
        </w:tc>
      </w:tr>
      <w:tr>
        <w:trPr>
          <w:cantSplit/>
        </w:trPr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Rating mínimo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1400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1200</w:t>
            </w:r>
          </w:p>
        </w:tc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abaixo de 1200 estão 29 jogadores (3,3%); abaixo de 1400, </w:t>
            </w:r>
            <w:r>
              <w:rPr>
                <w:rStyle w:val="Strong"/>
              </w:rPr>
              <w:t>145 (16,7%)</w:t>
            </w:r>
          </w:p>
        </w:tc>
      </w:tr>
      <w:tr>
        <w:trPr>
          <w:cantSplit/>
        </w:trPr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Rating inicial máximo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2200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2000</w:t>
            </w:r>
          </w:p>
        </w:tc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103 jogadores (11,9%) têm 2000 ou mais; 29 (3,3%) têm 2200 ou mais</w:t>
            </w:r>
          </w:p>
        </w:tc>
      </w:tr>
      <w:tr>
        <w:trPr>
          <w:cantSplit/>
        </w:trPr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Rating que fixa K=10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2400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2200</w:t>
            </w:r>
          </w:p>
        </w:tc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29 jogadores (3,3%) alcançam 2200; 2400 é alcançado por </w:t>
            </w:r>
            <w:r>
              <w:rPr>
                <w:rStyle w:val="Strong"/>
              </w:rPr>
              <w:t>1</w:t>
            </w:r>
          </w:p>
        </w:tc>
      </w:tr>
      <w:tr>
        <w:trPr>
          <w:cantSplit/>
        </w:trPr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Teto de rating para o K=40 de sub-18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2300</w:t>
            </w:r>
          </w:p>
        </w:tc>
        <w:tc>
          <w:tcPr>
            <w:tcW w:w="16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2100</w:t>
            </w:r>
          </w:p>
        </w:tc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dos </w:t>
            </w:r>
            <w:r>
              <w:rPr>
                <w:rStyle w:val="Strong"/>
              </w:rPr>
              <w:t>205 sub-18</w:t>
            </w:r>
            <w:r>
              <w:rPr/>
              <w:t xml:space="preserve"> com rating, </w:t>
            </w:r>
            <w:r>
              <w:rPr>
                <w:rStyle w:val="Strong"/>
              </w:rPr>
              <w:t>4</w:t>
            </w:r>
            <w:r>
              <w:rPr/>
              <w:t xml:space="preserve"> têm 2100 ou mais; </w:t>
            </w:r>
            <w:r>
              <w:rPr>
                <w:rStyle w:val="Strong"/>
              </w:rPr>
              <w:t>nenhum</w:t>
            </w:r>
            <w:r>
              <w:rPr/>
              <w:t xml:space="preserve"> tem 2300 ou mais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Os adversários fictícios são o parâmetro que mais mexe em rating</w:t>
      </w:r>
      <w:r>
        <w:rPr/>
        <w:t xml:space="preserve">, porque entram na conta do primeiro rating de todo estreante (Anexo Normativo, seção 6.3): dois empates contra um rating fixo puxam a estimativa na direção dele. Em 1800, esse ponto de atração seria mais forte que </w:t>
      </w:r>
      <w:r>
        <w:rPr>
          <w:rStyle w:val="Strong"/>
        </w:rPr>
        <w:t>599 dos 868</w:t>
      </w:r>
      <w:r>
        <w:rPr/>
        <w:t xml:space="preserve"> jogadores com rating — 7 de cada 10 —, e todo estreante seria puxado para um nível que quase não existe aqui. Em 1600 ele fica logo abaixo do meio da lista, a 56,5 pontos da mediana. </w:t>
      </w:r>
      <w:r>
        <w:rPr>
          <w:rStyle w:val="Strong"/>
        </w:rPr>
        <w:t>A lista sustenta 1600.</w:t>
      </w:r>
    </w:p>
    <w:p>
      <w:pPr>
        <w:pStyle w:val="BodyText"/>
        <w:bidi w:val="0"/>
        <w:jc w:val="left"/>
        <w:rPr/>
      </w:pPr>
      <w:r>
        <w:rPr>
          <w:rStyle w:val="Strong"/>
        </w:rPr>
        <w:t>O piso de 1400 da FIDE ficaria acima de um sexto da lista.</w:t>
      </w:r>
      <w:r>
        <w:rPr/>
        <w:t xml:space="preserve"> Abaixo de 1400 estão 145 jogadores; abaixo de 1200, 29. O piso é um alçapão (Anexo Normativo, seção 7): quem cai abaixo dele volta a não-rated e refaz as 5 partidas para ter rating de novo.</w:t>
      </w:r>
    </w:p>
    <w:p>
      <w:pPr>
        <w:pStyle w:val="BodyText"/>
        <w:bidi w:val="0"/>
        <w:jc w:val="left"/>
        <w:rPr/>
      </w:pPr>
      <w:r>
        <w:rPr>
          <w:rStyle w:val="Strong"/>
        </w:rPr>
        <w:t>Os três limiares do alto da lista.</w:t>
      </w:r>
      <w:r>
        <w:rPr/>
        <w:t xml:space="preserve"> O teto do rating inicial, na mesma seção 6.3, contém uma estimativa feita com 5 partidas: em 2000 ele já está acima de 88,1% da lista; em 2200, uma estimativa de cinco partidas poderia estrear acima de 96,7% dela. O K=10 em 2400 alcançaria </w:t>
      </w:r>
      <w:r>
        <w:rPr>
          <w:rStyle w:val="Strong"/>
        </w:rPr>
        <w:t>um único jogador</w:t>
      </w:r>
      <w:r>
        <w:rPr/>
        <w:t xml:space="preserve"> da federação, contra 29 em 2200 — seria letra morta. E o teto do K=40 de sub-18 só alcança quem é sub-18 — pela seção 5 do Anexo Normativo, até o fim do ano em que completa 18, o que na lista de 2026 são os nascidos em 2008 ou depois: </w:t>
      </w:r>
      <w:r>
        <w:rPr>
          <w:rStyle w:val="Strong"/>
        </w:rPr>
        <w:t>205</w:t>
      </w:r>
      <w:r>
        <w:rPr/>
        <w:t xml:space="preserve"> deles têm rating. O K=40 vale enquanto o rating está </w:t>
      </w:r>
      <w:r>
        <w:rPr>
          <w:rStyle w:val="Emphasis"/>
        </w:rPr>
        <w:t>abaixo</w:t>
      </w:r>
      <w:r>
        <w:rPr/>
        <w:t xml:space="preserve"> do teto, então quem está nele ou acima fica de fora. Com o teto em 2100 são </w:t>
      </w:r>
      <w:r>
        <w:rPr>
          <w:rStyle w:val="Strong"/>
        </w:rPr>
        <w:t>4</w:t>
      </w:r>
      <w:r>
        <w:rPr/>
        <w:t xml:space="preserve"> jovens; em 2300, </w:t>
      </w:r>
      <w:r>
        <w:rPr>
          <w:rStyle w:val="Strong"/>
        </w:rPr>
        <w:t>nenhum</w:t>
      </w:r>
      <w:r>
        <w:rPr/>
        <w:t xml:space="preserve"> — o maior rating sub-18 da lista é 2263, e o teto da FIDE não alcançaria ninguém.</w:t>
      </w:r>
    </w:p>
    <w:p>
      <w:pPr>
        <w:pStyle w:val="BodyText"/>
        <w:bidi w:val="0"/>
        <w:jc w:val="left"/>
        <w:rPr/>
      </w:pPr>
      <w:r>
        <w:rPr>
          <w:rStyle w:val="Strong"/>
        </w:rPr>
        <w:t>Os dois parâmetros não adaptados.</w:t>
      </w:r>
      <w:r>
        <w:rPr/>
        <w:t xml:space="preserve"> O teto de 400 pontos vale sempre porque a exceção da FIDE é para jogadores de 2650 ou mais, e o maior rating da lista é 2496 — ela não alcançaria ninguém. As 5 partidas mínimas não são limiar de rating, e esta lista não tem o que dizer sobre elas: quem as mede é a seção 3.</w:t>
      </w:r>
    </w:p>
    <w:p>
      <w:pPr>
        <w:pStyle w:val="Heading3"/>
        <w:bidi w:val="0"/>
        <w:jc w:val="left"/>
        <w:rPr/>
      </w:pPr>
      <w:r>
        <w:rPr/>
        <w:t>1.3 O que esta conferência não prova</w:t>
      </w:r>
    </w:p>
    <w:p>
      <w:pPr>
        <w:pStyle w:val="BodyText"/>
        <w:bidi w:val="0"/>
        <w:jc w:val="left"/>
        <w:rPr/>
      </w:pPr>
      <w:r>
        <w:rPr/>
        <w:t xml:space="preserve">Ela mede </w:t>
      </w:r>
      <w:r>
        <w:rPr>
          <w:rStyle w:val="Strong"/>
        </w:rPr>
        <w:t>onde está a população</w:t>
      </w:r>
      <w:r>
        <w:rPr/>
        <w:t>, não se um rating em particular está certo. Diz que cada limiar da FEXERJ cai onde há jogadores, e quanta gente o número da FIDE alcançaria em lugar dele. Três limites, declarados: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É Clássico.</w:t>
      </w:r>
      <w:r>
        <w:rPr/>
        <w:t xml:space="preserve"> Os parâmetros valem igualmente para as três modalidades (Anexo Normativo, seção 1), e Rápido e Blitz nascem na escala do Clássico, porque é dela que o transpasse (seção 1.1) tira o rating de entrada. Isso é previsão, não medida: quando as duas tiverem população própria, a conferência se refaz sobre elas.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É uma fotografia.</w:t>
      </w:r>
      <w:r>
        <w:rPr/>
        <w:t xml:space="preserve"> Os parâmetros foram escolhidos para a federação de 2026. Se o nível da lista se deslocar, a conferência se refaz — é a mesma conta, sobre a lista daquele momento.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Não é a lista da seção 3.</w:t>
      </w:r>
      <w:r>
        <w:rPr/>
        <w:t xml:space="preserve"> Aquela é o cadastro inteiro, 2.385 registros; esta é a lista de agosto, e 1.129 dos seus 1.152 jogadores estão lá. Os números das duas não se comparam linha a linha.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Validação contra dado oficial da FIDE</w:t>
      </w:r>
    </w:p>
    <w:p>
      <w:pPr>
        <w:pStyle w:val="BodyText"/>
        <w:bidi w:val="0"/>
        <w:jc w:val="left"/>
        <w:rPr/>
      </w:pPr>
      <w:r>
        <w:rPr/>
        <w:t xml:space="preserve">O cálculo da seção 3 do Anexo Normativo foi conferido contra uma consulta pública de cálculo da FIDE (lista de agosto de 2026, modalidade Clássico, um jogador com dois torneios no período). </w:t>
      </w:r>
      <w:r>
        <w:rPr>
          <w:rStyle w:val="Strong"/>
        </w:rPr>
        <w:t>As 13 partidas conferem individualmente</w:t>
      </w:r>
      <w:r>
        <w:rPr/>
        <w:t xml:space="preserve"> e a soma reproduz exatamente a variação publicada de 19,60.</w:t>
      </w:r>
    </w:p>
    <w:p>
      <w:pPr>
        <w:pStyle w:val="BodyText"/>
        <w:bidi w:val="0"/>
        <w:jc w:val="left"/>
        <w:rPr/>
      </w:pPr>
      <w:r>
        <w:rPr/>
        <w:t xml:space="preserve">A mesma conferência mostrou por que a tabela não pode ser trocada pela fórmula logística — </w:t>
      </w:r>
      <w:r>
        <w:rPr>
          <w:rStyle w:val="Strong"/>
        </w:rPr>
        <w:t>7 das 13 partidas divergem</w:t>
      </w:r>
      <w:r>
        <w:rPr/>
        <w:t>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5"/>
        <w:gridCol w:w="3117"/>
        <w:gridCol w:w="2686"/>
        <w:gridCol w:w="2894"/>
      </w:tblGrid>
      <w:tr>
        <w:trPr>
          <w:cantSplit/>
          <w:tblHeader w:val="true"/>
        </w:trPr>
        <w:tc>
          <w:tcPr>
            <w:tcW w:w="127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D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esperado pela fórmula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fórmula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tabela (FIDE)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0,9091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0,0909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0,08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367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0,8921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0,1079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0,10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0,5658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0,4342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0,44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No período, a fórmula daria 20,36 contra os 19,60 publicados — </w:t>
      </w:r>
      <w:r>
        <w:rPr>
          <w:rStyle w:val="Strong"/>
        </w:rPr>
        <w:t>0,76 ponto de diferença</w:t>
      </w:r>
      <w:r>
        <w:rPr/>
        <w:t xml:space="preserve"> para um jogador em um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Simulação sobre um ciclo real</w:t>
      </w:r>
    </w:p>
    <w:p>
      <w:pPr>
        <w:pStyle w:val="BodyText"/>
        <w:bidi w:val="0"/>
        <w:jc w:val="left"/>
        <w:rPr/>
      </w:pPr>
      <w:r>
        <w:rPr/>
        <w:t xml:space="preserve">O modelo foi rodado sobre o último ciclo completo da federação: </w:t>
      </w:r>
      <w:r>
        <w:rPr>
          <w:rStyle w:val="Strong"/>
        </w:rPr>
        <w:t>35 torneios entre 25/01 e 07/06/2026</w:t>
      </w:r>
      <w:r>
        <w:rPr/>
        <w:t>, todos de Clássico, com os 2.385 jogadores da lista e 480 deles disputando partidas. Serve para sair da discussão teórica e ver o efeito das regras sobre gente real.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Conferência de base.</w:t>
      </w:r>
      <w:r>
        <w:rPr/>
        <w:t xml:space="preserve"> O mesmo ciclo foi reprocessado pelo modelo atual e as </w:t>
      </w:r>
      <w:r>
        <w:rPr>
          <w:rStyle w:val="Strong"/>
        </w:rPr>
        <w:t>35 listas de rating saíram idênticas</w:t>
      </w:r>
      <w:r>
        <w:rPr/>
        <w:t xml:space="preserve"> às publicadas pela federação. Toda diferença apontada abaixo vem do modelo novo, não de uma leitura diferente dos arquivos.</w:t>
      </w:r>
    </w:p>
    <w:p>
      <w:pPr>
        <w:pStyle w:val="Heading3"/>
        <w:bidi w:val="0"/>
        <w:jc w:val="left"/>
        <w:rPr/>
      </w:pPr>
      <w:r>
        <w:rPr/>
        <w:t>3.1 Prontidão do cadastro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2"/>
        <w:gridCol w:w="3510"/>
      </w:tblGrid>
      <w:tr>
        <w:trPr>
          <w:cantSplit/>
          <w:tblHeader w:val="true"/>
        </w:trPr>
        <w:tc>
          <w:tcPr>
            <w:tcW w:w="646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Achado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Quantidade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ausente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296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Dessas, quantas mudam algum cálculo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ilegível (número de série do Excel)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</w:rPr>
              <w:t>Ord</w:t>
            </w:r>
            <w:r>
              <w:rPr/>
              <w:t xml:space="preserve"> de torneio duplicado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data de nascimento só muda o fator K de quem já tem 30 partidas ou mais, rating abaixo de 2100 e nunca atingiu 2200 (Anexo Normativo, seção 5). Nesse recorte cai </w:t>
      </w:r>
      <w:r>
        <w:rPr>
          <w:rStyle w:val="Strong"/>
        </w:rPr>
        <w:t>um</w:t>
      </w:r>
      <w:r>
        <w:rPr/>
        <w:t xml:space="preserve"> jogador — que é, justamente, um dos dois registros com data corrompida. </w:t>
      </w:r>
      <w:r>
        <w:rPr>
          <w:rStyle w:val="Strong"/>
        </w:rPr>
        <w:t>Duas células precisam ser corrigidas antes do primeiro ciclo oficial</w:t>
      </w:r>
      <w:r>
        <w:rPr/>
        <w:t>; o resto do cadastro pode ser completado sem pressa.</w:t>
      </w:r>
    </w:p>
    <w:p>
      <w:pPr>
        <w:pStyle w:val="Heading3"/>
        <w:bidi w:val="0"/>
        <w:jc w:val="left"/>
        <w:rPr/>
      </w:pPr>
      <w:r>
        <w:rPr/>
        <w:t>3.2 O teto de 700 nunca agiu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8"/>
        <w:gridCol w:w="1828"/>
        <w:gridCol w:w="2664"/>
        <w:gridCol w:w="1501"/>
        <w:gridCol w:w="2151"/>
      </w:tblGrid>
      <w:tr>
        <w:trPr>
          <w:cantSplit/>
          <w:tblHeader w:val="true"/>
        </w:trPr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Bimestre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Torneios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Partidas por jogador (mediana)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Máximo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Com 18+ partidas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jan-fev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11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mar-abr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mai-jun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25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As partidas contadas são as que entram no cálculo — as disputadas contra adversário com rating —, que são o </w:t>
      </w:r>
      <w:r>
        <w:rPr>
          <w:rStyle w:val="SourceText"/>
        </w:rPr>
        <w:t>n</w:t>
      </w:r>
      <w:r>
        <w:rPr/>
        <w:t xml:space="preserve"> do teto (Anexo Normativo, seção 5.1).</w:t>
      </w:r>
    </w:p>
    <w:p>
      <w:pPr>
        <w:pStyle w:val="BodyText"/>
        <w:bidi w:val="0"/>
        <w:jc w:val="left"/>
        <w:rPr/>
      </w:pPr>
      <w:r>
        <w:rPr/>
        <w:t xml:space="preserve">O teto começa a agir em 18 partidas sob K=40 e em 36 sob K=20. Os três jogadores que passaram de 18 partidas já estavam em K=20. </w:t>
      </w:r>
      <w:r>
        <w:rPr>
          <w:rStyle w:val="Strong"/>
        </w:rPr>
        <w:t>Nenhum K foi reduzido pelo teto.</w:t>
      </w:r>
    </w:p>
    <w:p>
      <w:pPr>
        <w:pStyle w:val="Heading3"/>
        <w:bidi w:val="0"/>
        <w:jc w:val="left"/>
        <w:rPr/>
      </w:pPr>
      <w:r>
        <w:rPr/>
        <w:t>3.3 Quanto o rating muda</w:t>
      </w:r>
    </w:p>
    <w:p>
      <w:pPr>
        <w:pStyle w:val="BodyText"/>
        <w:bidi w:val="0"/>
        <w:jc w:val="left"/>
        <w:rPr/>
      </w:pPr>
      <w:r>
        <w:rPr/>
        <w:t>347 jogadores terminam o semestre com rating nos dois modelos e podem ser comparados: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5"/>
        <w:gridCol w:w="3737"/>
        <w:gridCol w:w="1980"/>
      </w:tblGrid>
      <w:tr>
        <w:trPr>
          <w:cantSplit/>
          <w:tblHeader w:val="true"/>
        </w:trPr>
        <w:tc>
          <w:tcPr>
            <w:tcW w:w="425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Diferença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Jogadores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até 10 pontos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11 a 25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85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24%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26 a 50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54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51 a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acima de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6%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Mediana de </w:t>
      </w:r>
      <w:r>
        <w:rPr>
          <w:rStyle w:val="Strong"/>
        </w:rPr>
        <w:t>11 pontos</w:t>
      </w:r>
      <w:r>
        <w:rPr/>
        <w:t xml:space="preserve">. </w:t>
      </w:r>
      <w:r>
        <w:rPr>
          <w:rStyle w:val="Strong"/>
        </w:rPr>
        <w:t>Não há viés de direção</w:t>
      </w:r>
      <w:r>
        <w:rPr/>
        <w:t>: 172 sobem, 162 descem, 13 ficam iguais. As maiores mudanças concentram-se em rating baixo e recém-chegados, onde ficam as regras aposentadas (Anexo de Transição, seção 3).</w:t>
      </w:r>
    </w:p>
    <w:p>
      <w:pPr>
        <w:pStyle w:val="Heading3"/>
        <w:bidi w:val="0"/>
        <w:jc w:val="left"/>
        <w:rPr/>
      </w:pPr>
      <w:r>
        <w:rPr/>
        <w:t>3.4 O que o modelo novo faz e o atual não fazia</w:t>
      </w:r>
    </w:p>
    <w:p>
      <w:pPr>
        <w:pStyle w:val="BodyText"/>
        <w:bidi w:val="0"/>
        <w:jc w:val="left"/>
        <w:rPr/>
      </w:pPr>
      <w:r>
        <w:rPr/>
        <w:t xml:space="preserve">Dos </w:t>
      </w:r>
      <w:r>
        <w:rPr>
          <w:rStyle w:val="Strong"/>
        </w:rPr>
        <w:t>480</w:t>
      </w:r>
      <w:r>
        <w:rPr/>
        <w:t xml:space="preserve"> jogadores que disputaram partidas, </w:t>
      </w:r>
      <w:r>
        <w:rPr>
          <w:rStyle w:val="Strong"/>
        </w:rPr>
        <w:t>347</w:t>
      </w:r>
      <w:r>
        <w:rPr/>
        <w:t xml:space="preserve"> terminam o semestre com rating e </w:t>
      </w:r>
      <w:r>
        <w:rPr>
          <w:rStyle w:val="Strong"/>
        </w:rPr>
        <w:t>133</w:t>
      </w:r>
      <w:r>
        <w:rPr/>
        <w:t xml:space="preserve"> sem. </w:t>
      </w:r>
      <w:r>
        <w:rPr>
          <w:rStyle w:val="Strong"/>
        </w:rPr>
        <w:t>49</w:t>
      </w:r>
      <w:r>
        <w:rPr/>
        <w:t xml:space="preserve"> conquistaram o primeiro rating pela regra da seção 6 do Anexo Normativo.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62"/>
        <w:gridCol w:w="2181"/>
        <w:gridCol w:w="2528"/>
        <w:gridCol w:w="1901"/>
      </w:tblGrid>
      <w:tr>
        <w:trPr>
          <w:cantSplit/>
          <w:tblHeader w:val="true"/>
        </w:trPr>
        <w:tc>
          <w:tcPr>
            <w:tcW w:w="336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Como entraram no ciclo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Jogadores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Terminam com rating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Sem rating</w:t>
            </w:r>
          </w:p>
        </w:tc>
      </w:tr>
      <w:tr>
        <w:trPr>
          <w:cantSplit/>
        </w:trPr>
        <w:tc>
          <w:tcPr>
            <w:tcW w:w="33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Já com rating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301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298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</w:tr>
      <w:tr>
        <w:trPr>
          <w:cantSplit/>
        </w:trPr>
        <w:tc>
          <w:tcPr>
            <w:tcW w:w="33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Estreantes — sem rating e sem partidas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162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41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121</w:t>
            </w:r>
          </w:p>
        </w:tc>
      </w:tr>
      <w:tr>
        <w:trPr>
          <w:cantSplit/>
        </w:trPr>
        <w:tc>
          <w:tcPr>
            <w:tcW w:w="33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Sem rating, com partidas já acumuladas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17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8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9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Dos </w:t>
      </w:r>
      <w:r>
        <w:rPr>
          <w:rStyle w:val="Strong"/>
        </w:rPr>
        <w:t>121 estreantes que terminam sem rating</w:t>
      </w:r>
      <w:r>
        <w:rPr/>
        <w:t xml:space="preserve">, </w:t>
      </w:r>
      <w:r>
        <w:rPr>
          <w:rStyle w:val="Strong"/>
        </w:rPr>
        <w:t>37</w:t>
      </w:r>
      <w:r>
        <w:rPr/>
        <w:t xml:space="preserve"> têm partidas acumuladas rumo às 5 e </w:t>
      </w:r>
      <w:r>
        <w:rPr>
          <w:rStyle w:val="Strong"/>
        </w:rPr>
        <w:t>84 não têm nenhuma</w:t>
      </w:r>
      <w:r>
        <w:rPr/>
        <w:t xml:space="preserve">: o torneio que disputaram foi descartado, porque nele não pontuaram contra adversário com rating. </w:t>
      </w:r>
      <w:r>
        <w:rPr>
          <w:rStyle w:val="Strong"/>
        </w:rPr>
        <w:t>Todos os 84 disputaram um único torneio.</w:t>
      </w:r>
      <w:r>
        <w:rPr/>
        <w:t xml:space="preserve"> Os </w:t>
      </w:r>
      <w:r>
        <w:rPr>
          <w:rStyle w:val="Strong"/>
        </w:rPr>
        <w:t>3</w:t>
      </w:r>
      <w:r>
        <w:rPr/>
        <w:t xml:space="preserve"> que entraram com rating e terminam sem ele caíram abaixo do piso de 1200 (Anexo Normativo, seção 7).</w:t>
      </w:r>
    </w:p>
    <w:p>
      <w:pPr>
        <w:pStyle w:val="BodyText"/>
        <w:bidi w:val="0"/>
        <w:jc w:val="left"/>
        <w:rPr/>
      </w:pPr>
      <w:r>
        <w:rPr/>
        <w:t xml:space="preserve">O descarte da seção 6.1 do Anexo Normativo foi acionado </w:t>
      </w:r>
      <w:r>
        <w:rPr>
          <w:rStyle w:val="Strong"/>
        </w:rPr>
        <w:t>71 vezes, sobre 68 jogadores</w:t>
      </w:r>
      <w:r>
        <w:rPr/>
        <w:t>. Este é o número com as duas decisões da FEXERJ de 20/08/2026 — descartam-se tantos torneios quantos forem os zerados, e "zerar" é não pontuar contra adversário com rating. No rascunho 1, sob as leituras anteriores — um único descarte, e "zerar" como não pontuar de forma alguma —, eram 23. É a mudança de maior alcance desta rodada de revisão.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Os 71 descartes cabem em 68 jogadores porque um deles teve quatro</w:t>
      </w:r>
      <w:r>
        <w:rPr/>
        <w:t xml:space="preserve">, e esse caso merece registro. O jogador entrou no ciclo com rating no piso, caiu abaixo dele no primeiro bimestre e, refazendo o rating como estreante, disputou </w:t>
      </w:r>
      <w:r>
        <w:rPr>
          <w:rStyle w:val="Strong"/>
        </w:rPr>
        <w:t>quatro torneios sem pontuar contra adversário com rating</w:t>
      </w:r>
      <w:r>
        <w:rPr/>
        <w:t xml:space="preserve"> — os quatro descartados. Termina o semestre sem rating e sem nada acumulado rumo às 5 partidas, embora a contagem de partidas disputadas esteja preservada (Anexo Normativo, seção 7). É a regra como está escrita: o piso devolve a proteção do descarte, e ela vale enquanto o jogador não pontuar contra adversário com rating. </w:t>
      </w:r>
      <w:r>
        <w:rPr>
          <w:rStyle w:val="Strong"/>
        </w:rPr>
        <w:t>Entre os estreantes isso não aconteceu</w:t>
      </w:r>
      <w:r>
        <w:rPr/>
        <w:t xml:space="preserve"> — nenhum dos 84 disputou mais de um torneio. Aparece em quem refaz o rating.</w:t>
      </w:r>
    </w:p>
    <w:p>
      <w:pPr>
        <w:pStyle w:val="BodyText"/>
        <w:bidi w:val="0"/>
        <w:jc w:val="left"/>
        <w:rPr/>
      </w:pPr>
      <w:r>
        <w:rPr/>
        <w:t xml:space="preserve">Na conversão, </w:t>
      </w:r>
      <w:r>
        <w:rPr>
          <w:rStyle w:val="Strong"/>
        </w:rPr>
        <w:t>1.361</w:t>
      </w:r>
      <w:r>
        <w:rPr/>
        <w:t xml:space="preserve"> jogadores entram com rating, dos quais </w:t>
      </w:r>
      <w:r>
        <w:rPr>
          <w:rStyle w:val="Strong"/>
        </w:rPr>
        <w:t>60 no piso de 1200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 que esta simulação não aplica.</w:t>
      </w:r>
      <w:r>
        <w:rPr/>
        <w:t xml:space="preserve"> A conversão aqui não aproveita as partidas antigas de nenhum jogador zerado. Pela regra decidida em 30/09/2026 (Anexo de Transição, seção 1.1), as dos jogadores ativos valem — e saber quem estava ativo exige a lista publicada 2 anos antes, que não fazia parte dos dados. Com as partidas de todos os federados zerados aproveitadas, seriam </w:t>
      </w:r>
      <w:r>
        <w:rPr>
          <w:rStyle w:val="Strong"/>
        </w:rPr>
        <w:t>58 estreias em vez de 49</w:t>
      </w:r>
      <w:r>
        <w:rPr/>
        <w:t>, e 25 ratings finais mudariam; pela regra, o número real fica entre os dois.</w:t>
      </w:r>
    </w:p>
    <w:p>
      <w:pPr>
        <w:pStyle w:val="Heading3"/>
        <w:bidi w:val="0"/>
        <w:jc w:val="left"/>
        <w:rPr/>
      </w:pPr>
      <w:r>
        <w:rPr/>
        <w:t>3.5 Por que o bimestre roda de uma vez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Rodar os seis meses como </w:t>
      </w:r>
      <w:r>
        <w:rPr>
          <w:rStyle w:val="Strong"/>
        </w:rPr>
        <w:t>um período único</w:t>
      </w:r>
      <w:r>
        <w:rPr/>
        <w:t xml:space="preserve">, em vez de três bimestres, muda o rating final de </w:t>
      </w:r>
      <w:r>
        <w:rPr>
          <w:rStyle w:val="Strong"/>
        </w:rPr>
        <w:t>181 jogadores</w:t>
      </w:r>
      <w:r>
        <w:rPr/>
        <w:t xml:space="preserve">, com diferença de até </w:t>
      </w:r>
      <w:r>
        <w:rPr>
          <w:rStyle w:val="Strong"/>
        </w:rPr>
        <w:t>52 pontos</w:t>
      </w:r>
      <w:r>
        <w:rPr/>
        <w:t xml:space="preserve"> — e, em dois deles, a diferença é entre ter e não ter rating. Nenhum dos dois está errado — são períodos diferentes. É a razão de o recorte precisar ser fixo e combinado de antemão (Anexo Normativo, seção 4.1).</w:t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anexo-testes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