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Case Trainee Quant — Estratégia de Momentum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 método em uma página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Ações que mais subiram nos últimos meses tendem a continuar performando melhor. Usaremos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momentum 12-1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retorno acumulado dos últimos 12 meses, descartando o mês mais recente para evitar o efeito de reversão de curto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2"/>
          <w:szCs w:val="22"/>
          <w:rtl w:val="0"/>
        </w:rPr>
        <w:t xml:space="preserve">MOM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2"/>
          <w:szCs w:val="22"/>
          <w:vertAlign w:val="subscript"/>
          <w:rtl w:val="0"/>
        </w:rPr>
        <w:t xml:space="preserve">i,t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2"/>
          <w:szCs w:val="22"/>
          <w:rtl w:val="0"/>
        </w:rPr>
        <w:t xml:space="preserve"> = P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2"/>
          <w:szCs w:val="22"/>
          <w:vertAlign w:val="subscript"/>
          <w:rtl w:val="0"/>
        </w:rPr>
        <w:t xml:space="preserve">i,t−1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2"/>
          <w:szCs w:val="22"/>
          <w:rtl w:val="0"/>
        </w:rPr>
        <w:t xml:space="preserve"> / P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2"/>
          <w:szCs w:val="22"/>
          <w:vertAlign w:val="subscript"/>
          <w:rtl w:val="0"/>
        </w:rPr>
        <w:t xml:space="preserve">i,t−12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22"/>
          <w:szCs w:val="22"/>
          <w:rtl w:val="0"/>
        </w:rPr>
        <w:t xml:space="preserve"> − 1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Monte uma carteira long-only que, todo mês, compra as 5 ações com maior momentum 12-1 de um universo fixo de 20 ações da B3, e compare com o Ibovespa.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Universo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PETR4, VALE3, ITUB4, BBDC4, BBAS3, ABEV3, WEGE3, B3SA3, RENT3, SUZB3, GGBR4, EMBR3, EQTL3, RADL3, LREN3, PRIO3, VIVT3, CMIG4, SBSP3, TOTS3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1"/>
                <w:szCs w:val="21"/>
                <w:rtl w:val="0"/>
              </w:rPr>
              <w:t xml:space="preserve">yfinance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, preços ajustados, 2016 a 2025, frequência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Carteira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Top 5 do ranking, pesos iguais, rebalanceamento mensal, sem custos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Ibovespa (^BVSP)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left"/>
        <w:rPr/>
      </w:pPr>
      <w:bookmarkStart w:colFirst="0" w:colLast="0" w:name="_tt6vps91cqvb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Baixar os dados, mensalizar e calcular o sinal 12-1, sem look-ahead (explicar como foi garantido).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Montar a carteira e calcular retorno anualizado, volatilidade, Sharpe e máximo drawdown, para ela e para o Ibovespa.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Plotar a curva de capital acumulado (base 100) contra o Ibovespa.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estratégia bateu o Ibovespa ajustado ao risco? Em que períodos falhou?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viés o universo escolhido hoje introduz no resultado?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 pular o último mês na formação do sinal?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Notebook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.ipynb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que rode do início ao fim, com as métricas, o gráfico e as respostas às perguntas.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247" w:right="124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mbria Math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