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Manual de usuário Simples GRC Aurora</w:t>
      </w:r>
    </w:p>
    <w:p>
      <w:r>
        <w:t>Versão final consolidada com histórico do teste • 8 de outubro de 2026</w:t>
      </w:r>
    </w:p>
    <w:p>
      <w:r>
        <w:t>Este manual acompanha o portal consolidado Aurora com respostas e evidências fictícias, incluindo o teste humano registrado no backup enviado. A jornada é Avaliador → Revisor IA opcional → Aprovador. O fluxo humano e o backup foram verificados; a IA externa ainda depende de conexão, autorização e credencial reais. A prévia não é nota oficial ou aprovação pela CGU.</w:t>
      </w:r>
    </w:p>
    <w:p>
      <w:r>
        <w:t>A inclusão de políticas e diretrizes foi positiva: aproxima o diagnóstico da execução. Os modelos são acessíveis no Trabalho transversal e os preços ficam em Ferramentas. Um modelo aprovado ainda precisa ser aplicado e acompanhado para comprovar um controle.</w:t>
      </w:r>
    </w:p>
    <w:p>
      <w:r>
        <w:t>Conteúdo: 1 Acesso e jornada; 2 Respostas; 3 Evidências; 4 Claude e revisão; 5 Compliance cruzada; 6 Riscos e PMO; 7 Políticas e diretrizes; 8 Privacidade e operação; 9 Testes e solução de problemas; 10 Pacotes; 11 Custos operacionais. 12 Comparação com a VComply e análise SWOT. 13 Diagnóstico do portal e faixas comerciais.</w:t>
      </w:r>
    </w:p>
    <w:p>
      <w:r>
        <w:t>Catálogo: 108 campos de Perfil, 223 perguntas de Conformidade, 80 itens do Pacto e 51 requisitos ISO. As 10 Essenciais são um subconjunto do Pacto; não somam perguntas ou pontos. Pró-Ética mostra as 223 perguntas numa única etapa. O Perfil é comum às jornadas. O Pacto usa texto sintético e a ISO utiliza mapeamento interno.</w:t>
      </w:r>
    </w:p>
    <w:p>
      <w:pPr>
        <w:spacing w:before="0" w:after="0" w:line="20" w:lineRule="exact"/>
      </w:pPr>
      <w:r>
        <w:rPr>
          <w:sz w:val="2"/>
        </w:rPr>
        <w:br w:type="page"/>
      </w:r>
    </w:p>
    <w:p>
      <w:pPr>
        <w:pStyle w:val="Heading1"/>
      </w:pPr>
      <w:r>
        <w:t>1 Acesso e jornada</w:t>
      </w:r>
    </w:p>
    <w:p>
      <w:pPr>
        <w:pStyle w:val="Heading2"/>
      </w:pPr>
      <w:r>
        <w:t>Abrir o portal</w:t>
      </w:r>
    </w:p>
    <w:p>
      <w:r>
        <w:t>Descompacte o pacote e abra index.html. Mantenha o PDF de referência na mesma pasta do HTML. O arquivo HTML avulso também abre, mas a referência externa precisa estar ao lado dele. A cópia é local e não cria conta SaaS nem configura pagamentos.</w:t>
      </w:r>
    </w:p>
    <w:p>
      <w:pPr>
        <w:pStyle w:val="Heading2"/>
      </w:pPr>
      <w:r>
        <w:t>Configurar a empresa</w:t>
      </w:r>
    </w:p>
    <w:p>
      <w:r>
        <w:t>Aurora abre com o estado do backup recebido: 382 respostas de Perfil, Conformidade e ISO, 80 respostas do Pacto, 478 documentos cadastrados e 462 itens com vínculos. Desses documentos, 462 são as evidências fictícias originais; 16 são cadastros adicionais do teste, preservados sem deduplicação automática. O IP3 conserva a decisão de devolução. Para iniciar sua empresa, exporte o que deseja preservar e apague a demonstração.</w:t>
      </w:r>
    </w:p>
    <w:p>
      <w:pPr>
        <w:pStyle w:val="Heading2"/>
      </w:pPr>
      <w:r>
        <w:t>Seguir a sequência</w:t>
      </w:r>
    </w:p>
    <w:p>
      <w:r>
        <w:t>Use Perfil como base comum e avance por Pacto Essencial, Pacto Completo, Pró-Ética e ISO. Respostas e documentos correlatos podem ser reaproveitados, com confirmação de pertinência. Abra Compliance cruzada antes de Matriz de risco e PMO. O menu permite entrar diretamente em cada etapa.</w:t>
      </w:r>
    </w:p>
    <w:p>
      <w:pPr>
        <w:pStyle w:val="Heading2"/>
      </w:pPr>
      <w:r>
        <w:t>Papéis e descoberta</w:t>
      </w:r>
    </w:p>
    <w:p>
      <w:r>
        <w:t>Avaliador responde e vincula provas. Revisor IA produz um pré-parecer mediante conexão autorizada. Aprovador toma a decisão humana. Os seletores não são autenticação. Trabalho transversal reúne políticas, evidências, compliance cruzada, riscos, PMO e aprovações; preços ficam em Ferramentas.</w:t>
      </w:r>
    </w:p>
    <w:p>
      <w:pPr>
        <w:spacing w:before="0" w:after="0" w:line="20" w:lineRule="exact"/>
      </w:pPr>
      <w:r>
        <w:rPr>
          <w:sz w:val="2"/>
        </w:rPr>
        <w:br w:type="page"/>
      </w:r>
    </w:p>
    <w:p>
      <w:pPr>
        <w:pStyle w:val="Heading1"/>
      </w:pPr>
      <w:r>
        <w:t>2 Responder à autoavaliação</w:t>
      </w:r>
    </w:p>
    <w:p>
      <w:pPr>
        <w:pStyle w:val="Heading2"/>
      </w:pPr>
      <w:r>
        <w:t>Localizar uma pergunta</w:t>
      </w:r>
    </w:p>
    <w:p>
      <w:r>
        <w:t>Em cada item, siga a ordem visível: 1 Sua avaliação; 2 Documento exigido ou dispensado e documento sugerido; 3 Revisão por IA opcional; 4 Validação humana. A referência CGU fica junto à pergunta. Resposta, documentos e botões ficam expostos; apenas informações técnicas e reaproveitamento ficam recolhidos.</w:t>
      </w:r>
    </w:p>
    <w:p>
      <w:pPr>
        <w:pStyle w:val="Heading2"/>
      </w:pPr>
      <w:r>
        <w:t>Registrar a resposta</w:t>
      </w:r>
    </w:p>
    <w:p>
      <w:r>
        <w:t>Selecione Sim somente quando a prática existir no escopo e período avaliados. No texto, descreva quem executa, frequência, procedimento e registros disponíveis. Para Parcial, explicite o que falta. Para Não, registre a lacuna. Não se aplica exige justificativa compatível com a pergunta e a edição oficial.</w:t>
      </w:r>
    </w:p>
    <w:p>
      <w:pPr>
        <w:pStyle w:val="Heading2"/>
      </w:pPr>
      <w:r>
        <w:t>Exemplo de redação</w:t>
      </w:r>
    </w:p>
    <w:p>
      <w:r>
        <w:t>“A diretoria aprovou a política em 15/09/2026. O responsável por integridade acompanha sua aplicação mensalmente. A evidência é a política versão 2, seção 3, e o registro de treinamento do período. Falta comprovar ciência de dois empregados.” Este texto é um exemplo de forma, não uma declaração da sua empresa.</w:t>
      </w:r>
    </w:p>
    <w:p>
      <w:pPr>
        <w:pStyle w:val="Heading2"/>
      </w:pPr>
      <w:r>
        <w:t>Interpretar o progresso</w:t>
      </w:r>
    </w:p>
    <w:p>
      <w:r>
        <w:t>Preenchimento mostra declarações, não eficácia. A Visão geral separa Prévia pelas respostas e Pontos com aprovação humana. A prévia soma pesos nominais dos itens Sim não devolvidos; pode existir mesmo sem prova. Os pontos aprovados exigem decisão APROVADO e os requisitos formais de evidência. Aurora inicia sem aprovações.</w:t>
      </w:r>
    </w:p>
    <w:p>
      <w:pPr>
        <w:pStyle w:val="Heading2"/>
      </w:pPr>
      <w:r>
        <w:t>Prévia e revalidação</w:t>
      </w:r>
    </w:p>
    <w:p>
      <w:r>
        <w:t>A referência do Pró-Ética 2025–2026 é cumulativa: pelo menos 70 de 100 pontos e 45% do máximo de cada área, além da admissibilidade. A tabela do painel mostra cada área e sua distância do mínimo. A estimativa não concede pontos automáticos a Parcial nem redistribui Não se aplica. Aplicabilidade, pontuação parcial e resultado oficial dependem das regras e da avaliação oficial. Mudanças materiais exigem nova revisão.</w:t>
      </w:r>
    </w:p>
    <w:p>
      <w:pPr>
        <w:spacing w:before="0" w:after="0" w:line="20" w:lineRule="exact"/>
      </w:pPr>
      <w:r>
        <w:rPr>
          <w:sz w:val="2"/>
        </w:rPr>
        <w:br w:type="page"/>
      </w:r>
    </w:p>
    <w:p>
      <w:pPr>
        <w:pStyle w:val="Heading1"/>
      </w:pPr>
      <w:r>
        <w:t>3 Anexar e reutilizar evidências</w:t>
      </w:r>
    </w:p>
    <w:p>
      <w:pPr>
        <w:pStyle w:val="Heading2"/>
      </w:pPr>
      <w:r>
        <w:t>Cadastrar o documento</w:t>
      </w:r>
    </w:p>
    <w:p>
      <w:r>
        <w:t>Quando o item exigir evidência, selecione o arquivo em Anexar documento e salve o vínculo à resposta. Cadastrar apenas nome ou link não substitui o arquivo. Na demonstração, os 462 TXT de Aurora já estão vinculados; Abrir TXT baixa a prova fictícia. Conserve os documentos reais sob guarda da empresa, pois o HTML não mantém os arquivos físicos em armazenamento central.</w:t>
      </w:r>
    </w:p>
    <w:p>
      <w:pPr>
        <w:pStyle w:val="Heading2"/>
      </w:pPr>
      <w:r>
        <w:t>Vincular à resposta</w:t>
      </w:r>
    </w:p>
    <w:p>
      <w:r>
        <w:t>Link externo, página, seção e trecho são opcionais. Deixar esses campos vazios não impede vincular a evidência, solicitar análise por IA ou registrar validação humana. Sem localizador, o documento inteiro é a referência. Um arquivo pode apoiar vários itens, desde que seu conteúdo seja pertinente a cada um. Quando não houver exigência de evidência, a ausência de anexo não deve bloquear o item.</w:t>
      </w:r>
    </w:p>
    <w:p>
      <w:pPr>
        <w:pStyle w:val="Heading2"/>
      </w:pPr>
      <w:r>
        <w:t>Preparar o texto para a IA</w:t>
      </w:r>
    </w:p>
    <w:p>
      <w:r>
        <w:t>A IA precisa de texto legível para analisar o conteúdo, mesmo com arquivo anexado. Confira a extração automática; se o PDF não produzir texto legível, use uma versão pesquisável, TXT ou DOCX, ou cole o conteúdo pertinente. PDFs escaneados podem demandar OCR. Não é obrigatório preencher o campo Trecho; ausência de conteúdo legível exige Não verificável, nunca aprovação presumida.</w:t>
      </w:r>
    </w:p>
    <w:p>
      <w:pPr>
        <w:pStyle w:val="Heading2"/>
      </w:pPr>
      <w:r>
        <w:t>Saber o que é guardado</w:t>
      </w:r>
    </w:p>
    <w:p>
      <w:r>
        <w:t>Metadados, respostas, vínculos e decisões podem ficar no navegador. Texto extraído de documentos reais e trechos são excluídos da gravação e do backup. Os TXT fictícios de Aurora estão incorporados ao HTML para teste e podem ser recarregados: essa exceção é exclusiva da demonstração. Não incorpore documentos reais ao código do portal.</w:t>
      </w:r>
    </w:p>
    <w:p>
      <w:pPr>
        <w:pStyle w:val="Heading2"/>
      </w:pPr>
      <w:r>
        <w:t>Reaproveitar com controle</w:t>
      </w:r>
    </w:p>
    <w:p>
      <w:r>
        <w:t>Anexar o arquivo permite iniciar a revisão, mas não comprova automaticamente a resposta. O validador confere pertinência, empresa, escopo, período, vigência e suficiência. Data e versão no cadastro são auxiliares; datas, validade e demais critérios exigidos pelo próprio item continuam sujeitos à análise do documento. Hash identifica consistência dos bytes, não autenticidade ou eficácia.</w:t>
      </w:r>
    </w:p>
    <w:p>
      <w:pPr>
        <w:spacing w:before="0" w:after="0" w:line="20" w:lineRule="exact"/>
      </w:pPr>
      <w:r>
        <w:rPr>
          <w:sz w:val="2"/>
        </w:rPr>
        <w:br w:type="page"/>
      </w:r>
    </w:p>
    <w:p>
      <w:pPr>
        <w:pStyle w:val="Heading1"/>
      </w:pPr>
      <w:r>
        <w:t>4 Revisão por IA e aprovação</w:t>
      </w:r>
    </w:p>
    <w:p>
      <w:pPr>
        <w:pStyle w:val="Heading2"/>
      </w:pPr>
      <w:r>
        <w:t>Conectar Claude</w:t>
      </w:r>
    </w:p>
    <w:p>
      <w:r>
        <w:t>Clique em Revisor IA e escolha a conexão. Claude API exige chave própria; Proxy exige o endpoint do servidor da organização. Claude nesta interface depende de integração efetivamente disponível e não é garantido ao abrir o HTML no navegador. Use Testar conexão: salvar a configuração não comprova acesso ao serviço.</w:t>
      </w:r>
    </w:p>
    <w:p>
      <w:pPr>
        <w:pStyle w:val="Heading2"/>
      </w:pPr>
      <w:r>
        <w:t>API direta e proxy</w:t>
      </w:r>
    </w:p>
    <w:p>
      <w:r>
        <w:t>A API direta exige chave própria e saldo da API; uma assinatura de chat não demonstra crédito de API. A integração de interface só funciona quando o ambiente expõe o recurso correspondente. Para clientes, use proxy configurado com chave no servidor. Este HTML não fornece o servidor, o login ou o isolamento de empresas.</w:t>
      </w:r>
    </w:p>
    <w:p>
      <w:pPr>
        <w:pStyle w:val="Heading2"/>
      </w:pPr>
      <w:r>
        <w:t>Executar a análise</w:t>
      </w:r>
    </w:p>
    <w:p>
      <w:r>
        <w:t>Anexe a prova quando exigida. Link, página, seção e trecho são opcionais. Para analisar evidências, autorize Enviar texto extraído e confira se o conteúdo está disponível; o backup não conserva o texto real. Configure e teste a conexão antes de Validar com IA. Se faltar acesso, siga para validação humana ou Conferir por regras. Nenhum resultado do motor de regras é uma análise externa de IA.</w:t>
      </w:r>
    </w:p>
    <w:p>
      <w:pPr>
        <w:pStyle w:val="Heading2"/>
      </w:pPr>
      <w:r>
        <w:t>Interpretar o resultado</w:t>
      </w:r>
    </w:p>
    <w:p>
      <w:r>
        <w:t>Suficiente é uma sugestão para revisão. Parcial indica suporte incompleto; Insuficiente aponta ausência de suporte; Não verificável significa que o material não permite concluir. A citação deve existir literalmente no documento. O pré-parecer não altera sozinho a resposta nem constitui decisão humana.</w:t>
      </w:r>
    </w:p>
    <w:p>
      <w:pPr>
        <w:pStyle w:val="Heading2"/>
      </w:pPr>
      <w:r>
        <w:t>Fechar a revisão</w:t>
      </w:r>
    </w:p>
    <w:p>
      <w:r>
        <w:t>Clique em Abrir validação humana ou selecione Aprovador. Leia a resposta e o documento e registre justificativa antes de validar ou devolver. Pode decidir sem IA, inclusive no Pacto. A aprovação exige resposta e arquivo quando a evidência for obrigatória; link, página, seção e trecho não bloqueiam. O validador deve ser diferente do respondente e conferir o conteúdo. Nenhuma decisão é criada automaticamente.</w:t>
      </w:r>
    </w:p>
    <w:p>
      <w:pPr>
        <w:spacing w:before="0" w:after="0" w:line="20" w:lineRule="exact"/>
      </w:pPr>
      <w:r>
        <w:rPr>
          <w:sz w:val="2"/>
        </w:rPr>
        <w:br w:type="page"/>
      </w:r>
    </w:p>
    <w:p>
      <w:pPr>
        <w:pStyle w:val="Heading1"/>
      </w:pPr>
      <w:r>
        <w:t>5 Compliance cruzada</w:t>
      </w:r>
    </w:p>
    <w:p>
      <w:pPr>
        <w:pStyle w:val="Heading2"/>
      </w:pPr>
      <w:r>
        <w:t>Usar a matriz</w:t>
      </w:r>
    </w:p>
    <w:p>
      <w:r>
        <w:t>Abra Compliance cruzada para examinar relações de Perfil, Conformidade e ISO e alertas de dependência. A finalidade é localizar sobreposições, incoerências e documentos reutilizáveis. Não transforma uma resposta CGU em atendimento comprovado a uma norma ISO.</w:t>
      </w:r>
    </w:p>
    <w:p>
      <w:pPr>
        <w:pStyle w:val="Heading2"/>
      </w:pPr>
      <w:r>
        <w:t>Força do vínculo</w:t>
      </w:r>
    </w:p>
    <w:p>
      <w:r>
        <w:t>O catálogo de confronto contém 108 fichas: 11 diretas, 26 condicionais, 46 contextuais e 25 sem pergunta de Conformidade vinculada. Associação contextual auxilia leitura; vínculo condicional depende de escopo e circunstâncias. Fichas sem vínculo não devem ser apresentadas como agentes automáticos de confronto.</w:t>
      </w:r>
    </w:p>
    <w:p>
      <w:pPr>
        <w:pStyle w:val="Heading2"/>
      </w:pPr>
      <w:r>
        <w:t>Sugestões entre etapas</w:t>
      </w:r>
    </w:p>
    <w:p>
      <w:r>
        <w:t>Uma resposta anterior pode sugerir preenchimento, mas o usuário confirma equivalência de escopo e período. O Pacto Essencial apoia o Completo; Conformidade organiza os itens correlatos e complementares. A ISO considera correlações aplicáveis, com confirmação específica do requisito e provas adicionais.</w:t>
      </w:r>
    </w:p>
    <w:p>
      <w:pPr>
        <w:pStyle w:val="Heading2"/>
      </w:pPr>
      <w:r>
        <w:t>Alertas e decisão</w:t>
      </w:r>
    </w:p>
    <w:p>
      <w:r>
        <w:t>Um conflito automático é sinal, não reprovação. Confira se as respostas tratam da mesma operação, empresa e período. Textos podem mencionar palavras-chave sem demonstrar prática; o motor não deve ser tratado como auditor especializado. Registre a conclusão humana e a ação necessária.</w:t>
      </w:r>
    </w:p>
    <w:p>
      <w:pPr>
        <w:pStyle w:val="Heading2"/>
      </w:pPr>
      <w:r>
        <w:t>ISO e revisão especializada</w:t>
      </w:r>
    </w:p>
    <w:p>
      <w:r>
        <w:t>As 24 classificações de cobertura, 21 parciais e 6 não previstas são mapeamento interno. Exigem revisão técnica para sustentar equivalência ou cobertura efetiva. Não são certificação, reconhecimento de organismo acreditado ou conclusão de auditoria.</w:t>
      </w:r>
    </w:p>
    <w:p>
      <w:pPr>
        <w:spacing w:before="0" w:after="0" w:line="20" w:lineRule="exact"/>
      </w:pPr>
      <w:r>
        <w:rPr>
          <w:sz w:val="2"/>
        </w:rPr>
        <w:br w:type="page"/>
      </w:r>
    </w:p>
    <w:p>
      <w:pPr>
        <w:pStyle w:val="Heading1"/>
      </w:pPr>
      <w:r>
        <w:t>6 Matriz de risco e PMO</w:t>
      </w:r>
    </w:p>
    <w:p>
      <w:pPr>
        <w:pStyle w:val="Heading2"/>
      </w:pPr>
      <w:r>
        <w:t>Avaliar o risco</w:t>
      </w:r>
    </w:p>
    <w:p>
      <w:r>
        <w:t>Abra Matriz de risco. O catálogo traz 17 riscos iniciais; revise evento, causas, consequências, probabilidade e impacto conforme sua empresa. A escala é de 1 a 5 e a visualização 5 por 5. Use critérios consistentes e evidências para estimar exposição. O catálogo não esgota os riscos da organização.</w:t>
      </w:r>
    </w:p>
    <w:p>
      <w:pPr>
        <w:pStyle w:val="Heading2"/>
      </w:pPr>
      <w:r>
        <w:t>Priorizar controles</w:t>
      </w:r>
    </w:p>
    <w:p>
      <w:r>
        <w:t>Registre controle, executor, frequência e prova de aplicação. Risco inerente considera exposição antes dos controles; risco residual depende da eficácia comprovada. Não reduza a avaliação apenas porque existe uma política. Teste a execução e registre justificativa.</w:t>
      </w:r>
    </w:p>
    <w:p>
      <w:pPr>
        <w:pStyle w:val="Heading2"/>
      </w:pPr>
      <w:r>
        <w:t>Abrir o PMO</w:t>
      </w:r>
    </w:p>
    <w:p>
      <w:r>
        <w:t>Após analisar cruzamentos e riscos, abra PMO Plano de ação. A versão incorpora 25 ações de referência ligadas a riscos e perguntas. Ajuste responsável, prazo, status e prioridade. O plano converte lacunas em entregas verificáveis e oferece pauta para acompanhamento pela direção.</w:t>
      </w:r>
    </w:p>
    <w:p>
      <w:pPr>
        <w:pStyle w:val="Heading2"/>
      </w:pPr>
      <w:r>
        <w:t>Encerrar com eficácia</w:t>
      </w:r>
    </w:p>
    <w:p>
      <w:r>
        <w:t>Uma ação precisa de critério de aceite, prova de entrega e verificação de resultado. Aprovar uma política pode concluir uma entrega documental, mas treinamento e aplicação podem demandar ações adicionais. Se o problema persistir, reabra ou complemente o tratamento.</w:t>
      </w:r>
    </w:p>
    <w:p>
      <w:pPr>
        <w:pStyle w:val="Heading2"/>
      </w:pPr>
      <w:r>
        <w:t>Ganho cruzado e tokens</w:t>
      </w:r>
    </w:p>
    <w:p>
      <w:r>
        <w:t>Use o alcance de cada ação em várias perguntas como apoio à priorização. Ganho estimado não é pontuação oficial. O acompanhamento manual do PMO não requer IA por si; tokens só são consumidos quando uma análise externa é executada. Meça reanálises e documentos enviados por empresa.</w:t>
      </w:r>
    </w:p>
    <w:p>
      <w:pPr>
        <w:spacing w:before="0" w:after="0" w:line="20" w:lineRule="exact"/>
      </w:pPr>
      <w:r>
        <w:rPr>
          <w:sz w:val="2"/>
        </w:rPr>
        <w:br w:type="page"/>
      </w:r>
    </w:p>
    <w:p>
      <w:pPr>
        <w:pStyle w:val="Heading1"/>
      </w:pPr>
      <w:r>
        <w:t>7 Políticas e Diretrizes</w:t>
      </w:r>
    </w:p>
    <w:p>
      <w:pPr>
        <w:pStyle w:val="Heading2"/>
      </w:pPr>
      <w:r>
        <w:t>Abrir e editar</w:t>
      </w:r>
    </w:p>
    <w:p>
      <w:r>
        <w:t>É o primeiro item do Trabalho transversal. Selecione um dos 14 modelos, preencha os campos entre colchetes e revise o texto no editor. Baixar texto gera TXT em UTF-8 com BOM. Restaurar modelo descarta a edição daquele documento após confirmação. Edições ficam na memória da aba: baixe antes de fechar.</w:t>
      </w:r>
    </w:p>
    <w:p>
      <w:pPr>
        <w:pStyle w:val="Heading2"/>
      </w:pPr>
      <w:r>
        <w:t>As onze políticas</w:t>
      </w:r>
    </w:p>
    <w:p>
      <w:r>
        <w:t>POL-01 Código de ética e conduta; POL-02 Integridade anticorrupção e antissuborno; POL-03 Conflitos e partes relacionadas; POL-04 Brindes e hospitalidades; POL-05 Doações e patrocínios; POL-06 Diligência de terceiros; POL-07 Canal e não retaliação; POL-08 Apuração e disciplina; POL-09 Agentes públicos e licitações; POL-10 Registros contábeis e controles financeiros; POL-11 Dados e segurança.</w:t>
      </w:r>
    </w:p>
    <w:p>
      <w:pPr>
        <w:pStyle w:val="Heading2"/>
      </w:pPr>
      <w:r>
        <w:t>As três diretrizes</w:t>
      </w:r>
    </w:p>
    <w:p>
      <w:r>
        <w:t>DIR-01 Gestão de riscos e controles; DIR-02 PMO e ações corretivas; DIR-03 Evidências versões e revisão documental. São modelos operacionais para orientar responsáveis, frequência, registros e acompanhamento, sujeitos à adaptação.</w:t>
      </w:r>
    </w:p>
    <w:p>
      <w:pPr>
        <w:pStyle w:val="Heading2"/>
      </w:pPr>
      <w:r>
        <w:t>Aprovar e implementar</w:t>
      </w:r>
    </w:p>
    <w:p>
      <w:r>
        <w:t>Defina empresa, vigência, responsável, aprovador, alçadas, limites e canais reais. Revise conflitos com documentos existentes, legislação e contratos com os responsáveis competentes. Aprovação deve ser documentada; divulgação, ciência, treinamento e execução precisam de registros. Só então avalie os itens que a política realmente comprova.</w:t>
      </w:r>
    </w:p>
    <w:p>
      <w:pPr>
        <w:pStyle w:val="Heading2"/>
      </w:pPr>
      <w:r>
        <w:t>Limites do kit</w:t>
      </w:r>
    </w:p>
    <w:p>
      <w:r>
        <w:t>Os modelos são autorais e não documentos oficiais nem reprodução de normas ISO. O editor não personaliza automaticamente os dados da empresa. O HTML contém os modelos, mas não entrega por si curso, consultoria, treinamento realizado, certidões ou aprovação institucional. O kit comercial exige definição de escopo e execução do serviço.</w:t>
      </w:r>
    </w:p>
    <w:p>
      <w:pPr>
        <w:spacing w:before="0" w:after="0" w:line="20" w:lineRule="exact"/>
      </w:pPr>
      <w:r>
        <w:rPr>
          <w:sz w:val="2"/>
        </w:rPr>
        <w:br w:type="page"/>
      </w:r>
    </w:p>
    <w:p>
      <w:pPr>
        <w:pStyle w:val="Heading1"/>
      </w:pPr>
      <w:r>
        <w:t>8 Privacidade backup e operação</w:t>
      </w:r>
    </w:p>
    <w:p>
      <w:pPr>
        <w:pStyle w:val="Heading2"/>
      </w:pPr>
      <w:r>
        <w:t>Dados no navegador</w:t>
      </w:r>
    </w:p>
    <w:p>
      <w:r>
        <w:t>Na entrada, leia o aviso único, marque Li e concordo e clique Entrar no portal. A confirmação vale para a sessão; não autoriza automaticamente envio de documentos à IA. Não há avisos de privacidade repetidos nas abas. Cadastro, respostas e metadados ficam em localStorage sem criptografia da aplicação; os papéis não autenticam usuários.</w:t>
      </w:r>
    </w:p>
    <w:p>
      <w:pPr>
        <w:pStyle w:val="Heading2"/>
      </w:pPr>
      <w:r>
        <w:t>Documentos e IA</w:t>
      </w:r>
    </w:p>
    <w:p>
      <w:r>
        <w:t>O arquivo físico não é guardado na nuvem por este HTML. Texto extraído fica na sessão de execução e é excluído do backup. Se houver envio à IA, o texto autorizado e os dados necessários seguem para o provedor. Não há promessa universal de anonimato, retenção zero ou sigilo absoluto: dependem do serviço, configuração e contrato.</w:t>
      </w:r>
    </w:p>
    <w:p>
      <w:pPr>
        <w:pStyle w:val="Heading2"/>
      </w:pPr>
      <w:r>
        <w:t>Fechar o dia</w:t>
      </w:r>
    </w:p>
    <w:p>
      <w:r>
        <w:t>Use Fechar o dia para baixar snapshot XLSX e backup JSON. No teste realizado pelo usuário, foi recebido o arquivo SGRC_BACKUP_00000000000100_20261008161417.json, que pôde ser lido e teve sua estrutura conferida. Ele preserva respostas, metadados, histórico e a decisão do IP3, sem texto extraído. O recebimento do JSON não comprova, por si só, o download simultâneo do XLSX nem um hash externo do arquivo.</w:t>
      </w:r>
    </w:p>
    <w:p>
      <w:pPr>
        <w:pStyle w:val="Heading2"/>
      </w:pPr>
      <w:r>
        <w:t>Restaurar e trocar de computador</w:t>
      </w:r>
    </w:p>
    <w:p>
      <w:r>
        <w:t>Abra Importar backup JSON no menu e selecione o arquivo correto. Confira empresa, período, respostas, documentos e decisões. Reanexe ou cole os textos necessários à análise, pois texto extraído não é restaurado. Os arquivos de evidência devem permanecer no repositório controlado pela empresa.</w:t>
      </w:r>
    </w:p>
    <w:p>
      <w:pPr>
        <w:pStyle w:val="Heading2"/>
      </w:pPr>
      <w:r>
        <w:t>Publicar e vender</w:t>
      </w:r>
    </w:p>
    <w:p>
      <w:r>
        <w:t>Hospedar o HTML com HTTPS permite acesso ao arquivo; não cria SaaS. Produção multiusuário demanda autenticação, isolamento por empresa, permissões, proxy de IA, limites, registros, retenção e backups testados. Defina termos, aviso de privacidade, suporte e atualização normativa segundo a operação efetiva.</w:t>
      </w:r>
    </w:p>
    <w:p>
      <w:pPr>
        <w:spacing w:before="0" w:after="0" w:line="20" w:lineRule="exact"/>
      </w:pPr>
      <w:r>
        <w:rPr>
          <w:sz w:val="2"/>
        </w:rPr>
        <w:br w:type="page"/>
      </w:r>
    </w:p>
    <w:p>
      <w:pPr>
        <w:pStyle w:val="Heading1"/>
      </w:pPr>
      <w:r>
        <w:t>9 Testes e solução de problemas</w:t>
      </w:r>
    </w:p>
    <w:p>
      <w:pPr>
        <w:pStyle w:val="Heading2"/>
      </w:pPr>
      <w:r>
        <w:t>Teste realizado e verificação técnica</w:t>
      </w:r>
    </w:p>
    <w:p>
      <w:r>
        <w:t>O backup recebido registra IP3 devolvido por Rui às 16h12 de 08/10/2026, no horário de Brasília, com a justificativa Falta controladas. IP3 e IP6 têm pré-checagens do motor de regras, ambas com zero tokens; não há chamada externa de IA registrada. O estado foi preservado na versão consolidada. Os testes técnicos passaram para inicialização, 12 telas, estrutura do backup, texto excluído do backup e metadados opcionais.</w:t>
      </w:r>
    </w:p>
    <w:p>
      <w:pPr>
        <w:pStyle w:val="Heading2"/>
      </w:pPr>
      <w:r>
        <w:t>Limites da verificação</w:t>
      </w:r>
    </w:p>
    <w:p>
      <w:r>
        <w:t>O fluxo de requisição e retorno da IA passou com serviço simulado, incluindo tratamento de erro HTTP 401. Não foi executada chamada com chave real, nem teste visual final em Chromium, leitura de tela ou isolamento multiusuário. A versão foi verificada para teste local nas condições descritas; não está homologada para produção SaaS nem representa validação documental por IA.</w:t>
      </w:r>
    </w:p>
    <w:p>
      <w:pPr>
        <w:pStyle w:val="Heading2"/>
      </w:pPr>
      <w:r>
        <w:t>Correções desta edição</w:t>
      </w:r>
    </w:p>
    <w:p>
      <w:r>
        <w:t>A versão reúne a navegação limpa, explicações específicas Na prática, anexos exigidos e localização opcional, IA opcional e validação humana visível. Preserva o teste humano e os cadastros adicionais do backup. A integração diferencia configuração salva de serviço confirmado e informa falhas de autenticação, limites e conexão. A prévia segue separada dos pontos aprovados.</w:t>
      </w:r>
    </w:p>
    <w:p>
      <w:pPr>
        <w:pStyle w:val="Heading2"/>
      </w:pPr>
      <w:r>
        <w:t>Se a IA falhar</w:t>
      </w:r>
    </w:p>
    <w:p>
      <w:r>
        <w:t>Se a IA não responder, abra Revisor IA e Testar conexão. HTTP 401 indica chave inválida ou não autorizada; 403 indica permissão; 404 pede conferência do modelo e endpoint; 429 pede conferência de limites e saldo. Erro de acesso pode envolver rede ou permissões do navegador. No proxy, informe o endereço do servidor da organização. Sem texto legível ou autorização de envio, reanexe o documento e ajuste a opção. O fluxo humano continua disponível.</w:t>
      </w:r>
    </w:p>
    <w:p>
      <w:pPr>
        <w:pStyle w:val="Heading2"/>
      </w:pPr>
      <w:r>
        <w:t>Se perder texto ou referência</w:t>
      </w:r>
    </w:p>
    <w:p>
      <w:r>
        <w:t>Texto real extraído e políticas editadas não são persistidos: reabra o documento e baixe suas políticas antes de sair. Os textos fictícios de Aurora vêm do pacote e são recarregáveis. Se a referência CGU falhar, confira o PDF ao lado do HTML ou use Fontes oficiais. Confirme a versão antes de uso externo.</w:t>
      </w:r>
    </w:p>
    <w:p>
      <w:pPr>
        <w:spacing w:before="0" w:after="0" w:line="20" w:lineRule="exact"/>
      </w:pPr>
      <w:r>
        <w:rPr>
          <w:sz w:val="2"/>
        </w:rPr>
        <w:br w:type="page"/>
      </w:r>
    </w:p>
    <w:p>
      <w:pPr>
        <w:pStyle w:val="Heading1"/>
      </w:pPr>
      <w:r>
        <w:t>10 Precificação dos pacotes</w:t>
      </w:r>
    </w:p>
    <w:p>
      <w:pPr>
        <w:pStyle w:val="Heading2"/>
      </w:pPr>
      <w:r>
        <w:t>Diagnóstico</w:t>
      </w:r>
    </w:p>
    <w:p>
      <w:r>
        <w:t>R$ 2.997 por empresa, ou 12 parcelas de R$ 249,75, com 12 meses de acesso conforme apresentação do site Vercel consultada em 08/10/2026. Abrange jornada, laudo, plano e lista de documentos. Curso ou aula, suporte e termo dependem da entrega comercial contratada.</w:t>
      </w:r>
    </w:p>
    <w:p>
      <w:pPr>
        <w:pStyle w:val="Heading2"/>
      </w:pPr>
      <w:r>
        <w:t>Diagnóstico e Kit</w:t>
      </w:r>
    </w:p>
    <w:p>
      <w:r>
        <w:t>R$ 4.497, ou 12 parcelas de R$ 374,75. O site apresenta referência anterior R$ 5.994 e economia R$ 1.497. Inclui diagnóstico e proposta de documentos, treinamento, curso e suporte. O HTML contém modelos editáveis; os demais serviços e personalização não são gerados por essa cópia.</w:t>
      </w:r>
    </w:p>
    <w:p>
      <w:pPr>
        <w:pStyle w:val="Heading2"/>
      </w:pPr>
      <w:r>
        <w:t>Mentoria</w:t>
      </w:r>
    </w:p>
    <w:p>
      <w:r>
        <w:t>Sob proposta para grupos ou acompanhamento individual por três meses, conforme apresentação comercial. Defina encontros, revisão, entregáveis, suporte e responsabilidades. Não venda aprovação pela CGU ou certificação ISO como resultado garantido.</w:t>
      </w:r>
    </w:p>
    <w:p>
      <w:pPr>
        <w:pStyle w:val="Heading2"/>
      </w:pPr>
      <w:r>
        <w:t>Complementos</w:t>
      </w:r>
    </w:p>
    <w:p>
      <w:r>
        <w:t>Validação por IA junto com diagnóstico: R$ 1.497; contratação posterior: R$ 1.997. Kit posterior ao diagnóstico: R$ 1.997. Diagnóstico e Validação no site: R$ 4.297. Esse pacote é preço próprio: a soma avulsa R$ 2.997 mais R$ 1.497 seria R$ 4.494; diferença R$ 197.</w:t>
      </w:r>
    </w:p>
    <w:p>
      <w:pPr>
        <w:pStyle w:val="Heading2"/>
      </w:pPr>
      <w:r>
        <w:t>Condições e interface</w:t>
      </w:r>
    </w:p>
    <w:p>
      <w:r>
        <w:t>Pacotes e preços fica em Ferramentas e abre a apresentação comercial. Botões mostram conteúdo; não cobram, contratam nem liberam serviço pago. A proposta deve especificar usuários, prazo, franquia de IA, limites de texto, suporte, cancelamento e renovação. A oferta de IA por 90 dias no site depende do serviço implementado, não da configuração desta cópia.</w:t>
      </w:r>
    </w:p>
    <w:p>
      <w:pPr>
        <w:spacing w:before="0" w:after="0" w:line="20" w:lineRule="exact"/>
      </w:pPr>
      <w:r>
        <w:rPr>
          <w:sz w:val="2"/>
        </w:rPr>
        <w:br w:type="page"/>
      </w:r>
    </w:p>
    <w:p>
      <w:pPr>
        <w:pStyle w:val="Heading1"/>
      </w:pPr>
      <w:r>
        <w:t>11 Custos operacionais e dez vendas</w:t>
      </w:r>
    </w:p>
    <w:p>
      <w:pPr>
        <w:pStyle w:val="Heading2"/>
      </w:pPr>
      <w:r>
        <w:t>Receita de referência</w:t>
      </w:r>
    </w:p>
    <w:p>
      <w:r>
        <w:t>Dez vendas do pacote de R$ 4.497 produzem R$ 44.970 de receita bruta. Esse valor não é lucro. Na precificação, inclua impostos, pagamento, aquisição, suporte e entrega humana, além da operação técnica. Não se incluem horas de desenvolvimento do site nesta conta.</w:t>
      </w:r>
    </w:p>
    <w:p>
      <w:pPr>
        <w:pStyle w:val="Heading2"/>
      </w:pPr>
      <w:r>
        <w:t>Orçamento da IA</w:t>
      </w:r>
    </w:p>
    <w:p>
      <w:r>
        <w:t>Premissa ilustrativa conservadora: 462 análises por empresa, dez empresas e 4.620 chamadas. Reaproveitamento pode reduzir chamadas; documentos extensos e reanálises aumentam consumo. Usando hipótese US$ 2 por milhão de tokens de entrada e US$ 10 de saída, e câmbio R$ 5,014, cenários de 1.200 e 300, 3.000 e 500 e 5.000 e 800 tokens por chamada resultam aproximadamente R$ 125, R$ 255 e R$ 417. São hipóteses mantidas para planejamento, não confirmação de tarifa atual.</w:t>
      </w:r>
    </w:p>
    <w:p>
      <w:pPr>
        <w:pStyle w:val="Heading2"/>
      </w:pPr>
      <w:r>
        <w:t>Infraestrutura</w:t>
      </w:r>
    </w:p>
    <w:p>
      <w:r>
        <w:t>Hipótese anterior de infraestrutura-base multiusuário: US$ 30 por mês, aproximadamente R$ 150 no câmbio adotado, antes de excedentes e tributos. No mês de um ciclo de IA para as dez empresas: R$ 275 a R$ 567. Em 12 meses de infraestrutura e apenas um ciclo: R$ 1.925 a R$ 2.217. Serviços e tarifas devem ser cotados antes de contratar.</w:t>
      </w:r>
    </w:p>
    <w:p>
      <w:pPr>
        <w:pStyle w:val="Heading2"/>
      </w:pPr>
      <w:r>
        <w:t>Certificado e adicionais</w:t>
      </w:r>
    </w:p>
    <w:p>
      <w:r>
        <w:t>Certificado HTTPS/TLS tem custo adicional R$ 0 quando incluído e renovado pela hospedagem. Só acrescente se o provedor cobrar. Domínio, armazenamento central de anexos, tráfego, e-mails e outros serviços contratados podem elevar o custo. Hospedagem estática gratuita não fornece automaticamente contas multiusuário e isolamento.</w:t>
      </w:r>
    </w:p>
    <w:p>
      <w:pPr>
        <w:pStyle w:val="Heading2"/>
      </w:pPr>
      <w:r>
        <w:t>Controlar a margem</w:t>
      </w:r>
    </w:p>
    <w:p>
      <w:r>
        <w:t>Meça tokens por empresa, modelo, item e tentativa no proxy. Defina franquias e alertas e valide as projeções com um piloto. R$ 44.970 menos a referência central anual R$ 2.055 deixa R$ 42.915 antes das demais despesas; não é margem líquida. Os preços comerciais reproduzem o site; os custos são hipóteses para decisão, sem garantia de consumo.</w:t>
      </w:r>
    </w:p>
    <w:p>
      <w:pPr>
        <w:spacing w:before="0" w:after="0" w:line="20" w:lineRule="exact"/>
      </w:pPr>
      <w:r>
        <w:rPr>
          <w:sz w:val="2"/>
        </w:rPr>
        <w:br w:type="page"/>
      </w:r>
    </w:p>
    <w:p>
      <w:pPr>
        <w:pStyle w:val="Heading1"/>
      </w:pPr>
      <w:r>
        <w:t>12 Comparação com a VComply e análise SWOT</w:t>
      </w:r>
    </w:p>
    <w:p>
      <w:r>
        <w:t>O Simples GRC tem uma proposta clara para a PME brasileira: orientar a autoavaliação, organizar evidências e transformar lacunas em ações. A VComply é uma referência funcional para ampliar a operação contínua e a colaboração. A versão HTML atual do Simples GRC ainda precisa de serviços de produção para oferecer contas, permissões e trabalho simultâneo seguro.</w:t>
      </w:r>
    </w:p>
    <w:p>
      <w:r>
        <w:t>Comparação consultada em 8 de outubro de 2026. As características da VComply abaixo são declarações do fornecedor em páginas oficiais; não foram testadas por nós. A análise SWOT é nosso julgamento sobre o Simples GRC atual, sem auditoria independente ou garantia de superioridade.</w:t>
      </w:r>
    </w:p>
    <w:p>
      <w:pPr>
        <w:pStyle w:val="Heading2"/>
      </w:pPr>
      <w:r>
        <w:t>Comparação do que está disponível</w:t>
      </w:r>
    </w:p>
    <w:tbl>
      <w:tblPr>
        <w:tblW w:type="auto" w:w="0"/>
        <w:tblLayout w:type="fixed"/>
        <w:tblLook w:firstColumn="1" w:firstRow="1" w:lastColumn="0" w:lastRow="0" w:noHBand="0" w:noVBand="1" w:val="04A0"/>
      </w:tblPr>
      <w:tblGrid>
        <w:gridCol w:w="3249"/>
        <w:gridCol w:w="3249"/>
        <w:gridCol w:w="3249"/>
      </w:tblGrid>
      <w:tr>
        <w:trPr>
          <w:cantSplit/>
        </w:trPr>
        <w:tc>
          <w:tcPr>
            <w:tcW w:type="dxa" w:w="1584"/>
            <w:tcBorders>
              <w:top w:val="single" w:sz="4" w:color="D9D9D9"/>
              <w:left w:val="single" w:sz="4" w:color="D9D9D9"/>
              <w:bottom w:val="single" w:sz="4" w:color="D9D9D9"/>
              <w:right w:val="single" w:sz="4" w:color="D9D9D9"/>
            </w:tcBorders>
            <w:shd w:fill="E7E6E6"/>
          </w:tcPr>
          <w:p>
            <w:pPr>
              <w:spacing w:after="100" w:before="100"/>
            </w:pPr>
            <w:r>
              <w:rPr>
                <w:b/>
                <w:sz w:val="20"/>
              </w:rPr>
              <w:t>Dimensão</w:t>
            </w:r>
          </w:p>
        </w:tc>
        <w:tc>
          <w:tcPr>
            <w:tcW w:type="dxa" w:w="3744"/>
            <w:tcBorders>
              <w:top w:val="single" w:sz="4" w:color="D9D9D9"/>
              <w:left w:val="single" w:sz="4" w:color="D9D9D9"/>
              <w:bottom w:val="single" w:sz="4" w:color="D9D9D9"/>
              <w:right w:val="single" w:sz="4" w:color="D9D9D9"/>
            </w:tcBorders>
            <w:shd w:fill="E7E6E6"/>
          </w:tcPr>
          <w:p>
            <w:pPr>
              <w:spacing w:after="100" w:before="100"/>
            </w:pPr>
            <w:r>
              <w:rPr>
                <w:b/>
                <w:sz w:val="20"/>
              </w:rPr>
              <w:t>Simples GRC atual</w:t>
            </w:r>
          </w:p>
        </w:tc>
        <w:tc>
          <w:tcPr>
            <w:tcW w:type="dxa" w:w="3744"/>
            <w:tcBorders>
              <w:top w:val="single" w:sz="4" w:color="D9D9D9"/>
              <w:left w:val="single" w:sz="4" w:color="D9D9D9"/>
              <w:bottom w:val="single" w:sz="4" w:color="D9D9D9"/>
              <w:right w:val="single" w:sz="4" w:color="D9D9D9"/>
            </w:tcBorders>
            <w:shd w:fill="E7E6E6"/>
          </w:tcPr>
          <w:p>
            <w:pPr>
              <w:spacing w:after="100" w:before="100"/>
            </w:pPr>
            <w:r>
              <w:rPr>
                <w:b/>
                <w:sz w:val="20"/>
              </w:rPr>
              <w:t>VComply anunciada</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sz w:val="20"/>
              </w:rPr>
              <w:t>Autoavaliação</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Perfil comum e jornadas de Pacto, Pró-Ética e ISO, com explicação por item e referências CGU.</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Requisitos, avaliações e acompanhamento em programas de compliance.</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sz w:val="20"/>
              </w:rPr>
              <w:t>Compliance cruzada</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Matriz de vínculos com força e limites; cobertura ISO depende de revisão especializada.</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Conecta obrigações, controles, políticas, riscos e evidências entre frameworks.</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sz w:val="20"/>
              </w:rPr>
              <w:t>Evidências</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Vínculos e metadados locais; texto de documentos reais fica na memória da aba.</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Evidências vinculadas ao trabalho e mantidas no programa.</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sz w:val="20"/>
              </w:rPr>
              <w:t>Responsáveis e prazos</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Avaliador, IA opcional e aprovador; PMO com responsáveis e prazos. Papéis locais não autenticam usuários.</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Responsáveis, lembretes, escalonamentos e acompanhamento recorrente.</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sz w:val="20"/>
              </w:rPr>
              <w:t>Políticas e riscos</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14 modelos, matriz com 17 riscos e 25 ações demonstrativas; implantação e eficácia exigem prova.</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Módulos próprios para riscos e para criar, revisar, aprovar e distribuir políticas.</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sz w:val="20"/>
              </w:rPr>
              <w:t>Acesso e operação</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HTML e backups; sem isolamento multiempresa e autenticação implantados.</w:t>
            </w:r>
          </w:p>
        </w:tc>
        <w:tc>
          <w:tcPr>
            <w:tcW w:type="dxa" w:w="3744"/>
            <w:tcBorders>
              <w:top w:val="single" w:sz="4" w:color="D9D9D9"/>
              <w:left w:val="single" w:sz="4" w:color="D9D9D9"/>
              <w:bottom w:val="single" w:sz="4" w:color="D9D9D9"/>
              <w:right w:val="single" w:sz="4" w:color="D9D9D9"/>
            </w:tcBorders>
          </w:tcPr>
          <w:p>
            <w:pPr>
              <w:spacing w:after="100" w:before="100"/>
            </w:pPr>
            <w:r>
              <w:rPr>
                <w:sz w:val="20"/>
              </w:rPr>
              <w:t>Pro anuncia permissões por papel; Enterprise anuncia SSO e implantação assistida.</w:t>
            </w:r>
          </w:p>
        </w:tc>
      </w:tr>
    </w:tbl>
    <w:p>
      <w:r>
        <w:t>Não confirmamos nas páginas consultadas um catálogo VComply equivalente aos 108 campos de Perfil, 223 perguntas de Conformidade e itens brasileiros do portal. Isso deve ser verificado em demonstração; ausência de informação pública não comprova ausência do recurso.</w:t>
      </w:r>
    </w:p>
    <w:p>
      <w:pPr>
        <w:spacing w:before="0" w:after="0" w:line="20" w:lineRule="exact"/>
      </w:pPr>
      <w:r>
        <w:rPr>
          <w:sz w:val="2"/>
        </w:rPr>
        <w:br w:type="page"/>
      </w:r>
    </w:p>
    <w:p>
      <w:pPr>
        <w:pStyle w:val="Heading2"/>
      </w:pPr>
      <w:r>
        <w:t>Forças do Simples GRC</w:t>
      </w:r>
    </w:p>
    <w:p>
      <w:r>
        <w:t>A jornada em português reúne Perfil, Pacto Essencial, Pacto Completo, Pró-Ética e ISO. A pergunta acompanhada de explicação prática e exemplo ajuda a PME a entender o trabalho. Políticas, compliance cruzada, matriz de risco e PMO conectam diagnóstico e execução sem exigir menus separados para cada norma.</w:t>
      </w:r>
    </w:p>
    <w:p>
      <w:r>
        <w:t>A reutilização de evidências reduz retrabalho quando o vínculo é pertinente. A distinção entre prévia, parecer de IA e aprovação humana evita tratar uma resposta Sim como comprovação. Operar localmente oferece controle sobre os arquivos, desde que o usuário mantenha backups e proteja o dispositivo.</w:t>
      </w:r>
    </w:p>
    <w:p>
      <w:pPr>
        <w:pStyle w:val="Heading2"/>
      </w:pPr>
      <w:r>
        <w:t>Fraquezas do Simples GRC</w:t>
      </w:r>
    </w:p>
    <w:p>
      <w:r>
        <w:t>O HTML não entrega, sozinho, contas multiusuário, permissões efetivas, isolamento entre empresas, repositório central de anexos ou trilha de auditoria protegida contra alteração. O localStorage não é criptografado pelo portal; limpar o navegador pode apagar dados. Selecionar avaliador e aprovador na tela não autentica essas pessoas.</w:t>
      </w:r>
    </w:p>
    <w:p>
      <w:r>
        <w:t>A IA externa depende de integração e credenciais reais; os testes com respostas simuladas não comprovam sua disponibilidade em produção. Os itens do Pacto têm redação sintética e a cobertura ISO é um mapeamento interno. Regras por palavra-chave e correlações temáticas exigem revisão, especialmente antes de prometer validação normativa.</w:t>
      </w:r>
    </w:p>
    <w:p>
      <w:r>
        <w:t>Os modelos de políticas não substituem aprovação, distribuição e comprovação de aplicação. O PMO registra o plano, mas ações encerradas precisam de evidência de eficácia e reavaliação do risco residual. A automação contínua de cobranças e escalonamentos ainda demanda serviços de produção.</w:t>
      </w:r>
    </w:p>
    <w:p>
      <w:pPr>
        <w:pStyle w:val="Heading2"/>
      </w:pPr>
      <w:r>
        <w:t>Oportunidades</w:t>
      </w:r>
    </w:p>
    <w:p>
      <w:r>
        <w:t>Concentrar a oferta na PME brasileira que precisa preparar seu programa e suas evidências pode diferenciar o produto. O diferencial deve ser demonstrado com clareza dos itens, referências verificadas e ganho real de reaproveitamento, sem anunciar certificação, homologação ou pontuação oficial.</w:t>
      </w:r>
    </w:p>
    <w:p>
      <w:r>
        <w:t>Implantar autenticação, permissões, isolamento e um proxy de IA amplia a confiança comercial. Revisar a matriz com especialistas, versionar fontes e mostrar quais lacunas afetam várias jornadas aumenta a utilidade para a diretoria. Lembretes de prazos e revisão de políticas podem evoluir gradualmente, preservando a tela simples.</w:t>
      </w:r>
    </w:p>
    <w:p>
      <w:pPr>
        <w:pStyle w:val="Heading2"/>
      </w:pPr>
      <w:r>
        <w:t>Ameaças</w:t>
      </w:r>
    </w:p>
    <w:p>
      <w:r>
        <w:t>Plataformas como a VComply podem atender compradores que precisam imediatamente de colaboração e operação recorrente. Uma futura adaptação dessas ofertas ao mercado brasileiro pode reduzir a diferenciação temática; isso é uma possibilidade competitiva, não uma previsão confirmada.</w:t>
      </w:r>
    </w:p>
    <w:p>
      <w:r>
        <w:t>Mudanças nos formulários e normas podem tornar vínculos obsoletos. Perda de dados locais, envio indevido de informações à IA, indisponibilidade do provedor ou divulgação de resultados sem comprovação podem afetar a confiança. Custos de IA e câmbio também podem alterar a margem dos pacotes.</w:t>
      </w:r>
    </w:p>
    <w:p>
      <w:pPr>
        <w:spacing w:before="0" w:after="0" w:line="20" w:lineRule="exact"/>
      </w:pPr>
      <w:r>
        <w:rPr>
          <w:sz w:val="2"/>
        </w:rPr>
        <w:br w:type="page"/>
      </w:r>
    </w:p>
    <w:p>
      <w:pPr>
        <w:pStyle w:val="Heading2"/>
      </w:pPr>
      <w:r>
        <w:t>Preço público da VComply</w:t>
      </w:r>
    </w:p>
    <w:p>
      <w:r>
        <w:t>A página oficial anuncia módulos do PRO GRC Suite a partir de US$ 1.000 por mês. O fornecedor informa faturamento anual e contrato mínimo de 12 meses. Aplicando esse valor inicial por 12 meses, a referência aritmética é US$ 12.000 por ano; não constitui cotação da suíte completa.</w:t>
      </w:r>
    </w:p>
    <w:p>
      <w:r>
        <w:t>Startups e organizações sem fins lucrativos têm preço personalizado; Enterprise também exige cotação. O preço final depende dos módulos, fluxos e acesso administrativo contratados. Solicite proposta para confirmar escopo, implantação, suporte, encargos e condições comerciais. Preços podem mudar após a consulta.</w:t>
      </w:r>
    </w:p>
    <w:p>
      <w:pPr>
        <w:pStyle w:val="Heading2"/>
      </w:pPr>
      <w:r>
        <w:t>Como comparar com os pacotes Simples GRC</w:t>
      </w:r>
    </w:p>
    <w:p>
      <w:r>
        <w:t>O pacote Diagnóstico e Kit de R$ 4.497 descrito no capítulo 10 reúne uma oferta comercial diferente de uma assinatura modular corporativa. Compare entregas e serviços: número de empresas e usuários, prazo de acesso, suporte, revisões, armazenamento, integrações e franquia de IA. Um preço menor não demonstra equivalência funcional.</w:t>
      </w:r>
    </w:p>
    <w:p>
      <w:r>
        <w:t>A publicação do HTML não acrescenta automaticamente os recursos de um SaaS. Mantenha separados o preço do pacote, os custos de hospedagem e IA e os serviços efetivamente contratados. As hipóteses operacionais do capítulo 11 permanecem sem incluir horas de construção do site.</w:t>
      </w:r>
    </w:p>
    <w:p>
      <w:pPr>
        <w:pStyle w:val="Heading2"/>
      </w:pPr>
      <w:r>
        <w:t>Prioridades para reduzir a distância</w:t>
      </w:r>
    </w:p>
    <w:p>
      <w:r>
        <w:t>1. Colocar em produção autenticação, isolamento por empresa, permissões verificadas, backups recuperáveis e proxy de IA com controle de consumo. Testar o fluxo com usuários distintos e conexão real antes de anunciar validação por IA disponível.</w:t>
      </w:r>
    </w:p>
    <w:p>
      <w:r>
        <w:t>2. Validar os textos e a matriz com especialistas, registrar versão e data das fontes e reavaliar correlações. Exigir comprovação do controle para herdar aprovação entre jornadas.</w:t>
      </w:r>
    </w:p>
    <w:p>
      <w:r>
        <w:t>3. Evoluir prazos e alertas do PMO, aprovação e revisão periódica de políticas e testes de eficácia dos controles. Acrescentar essas funções sem ampliar a complexidade da jornada de resposta.</w:t>
      </w:r>
    </w:p>
    <w:p>
      <w:pPr>
        <w:pStyle w:val="Heading2"/>
      </w:pPr>
      <w:r>
        <w:t>Fontes e limites da comparação</w:t>
      </w:r>
    </w:p>
    <w:p>
      <w:r>
        <w:t>VComply — Preços: https://www.v-comply.com/pricing</w:t>
      </w:r>
    </w:p>
    <w:p>
      <w:r>
        <w:t>VComply — ComplianceOps: https://www.v-comply.com/compliance-management-software/</w:t>
      </w:r>
    </w:p>
    <w:p>
      <w:r>
        <w:t>VComply — Recursos: https://www.v-comply.com/key-features/</w:t>
      </w:r>
    </w:p>
    <w:p>
      <w:r>
        <w:t>Consulta em 8 de outubro de 2026. A descrição do Simples GRC se refere ao HTML final que acompanha este manual. Os recursos comerciais da VComply são informações do fornecedor, não resultados de testes. A análise não substitui demonstração, proposta comercial ou avaliação de segurança.</w:t>
      </w:r>
    </w:p>
    <w:p>
      <w:pPr>
        <w:spacing w:before="0" w:after="0" w:line="20" w:lineRule="exact"/>
      </w:pPr>
      <w:r>
        <w:rPr>
          <w:sz w:val="2"/>
        </w:rPr>
        <w:br w:type="page"/>
      </w:r>
    </w:p>
    <w:p>
      <w:pPr>
        <w:pStyle w:val="Heading1"/>
      </w:pPr>
      <w:r>
        <w:t>13 Diagnóstico do portal e faixas comerciais</w:t>
      </w:r>
    </w:p>
    <w:p>
      <w:r>
        <w:t>Parecer sobre a versão HTML atual, em 8 de outubro de 2026. Minha avaliação é 7,5/10 como ferramenta didática local para uma PME com necessidade concreta de integridade. Para prontidão de operação SaaS com IA e vários usuários, atribuo 5/10. São julgamentos técnicos, não nota CGU, certificação ou resultado de auditoria independente.</w:t>
      </w:r>
    </w:p>
    <w:tbl>
      <w:tblPr>
        <w:tblW w:type="auto" w:w="0"/>
        <w:tblLayout w:type="fixed"/>
        <w:tblLook w:firstColumn="1" w:firstRow="1" w:lastColumn="0" w:lastRow="0" w:noHBand="0" w:noVBand="1" w:val="04A0"/>
      </w:tblPr>
      <w:tblGrid>
        <w:gridCol w:w="2304"/>
        <w:gridCol w:w="936"/>
        <w:gridCol w:w="5832"/>
      </w:tblGrid>
      <w:tr>
        <w:trPr>
          <w:cantSplit/>
        </w:trPr>
        <w:tc>
          <w:tcPr>
            <w:tcW w:type="dxa" w:w="2304"/>
            <w:tcBorders>
              <w:top w:val="single" w:sz="4" w:color="D9D9D9"/>
              <w:left w:val="single" w:sz="4" w:color="D9D9D9"/>
              <w:bottom w:val="single" w:sz="4" w:color="D9D9D9"/>
              <w:right w:val="single" w:sz="4" w:color="D9D9D9"/>
            </w:tcBorders>
            <w:shd w:fill="E7E6E6"/>
          </w:tcPr>
          <w:p>
            <w:pPr>
              <w:spacing w:after="100" w:before="100"/>
            </w:pPr>
            <w:r>
              <w:rPr>
                <w:b/>
                <w:sz w:val="20"/>
              </w:rPr>
              <w:t>Critério</w:t>
            </w:r>
          </w:p>
        </w:tc>
        <w:tc>
          <w:tcPr>
            <w:tcW w:type="dxa" w:w="936"/>
            <w:tcBorders>
              <w:top w:val="single" w:sz="4" w:color="D9D9D9"/>
              <w:left w:val="single" w:sz="4" w:color="D9D9D9"/>
              <w:bottom w:val="single" w:sz="4" w:color="D9D9D9"/>
              <w:right w:val="single" w:sz="4" w:color="D9D9D9"/>
            </w:tcBorders>
            <w:shd w:fill="E7E6E6"/>
          </w:tcPr>
          <w:p>
            <w:pPr>
              <w:spacing w:after="100" w:before="100"/>
            </w:pPr>
            <w:r>
              <w:rPr>
                <w:b/>
                <w:sz w:val="20"/>
              </w:rPr>
              <w:t>Nota</w:t>
            </w:r>
          </w:p>
        </w:tc>
        <w:tc>
          <w:tcPr>
            <w:tcW w:type="dxa" w:w="5832"/>
            <w:tcBorders>
              <w:top w:val="single" w:sz="4" w:color="D9D9D9"/>
              <w:left w:val="single" w:sz="4" w:color="D9D9D9"/>
              <w:bottom w:val="single" w:sz="4" w:color="D9D9D9"/>
              <w:right w:val="single" w:sz="4" w:color="D9D9D9"/>
            </w:tcBorders>
            <w:shd w:fill="E7E6E6"/>
          </w:tcPr>
          <w:p>
            <w:pPr>
              <w:spacing w:after="100" w:before="100"/>
            </w:pPr>
            <w:r>
              <w:rPr>
                <w:b/>
                <w:sz w:val="20"/>
              </w:rPr>
              <w:t>Fundamento</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Conteúdo e jornada</w:t>
            </w:r>
          </w:p>
        </w:tc>
        <w:tc>
          <w:tcPr>
            <w:tcW w:type="dxa" w:w="936"/>
            <w:tcBorders>
              <w:top w:val="single" w:sz="4" w:color="D9D9D9"/>
              <w:left w:val="single" w:sz="4" w:color="D9D9D9"/>
              <w:bottom w:val="single" w:sz="4" w:color="D9D9D9"/>
              <w:right w:val="single" w:sz="4" w:color="D9D9D9"/>
            </w:tcBorders>
          </w:tcPr>
          <w:p>
            <w:pPr>
              <w:spacing w:after="100" w:before="100"/>
            </w:pPr>
            <w:r>
              <w:rPr>
                <w:b w:val="0"/>
                <w:sz w:val="20"/>
              </w:rPr>
              <w:t>8/10</w:t>
            </w:r>
          </w:p>
        </w:tc>
        <w:tc>
          <w:tcPr>
            <w:tcW w:type="dxa" w:w="5832"/>
            <w:tcBorders>
              <w:top w:val="single" w:sz="4" w:color="D9D9D9"/>
              <w:left w:val="single" w:sz="4" w:color="D9D9D9"/>
              <w:bottom w:val="single" w:sz="4" w:color="D9D9D9"/>
              <w:right w:val="single" w:sz="4" w:color="D9D9D9"/>
            </w:tcBorders>
          </w:tcPr>
          <w:p>
            <w:pPr>
              <w:spacing w:after="100" w:before="100"/>
            </w:pPr>
            <w:r>
              <w:rPr>
                <w:b w:val="0"/>
                <w:sz w:val="20"/>
              </w:rPr>
              <w:t>Perfil comum, etapas integradas, evidências, políticas, riscos e PMO. Pacto sintético e matriz ISO ainda exigem validação especializada.</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Facilidade para PME</w:t>
            </w:r>
          </w:p>
        </w:tc>
        <w:tc>
          <w:tcPr>
            <w:tcW w:type="dxa" w:w="936"/>
            <w:tcBorders>
              <w:top w:val="single" w:sz="4" w:color="D9D9D9"/>
              <w:left w:val="single" w:sz="4" w:color="D9D9D9"/>
              <w:bottom w:val="single" w:sz="4" w:color="D9D9D9"/>
              <w:right w:val="single" w:sz="4" w:color="D9D9D9"/>
            </w:tcBorders>
          </w:tcPr>
          <w:p>
            <w:pPr>
              <w:spacing w:after="100" w:before="100"/>
            </w:pPr>
            <w:r>
              <w:rPr>
                <w:b w:val="0"/>
                <w:sz w:val="20"/>
              </w:rPr>
              <w:t>7,5/10</w:t>
            </w:r>
          </w:p>
        </w:tc>
        <w:tc>
          <w:tcPr>
            <w:tcW w:type="dxa" w:w="5832"/>
            <w:tcBorders>
              <w:top w:val="single" w:sz="4" w:color="D9D9D9"/>
              <w:left w:val="single" w:sz="4" w:color="D9D9D9"/>
              <w:bottom w:val="single" w:sz="4" w:color="D9D9D9"/>
              <w:right w:val="single" w:sz="4" w:color="D9D9D9"/>
            </w:tcBorders>
          </w:tcPr>
          <w:p>
            <w:pPr>
              <w:spacing w:after="100" w:before="100"/>
            </w:pPr>
            <w:r>
              <w:rPr>
                <w:b w:val="0"/>
                <w:sz w:val="20"/>
              </w:rPr>
              <w:t>Fluxo resposta → documento → IA opcional → aprovação é claro. Perfil longo e trilhas avançadas pedem implantação gradual.</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Fluxo local e backup</w:t>
            </w:r>
          </w:p>
        </w:tc>
        <w:tc>
          <w:tcPr>
            <w:tcW w:type="dxa" w:w="936"/>
            <w:tcBorders>
              <w:top w:val="single" w:sz="4" w:color="D9D9D9"/>
              <w:left w:val="single" w:sz="4" w:color="D9D9D9"/>
              <w:bottom w:val="single" w:sz="4" w:color="D9D9D9"/>
              <w:right w:val="single" w:sz="4" w:color="D9D9D9"/>
            </w:tcBorders>
          </w:tcPr>
          <w:p>
            <w:pPr>
              <w:spacing w:after="100" w:before="100"/>
            </w:pPr>
            <w:r>
              <w:rPr>
                <w:b w:val="0"/>
                <w:sz w:val="20"/>
              </w:rPr>
              <w:t>8/10</w:t>
            </w:r>
          </w:p>
        </w:tc>
        <w:tc>
          <w:tcPr>
            <w:tcW w:type="dxa" w:w="5832"/>
            <w:tcBorders>
              <w:top w:val="single" w:sz="4" w:color="D9D9D9"/>
              <w:left w:val="single" w:sz="4" w:color="D9D9D9"/>
              <w:bottom w:val="single" w:sz="4" w:color="D9D9D9"/>
              <w:right w:val="single" w:sz="4" w:color="D9D9D9"/>
            </w:tcBorders>
          </w:tcPr>
          <w:p>
            <w:pPr>
              <w:spacing w:after="100" w:before="100"/>
            </w:pPr>
            <w:r>
              <w:rPr>
                <w:b w:val="0"/>
                <w:sz w:val="20"/>
              </w:rPr>
              <w:t>Teste humano e backup registrados; verificações técnicas descritas no capítulo 9. Não representam teste completo de produção.</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IA em produção</w:t>
            </w:r>
          </w:p>
        </w:tc>
        <w:tc>
          <w:tcPr>
            <w:tcW w:type="dxa" w:w="936"/>
            <w:tcBorders>
              <w:top w:val="single" w:sz="4" w:color="D9D9D9"/>
              <w:left w:val="single" w:sz="4" w:color="D9D9D9"/>
              <w:bottom w:val="single" w:sz="4" w:color="D9D9D9"/>
              <w:right w:val="single" w:sz="4" w:color="D9D9D9"/>
            </w:tcBorders>
          </w:tcPr>
          <w:p>
            <w:pPr>
              <w:spacing w:after="100" w:before="100"/>
            </w:pPr>
            <w:r>
              <w:rPr>
                <w:b w:val="0"/>
                <w:sz w:val="20"/>
              </w:rPr>
              <w:t>5/10</w:t>
            </w:r>
          </w:p>
        </w:tc>
        <w:tc>
          <w:tcPr>
            <w:tcW w:type="dxa" w:w="5832"/>
            <w:tcBorders>
              <w:top w:val="single" w:sz="4" w:color="D9D9D9"/>
              <w:left w:val="single" w:sz="4" w:color="D9D9D9"/>
              <w:bottom w:val="single" w:sz="4" w:color="D9D9D9"/>
              <w:right w:val="single" w:sz="4" w:color="D9D9D9"/>
            </w:tcBorders>
          </w:tcPr>
          <w:p>
            <w:pPr>
              <w:spacing w:after="100" w:before="100"/>
            </w:pPr>
            <w:r>
              <w:rPr>
                <w:b w:val="0"/>
                <w:sz w:val="20"/>
              </w:rPr>
              <w:t>Fluxo testado com respostas simuladas; integração externa e credenciais reais ainda precisam de verificação.</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Operação multiusuário</w:t>
            </w:r>
          </w:p>
        </w:tc>
        <w:tc>
          <w:tcPr>
            <w:tcW w:type="dxa" w:w="936"/>
            <w:tcBorders>
              <w:top w:val="single" w:sz="4" w:color="D9D9D9"/>
              <w:left w:val="single" w:sz="4" w:color="D9D9D9"/>
              <w:bottom w:val="single" w:sz="4" w:color="D9D9D9"/>
              <w:right w:val="single" w:sz="4" w:color="D9D9D9"/>
            </w:tcBorders>
          </w:tcPr>
          <w:p>
            <w:pPr>
              <w:spacing w:after="100" w:before="100"/>
            </w:pPr>
            <w:r>
              <w:rPr>
                <w:b w:val="0"/>
                <w:sz w:val="20"/>
              </w:rPr>
              <w:t>4/10</w:t>
            </w:r>
          </w:p>
        </w:tc>
        <w:tc>
          <w:tcPr>
            <w:tcW w:type="dxa" w:w="5832"/>
            <w:tcBorders>
              <w:top w:val="single" w:sz="4" w:color="D9D9D9"/>
              <w:left w:val="single" w:sz="4" w:color="D9D9D9"/>
              <w:bottom w:val="single" w:sz="4" w:color="D9D9D9"/>
              <w:right w:val="single" w:sz="4" w:color="D9D9D9"/>
            </w:tcBorders>
          </w:tcPr>
          <w:p>
            <w:pPr>
              <w:spacing w:after="100" w:before="100"/>
            </w:pPr>
            <w:r>
              <w:rPr>
                <w:b w:val="0"/>
                <w:sz w:val="20"/>
              </w:rPr>
              <w:t>HTML não implanta autenticação, isolamento ou permissões efetivas. Requer serviços adicionais.</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Adequação comercial</w:t>
            </w:r>
          </w:p>
        </w:tc>
        <w:tc>
          <w:tcPr>
            <w:tcW w:type="dxa" w:w="936"/>
            <w:tcBorders>
              <w:top w:val="single" w:sz="4" w:color="D9D9D9"/>
              <w:left w:val="single" w:sz="4" w:color="D9D9D9"/>
              <w:bottom w:val="single" w:sz="4" w:color="D9D9D9"/>
              <w:right w:val="single" w:sz="4" w:color="D9D9D9"/>
            </w:tcBorders>
          </w:tcPr>
          <w:p>
            <w:pPr>
              <w:spacing w:after="100" w:before="100"/>
            </w:pPr>
            <w:r>
              <w:rPr>
                <w:b w:val="0"/>
                <w:sz w:val="20"/>
              </w:rPr>
              <w:t>6,5/10</w:t>
            </w:r>
          </w:p>
        </w:tc>
        <w:tc>
          <w:tcPr>
            <w:tcW w:type="dxa" w:w="5832"/>
            <w:tcBorders>
              <w:top w:val="single" w:sz="4" w:color="D9D9D9"/>
              <w:left w:val="single" w:sz="4" w:color="D9D9D9"/>
              <w:bottom w:val="single" w:sz="4" w:color="D9D9D9"/>
              <w:right w:val="single" w:sz="4" w:color="D9D9D9"/>
            </w:tcBorders>
          </w:tcPr>
          <w:p>
            <w:pPr>
              <w:spacing w:after="100" w:before="100"/>
            </w:pPr>
            <w:r>
              <w:rPr>
                <w:b w:val="0"/>
                <w:sz w:val="20"/>
              </w:rPr>
              <w:t>Oferta completa pode servir a uma EPP com demanda concreta; entrada de R$ 2.997 pesa para negócios menores.</w:t>
            </w:r>
          </w:p>
        </w:tc>
      </w:tr>
    </w:tbl>
    <w:p>
      <w:r>
        <w:t>As notas por critério não foram calculadas por média: distinguem finalidade e maturidade. O preço deve ser avaliado contra orçamento, necessidade e entrega real. R$ 4.497 equivalem a 0,1124% de uma receita anual de R$ 4 milhões, mas a 1,2492% de R$ 360 mil; faturamento não é lucro nem caixa disponível.</w:t>
      </w:r>
    </w:p>
    <w:p>
      <w:pPr>
        <w:pStyle w:val="Heading2"/>
      </w:pPr>
      <w:r>
        <w:t>Minha conclusão sobre a proposta do Claude</w:t>
      </w:r>
    </w:p>
    <w:p>
      <w:r>
        <w:t>A redução da entrada e o crédito de evolução são boas hipóteses. Eu reduziria a quantidade de ofertas: Essencial e Jornada com Kit. Riscos, compliance cruzada e PMO permanecem integrados. Pró-Ética e ISO podem ficar recolhidos até o usuário precisar, sem desaparecer nem alterar critérios pela faixa tributária.</w:t>
      </w:r>
    </w:p>
    <w:p>
      <w:r>
        <w:t>Não prometo laudo profissional, consultoria sob medida, aprovação de licitação ou certificação apenas pela compra do HTML. A entrega principal é um diagnóstico orientativo com respostas, documentos vinculados e plano de ação. Mentoria, revisão especializada e IA devem ter escopo e limites próprios.</w:t>
      </w:r>
    </w:p>
    <w:p>
      <w:pPr>
        <w:pStyle w:val="Heading2"/>
        <w:pageBreakBefore/>
      </w:pPr>
      <w:r>
        <w:t>Faixas por porte e regime tributário</w:t>
      </w:r>
    </w:p>
    <w:p>
      <w:r>
        <w:t>ME e EPP são classificações de porte; Simples Nacional, Lucro Presumido e Lucro Real são regimes tributários. O regime não demonstra maturidade de integridade nem justifica sozinho cobrar mais. As faixas abaixo são uma proposta comercial para teste, sem alterar os preços hoje publicados no portal.</w:t>
      </w:r>
    </w:p>
    <w:p>
      <w:r>
        <w:t>Referências gerais: ME até R$ 360 mil; EPP acima de R$ 360 mil até R$ 4,8 milhões. MEI comum tem teto de R$ 81 mil, com regras específicas e exceção para transportador autônomo de cargas. Lucro Presumido admite, em regra, receita total anterior até R$ 78 milhões e outras condições; Lucro Real também pode decorrer de opção ou obrigatoriedade abaixo desse valor. Não enquadrar automaticamente pelo faturamento.</w:t>
      </w:r>
    </w:p>
    <w:tbl>
      <w:tblPr>
        <w:tblW w:type="auto" w:w="0"/>
        <w:tblLayout w:type="fixed"/>
        <w:tblLook w:firstColumn="1" w:firstRow="1" w:lastColumn="0" w:lastRow="0" w:noHBand="0" w:noVBand="1" w:val="04A0"/>
      </w:tblPr>
      <w:tblGrid>
        <w:gridCol w:w="4320"/>
        <w:gridCol w:w="1800"/>
        <w:gridCol w:w="2952"/>
      </w:tblGrid>
      <w:tr>
        <w:trPr>
          <w:cantSplit/>
        </w:trPr>
        <w:tc>
          <w:tcPr>
            <w:tcW w:type="dxa" w:w="4320"/>
            <w:tcBorders>
              <w:top w:val="single" w:sz="4" w:color="D9D9D9"/>
              <w:left w:val="single" w:sz="4" w:color="D9D9D9"/>
              <w:bottom w:val="single" w:sz="4" w:color="D9D9D9"/>
              <w:right w:val="single" w:sz="4" w:color="D9D9D9"/>
            </w:tcBorders>
            <w:shd w:fill="E7E6E6"/>
          </w:tcPr>
          <w:p>
            <w:pPr>
              <w:spacing w:after="100" w:before="100"/>
            </w:pPr>
            <w:r>
              <w:rPr>
                <w:b/>
                <w:sz w:val="20"/>
              </w:rPr>
              <w:t>Público e receita anual</w:t>
            </w:r>
          </w:p>
        </w:tc>
        <w:tc>
          <w:tcPr>
            <w:tcW w:type="dxa" w:w="1800"/>
            <w:tcBorders>
              <w:top w:val="single" w:sz="4" w:color="D9D9D9"/>
              <w:left w:val="single" w:sz="4" w:color="D9D9D9"/>
              <w:bottom w:val="single" w:sz="4" w:color="D9D9D9"/>
              <w:right w:val="single" w:sz="4" w:color="D9D9D9"/>
            </w:tcBorders>
            <w:shd w:fill="E7E6E6"/>
          </w:tcPr>
          <w:p>
            <w:pPr>
              <w:spacing w:after="100" w:before="100"/>
            </w:pPr>
            <w:r>
              <w:rPr>
                <w:b/>
                <w:sz w:val="20"/>
              </w:rPr>
              <w:t>Entrada Essencial</w:t>
            </w:r>
          </w:p>
        </w:tc>
        <w:tc>
          <w:tcPr>
            <w:tcW w:type="dxa" w:w="2952"/>
            <w:tcBorders>
              <w:top w:val="single" w:sz="4" w:color="D9D9D9"/>
              <w:left w:val="single" w:sz="4" w:color="D9D9D9"/>
              <w:bottom w:val="single" w:sz="4" w:color="D9D9D9"/>
              <w:right w:val="single" w:sz="4" w:color="D9D9D9"/>
            </w:tcBorders>
            <w:shd w:fill="E7E6E6"/>
          </w:tcPr>
          <w:p>
            <w:pPr>
              <w:spacing w:after="100" w:before="100"/>
            </w:pPr>
            <w:r>
              <w:rPr>
                <w:b/>
                <w:sz w:val="20"/>
              </w:rPr>
              <w:t>Jornada com Kit</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MEI comum / SIMEI até R$ 81 mil</w:t>
            </w:r>
          </w:p>
        </w:tc>
        <w:tc>
          <w:tcPr>
            <w:tcW w:type="dxa" w:w="1800"/>
            <w:tcBorders>
              <w:top w:val="single" w:sz="4" w:color="D9D9D9"/>
              <w:left w:val="single" w:sz="4" w:color="D9D9D9"/>
              <w:bottom w:val="single" w:sz="4" w:color="D9D9D9"/>
              <w:right w:val="single" w:sz="4" w:color="D9D9D9"/>
            </w:tcBorders>
          </w:tcPr>
          <w:p>
            <w:pPr>
              <w:spacing w:after="100" w:before="100"/>
            </w:pPr>
            <w:r>
              <w:rPr>
                <w:b w:val="0"/>
                <w:sz w:val="20"/>
              </w:rPr>
              <w:t>R$ 397</w:t>
            </w:r>
          </w:p>
        </w:tc>
        <w:tc>
          <w:tcPr>
            <w:tcW w:type="dxa" w:w="2952"/>
            <w:tcBorders>
              <w:top w:val="single" w:sz="4" w:color="D9D9D9"/>
              <w:left w:val="single" w:sz="4" w:color="D9D9D9"/>
              <w:bottom w:val="single" w:sz="4" w:color="D9D9D9"/>
              <w:right w:val="single" w:sz="4" w:color="D9D9D9"/>
            </w:tcBorders>
          </w:tcPr>
          <w:p>
            <w:pPr>
              <w:spacing w:after="100" w:before="100"/>
            </w:pPr>
            <w:r>
              <w:rPr>
                <w:b w:val="0"/>
                <w:sz w:val="20"/>
              </w:rPr>
              <w:t>R$ 1.497, somente se houver demanda</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ME até R$ 360 mil / Simples, Presumido ou Real</w:t>
            </w:r>
          </w:p>
        </w:tc>
        <w:tc>
          <w:tcPr>
            <w:tcW w:type="dxa" w:w="1800"/>
            <w:tcBorders>
              <w:top w:val="single" w:sz="4" w:color="D9D9D9"/>
              <w:left w:val="single" w:sz="4" w:color="D9D9D9"/>
              <w:bottom w:val="single" w:sz="4" w:color="D9D9D9"/>
              <w:right w:val="single" w:sz="4" w:color="D9D9D9"/>
            </w:tcBorders>
          </w:tcPr>
          <w:p>
            <w:pPr>
              <w:spacing w:after="100" w:before="100"/>
            </w:pPr>
            <w:r>
              <w:rPr>
                <w:b w:val="0"/>
                <w:sz w:val="20"/>
              </w:rPr>
              <w:t>R$ 697</w:t>
            </w:r>
          </w:p>
        </w:tc>
        <w:tc>
          <w:tcPr>
            <w:tcW w:type="dxa" w:w="2952"/>
            <w:tcBorders>
              <w:top w:val="single" w:sz="4" w:color="D9D9D9"/>
              <w:left w:val="single" w:sz="4" w:color="D9D9D9"/>
              <w:bottom w:val="single" w:sz="4" w:color="D9D9D9"/>
              <w:right w:val="single" w:sz="4" w:color="D9D9D9"/>
            </w:tcBorders>
          </w:tcPr>
          <w:p>
            <w:pPr>
              <w:spacing w:after="100" w:before="100"/>
            </w:pPr>
            <w:r>
              <w:rPr>
                <w:b w:val="0"/>
                <w:sz w:val="20"/>
              </w:rPr>
              <w:t>R$ 2.297</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EPP acima de R$ 360 mil até R$ 1,5 milhão / regime confirmado</w:t>
            </w:r>
          </w:p>
        </w:tc>
        <w:tc>
          <w:tcPr>
            <w:tcW w:type="dxa" w:w="1800"/>
            <w:tcBorders>
              <w:top w:val="single" w:sz="4" w:color="D9D9D9"/>
              <w:left w:val="single" w:sz="4" w:color="D9D9D9"/>
              <w:bottom w:val="single" w:sz="4" w:color="D9D9D9"/>
              <w:right w:val="single" w:sz="4" w:color="D9D9D9"/>
            </w:tcBorders>
          </w:tcPr>
          <w:p>
            <w:pPr>
              <w:spacing w:after="100" w:before="100"/>
            </w:pPr>
            <w:r>
              <w:rPr>
                <w:b w:val="0"/>
                <w:sz w:val="20"/>
              </w:rPr>
              <w:t>R$ 997</w:t>
            </w:r>
          </w:p>
        </w:tc>
        <w:tc>
          <w:tcPr>
            <w:tcW w:type="dxa" w:w="2952"/>
            <w:tcBorders>
              <w:top w:val="single" w:sz="4" w:color="D9D9D9"/>
              <w:left w:val="single" w:sz="4" w:color="D9D9D9"/>
              <w:bottom w:val="single" w:sz="4" w:color="D9D9D9"/>
              <w:right w:val="single" w:sz="4" w:color="D9D9D9"/>
            </w:tcBorders>
          </w:tcPr>
          <w:p>
            <w:pPr>
              <w:spacing w:after="100" w:before="100"/>
            </w:pPr>
            <w:r>
              <w:rPr>
                <w:b w:val="0"/>
                <w:sz w:val="20"/>
              </w:rPr>
              <w:t>R$ 3.297</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EPP acima de R$ 1,5 milhão até R$ 4,8 milhões / regime confirmado</w:t>
            </w:r>
          </w:p>
        </w:tc>
        <w:tc>
          <w:tcPr>
            <w:tcW w:type="dxa" w:w="1800"/>
            <w:tcBorders>
              <w:top w:val="single" w:sz="4" w:color="D9D9D9"/>
              <w:left w:val="single" w:sz="4" w:color="D9D9D9"/>
              <w:bottom w:val="single" w:sz="4" w:color="D9D9D9"/>
              <w:right w:val="single" w:sz="4" w:color="D9D9D9"/>
            </w:tcBorders>
          </w:tcPr>
          <w:p>
            <w:pPr>
              <w:spacing w:after="100" w:before="100"/>
            </w:pPr>
            <w:r>
              <w:rPr>
                <w:b w:val="0"/>
                <w:sz w:val="20"/>
              </w:rPr>
              <w:t>R$ 1.497</w:t>
            </w:r>
          </w:p>
        </w:tc>
        <w:tc>
          <w:tcPr>
            <w:tcW w:type="dxa" w:w="2952"/>
            <w:tcBorders>
              <w:top w:val="single" w:sz="4" w:color="D9D9D9"/>
              <w:left w:val="single" w:sz="4" w:color="D9D9D9"/>
              <w:bottom w:val="single" w:sz="4" w:color="D9D9D9"/>
              <w:right w:val="single" w:sz="4" w:color="D9D9D9"/>
            </w:tcBorders>
          </w:tcPr>
          <w:p>
            <w:pPr>
              <w:spacing w:after="100" w:before="100"/>
            </w:pPr>
            <w:r>
              <w:rPr>
                <w:b w:val="0"/>
                <w:sz w:val="20"/>
              </w:rPr>
              <w:t>R$ 4.497</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Acima de R$ 4,8 milhões / Presumido ou Real conforme elegibilidade</w:t>
            </w:r>
          </w:p>
        </w:tc>
        <w:tc>
          <w:tcPr>
            <w:tcW w:type="dxa" w:w="1800"/>
            <w:tcBorders>
              <w:top w:val="single" w:sz="4" w:color="D9D9D9"/>
              <w:left w:val="single" w:sz="4" w:color="D9D9D9"/>
              <w:bottom w:val="single" w:sz="4" w:color="D9D9D9"/>
              <w:right w:val="single" w:sz="4" w:color="D9D9D9"/>
            </w:tcBorders>
          </w:tcPr>
          <w:p>
            <w:pPr>
              <w:spacing w:after="100" w:before="100"/>
            </w:pPr>
            <w:r>
              <w:rPr>
                <w:b w:val="0"/>
                <w:sz w:val="20"/>
              </w:rPr>
              <w:t>A partir de R$ 1.497</w:t>
            </w:r>
          </w:p>
        </w:tc>
        <w:tc>
          <w:tcPr>
            <w:tcW w:type="dxa" w:w="2952"/>
            <w:tcBorders>
              <w:top w:val="single" w:sz="4" w:color="D9D9D9"/>
              <w:left w:val="single" w:sz="4" w:color="D9D9D9"/>
              <w:bottom w:val="single" w:sz="4" w:color="D9D9D9"/>
              <w:right w:val="single" w:sz="4" w:color="D9D9D9"/>
            </w:tcBorders>
          </w:tcPr>
          <w:p>
            <w:pPr>
              <w:spacing w:after="100" w:before="100"/>
            </w:pPr>
            <w:r>
              <w:rPr>
                <w:b w:val="0"/>
                <w:sz w:val="20"/>
              </w:rPr>
              <w:t>A partir de R$ 4.497; cotar complexidade</w:t>
            </w:r>
          </w:p>
        </w:tc>
      </w:tr>
    </w:tbl>
    <w:p>
      <w:r>
        <w:t>R$ 1,5 milhão é uma divisão comercial proposta, não categoria tributária legal. Empresas do Presumido ou Real dentro do mesmo porte e escopo recebem a mesma referência de preço. Acima de R$ 4,8 milhões, quantidade de empresas, unidades, usuários e integrações deve orientar a proposta; não se deve tratar todo esse grupo como PME.</w:t>
      </w:r>
    </w:p>
    <w:p>
      <w:pPr>
        <w:pStyle w:val="Heading2"/>
      </w:pPr>
      <w:r>
        <w:t>Duas entregas objetivas</w:t>
      </w:r>
    </w:p>
    <w:p>
      <w:r>
        <w:t>Essencial: Perfil comum, dez medidas prioritárias, resultado orientativo e PMO com ações. Incluir quatro modelos selecionados: conduta, anticorrupção, conflitos de interesses e canal de relatos. Os campos dispensáveis só ficam sem resposta quando a regra do item permitir; simplificação visual não reduz o formulário oficial.</w:t>
      </w:r>
    </w:p>
    <w:p>
      <w:r>
        <w:t>Jornada com Kit: evolução para Pacto, Pró-Ética e requisitos ISO aplicáveis, com matriz cruzada, riscos, PMO e os 14 modelos existentes. Exigir adaptação e aplicação das políticas. Manter um único plano e reutilizar evidência pertinente, evitando vender cada ferramenta como entrega separada.</w:t>
      </w:r>
    </w:p>
    <w:p>
      <w:r>
        <w:t>Referências de peso: R$ 397 / R$ 81 mil = 0,49%; R$ 697 / R$ 360 mil = 0,19%; R$ 3.297 / R$ 1,5 milhão = 0,22%; R$ 4.497 / R$ 4,8 milhões = 0,09%. São percentuais nos tetos das faixas; a proporção aumenta para quem fatura menos.</w:t>
      </w:r>
    </w:p>
    <w:p>
      <w:pPr>
        <w:pStyle w:val="Heading2"/>
        <w:pageBreakBefore/>
      </w:pPr>
      <w:r>
        <w:t>IA suporte e evolução do pacote</w:t>
      </w:r>
    </w:p>
    <w:p>
      <w:r>
        <w:t>Oferecer franquias de 50 e 150 análises e orçamento para o catálogo completo. Definir análise como uma chamada concluída com resultado utilizável, identificando item e tentativa. O catálogo tem 462 itens: 108 Perfil + 223 Conformidade + 80 Pacto + 51 ISO. As dez Essenciais já estão nos 80; nem todo item exige chamada independente. Portanto 360 análises não garantem revisão integral.</w:t>
      </w:r>
    </w:p>
    <w:p>
      <w:r>
        <w:t>Não adoto automaticamente os R$ 497, R$ 1.197 e R$ 1.497 sugeridos para IA: o custo precisa ser medido e a parcela de suporte e serviço deve ser explícita. Tokens, preço comercial e revisão humana são coisas distintas. Os cenários de custo do capítulo 11 são hipóteses; não constituem preço de venda por análise.</w:t>
      </w:r>
    </w:p>
    <w:p>
      <w:r>
        <w:t>Proposta operacional: acesso por 12 meses, com validade dos créditos de IA definida antes da compra, saldo visível e opção de complemento. Não prometer créditos sem prazo e uso ilimitado diante de custos variáveis. Antes de ativar a venda, testar proxy, consumo, erros, retentativas e proteção de dados com conexão real.</w:t>
      </w:r>
    </w:p>
    <w:p>
      <w:r>
        <w:t>Crédito de evolução: permitir abater o Essencial da Jornada com Kit para o mesmo CNPJ em até 12 meses, pagando a diferença. Publicar condições de suporte, renovação, mentoria e parcelamento. Até 12 vezes só deve ser anunciado após confirmar taxas e capacidade do meio de pagamento.</w:t>
      </w:r>
    </w:p>
    <w:p>
      <w:pPr>
        <w:pStyle w:val="Heading2"/>
      </w:pPr>
      <w:r>
        <w:t>Correção sobre integridade em licitações</w:t>
      </w:r>
    </w:p>
    <w:p>
      <w:r>
        <w:t>A Lei 14.133/2021, art. 25, § 4º, exige implantação em contratos de grande vulto, em seis meses da celebração. O art. 60, IV, inclui integridade na sequência de desempate; o art. 156, § 1º, V, considera o programa nas sanções, sem redução automática. O art. 163, parágrafo único, também exige programa para reabilitação em infrações específicas.</w:t>
      </w:r>
    </w:p>
    <w:p>
      <w:r>
        <w:t>Assim, é incompleto afirmar que a obrigação existe somente em grande vulto ou que ser do Simples garante dispensa. Verificar edital, normas locais e contrato. Para muitas PMEs o principal uso é preparação comercial e melhoria de controles. O portal não substitui habilitação, avaliação do programa ou cumprimento de outros requisitos da licitação. O Decreto 12.304/2024 regulamenta hipóteses federais de avaliação.</w:t>
      </w:r>
    </w:p>
    <w:p>
      <w:pPr>
        <w:pStyle w:val="Heading2"/>
      </w:pPr>
      <w:r>
        <w:t>Antes de publicar estas faixas</w:t>
      </w:r>
    </w:p>
    <w:p>
      <w:r>
        <w:t>Testar a entrada com empresas reais de cada faixa, medir suporte e uso de IA e confirmar disposição de pagamento. Apresentar o custo total conhecido e delimitar o que depende de proposta. Preservar o mesmo rigor dos critérios para todos os portes, sem pontuar melhor porque a empresa paga mais.</w:t>
      </w:r>
    </w:p>
    <w:p>
      <w:pPr>
        <w:pStyle w:val="Heading2"/>
      </w:pPr>
      <w:r>
        <w:t>Fontes conferidas</w:t>
      </w:r>
    </w:p>
    <w:p>
      <w:r>
        <w:t>LC 123/2006, arts. 3º e 18-A — https://www.planalto.gov.br/ccivil_03/leis/lcp/lcp123.htm</w:t>
      </w:r>
    </w:p>
    <w:p>
      <w:r>
        <w:t>Lei 9.718/1998, arts. 13 e 14 — https://www.planalto.gov.br/ccivil_03/leis/l9718.htm</w:t>
      </w:r>
    </w:p>
    <w:p>
      <w:r>
        <w:t>Lei 14.133/2021, arts. 25, 60, 156 e 163 — https://www.planalto.gov.br/ccivil_03/_ato2019-2022/2021/lei/l14133.htm</w:t>
      </w:r>
    </w:p>
    <w:p>
      <w:r>
        <w:t>Decreto 12.304/2024 — https://www.planalto.gov.br/ccivil_03/_ato2023-2026/2024/decreto/d12304.htm</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