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EF9BA" w14:textId="43DDDEEB" w:rsidR="001D0340" w:rsidRDefault="00063B97" w:rsidP="00C04D9F">
      <w:pPr>
        <w:pStyle w:val="Heading1"/>
        <w:jc w:val="both"/>
        <w:rPr>
          <w:lang w:val="en-GB"/>
        </w:rPr>
      </w:pPr>
      <w:r>
        <w:rPr>
          <w:lang w:val="en-GB"/>
        </w:rPr>
        <w:t xml:space="preserve">Lab 1 </w:t>
      </w:r>
      <w:r w:rsidR="002D26CA">
        <w:rPr>
          <w:lang w:val="en-GB"/>
        </w:rPr>
        <w:t>–</w:t>
      </w:r>
      <w:r>
        <w:rPr>
          <w:lang w:val="en-GB"/>
        </w:rPr>
        <w:t xml:space="preserve"> Report</w:t>
      </w:r>
    </w:p>
    <w:p w14:paraId="6F91C545" w14:textId="0FF27E94" w:rsidR="002D26CA" w:rsidRDefault="00B97626" w:rsidP="00C04D9F">
      <w:pPr>
        <w:pStyle w:val="Heading2"/>
        <w:jc w:val="both"/>
        <w:rPr>
          <w:lang w:val="en-GB"/>
        </w:rPr>
      </w:pPr>
      <w:r>
        <w:rPr>
          <w:lang w:val="en-GB"/>
        </w:rPr>
        <w:t>Lab</w:t>
      </w:r>
      <w:r w:rsidR="002D26CA">
        <w:rPr>
          <w:lang w:val="en-GB"/>
        </w:rPr>
        <w:t xml:space="preserve"> goals</w:t>
      </w:r>
    </w:p>
    <w:p w14:paraId="7022ACA3" w14:textId="5BFC2DCA" w:rsidR="002D26CA" w:rsidRDefault="005C5343" w:rsidP="00C04D9F">
      <w:pPr>
        <w:jc w:val="both"/>
        <w:rPr>
          <w:lang w:val="en-GB"/>
        </w:rPr>
      </w:pPr>
      <w:r>
        <w:rPr>
          <w:lang w:val="en-GB"/>
        </w:rPr>
        <w:t>This lab has the objective to analysis the impact of cache sizes</w:t>
      </w:r>
      <w:r w:rsidR="00B97626">
        <w:rPr>
          <w:lang w:val="en-GB"/>
        </w:rPr>
        <w:t xml:space="preserve"> on performance</w:t>
      </w:r>
      <w:r>
        <w:rPr>
          <w:lang w:val="en-GB"/>
        </w:rPr>
        <w:t xml:space="preserve"> for different benchmark applications. We modify cache parameters like size, block size</w:t>
      </w:r>
      <w:r w:rsidR="00B97626">
        <w:rPr>
          <w:lang w:val="en-GB"/>
        </w:rPr>
        <w:t xml:space="preserve"> and </w:t>
      </w:r>
      <w:r>
        <w:rPr>
          <w:lang w:val="en-GB"/>
        </w:rPr>
        <w:t xml:space="preserve">associativity to study the </w:t>
      </w:r>
      <w:r w:rsidR="00B97626">
        <w:rPr>
          <w:lang w:val="en-GB"/>
        </w:rPr>
        <w:t>effect</w:t>
      </w:r>
      <w:r>
        <w:rPr>
          <w:lang w:val="en-GB"/>
        </w:rPr>
        <w:t xml:space="preserve"> of each one regarding performance and try to find the optimum configuration for the given benchmarks.</w:t>
      </w:r>
    </w:p>
    <w:p w14:paraId="3833AA7E" w14:textId="1B85ABF7" w:rsidR="002D26CA" w:rsidRDefault="00B97626" w:rsidP="00C04D9F">
      <w:pPr>
        <w:pStyle w:val="Heading2"/>
        <w:jc w:val="both"/>
        <w:rPr>
          <w:lang w:val="en-GB"/>
        </w:rPr>
      </w:pPr>
      <w:r>
        <w:rPr>
          <w:lang w:val="en-GB"/>
        </w:rPr>
        <w:t>Methodology</w:t>
      </w:r>
    </w:p>
    <w:p w14:paraId="490B8720" w14:textId="620FFD4C" w:rsidR="00B97626" w:rsidRDefault="005C5343" w:rsidP="00F2764A">
      <w:pPr>
        <w:jc w:val="both"/>
        <w:rPr>
          <w:lang w:val="en-GB"/>
        </w:rPr>
      </w:pPr>
      <w:r>
        <w:rPr>
          <w:lang w:val="en-GB"/>
        </w:rPr>
        <w:t xml:space="preserve">We use the SimpleScalar </w:t>
      </w:r>
      <w:r w:rsidR="00B97626">
        <w:rPr>
          <w:lang w:val="en-GB"/>
        </w:rPr>
        <w:t>t</w:t>
      </w:r>
      <w:r>
        <w:rPr>
          <w:lang w:val="en-GB"/>
        </w:rPr>
        <w:t>ool set</w:t>
      </w:r>
      <w:r w:rsidR="00B97626">
        <w:rPr>
          <w:lang w:val="en-GB"/>
        </w:rPr>
        <w:t xml:space="preserve"> that simulates a processor (described in a configuration file) that executes given programs (</w:t>
      </w:r>
      <w:r w:rsidR="00C04D9F">
        <w:rPr>
          <w:lang w:val="en-GB"/>
        </w:rPr>
        <w:t xml:space="preserve">cf. table 1). We run the programs for each configuration and measure the individual CPI and MPI for the target cache. </w:t>
      </w:r>
      <w:r w:rsidR="00F2764A">
        <w:rPr>
          <w:lang w:val="en-GB"/>
        </w:rPr>
        <w:t>To find the optimum configuration, we considered the instruction and data cache separately and optimized in the order cache size, associativity and block size while picking the best configuration before moving to the next step.</w:t>
      </w:r>
      <w:r w:rsidR="00C04D9F">
        <w:rPr>
          <w:lang w:val="en-GB"/>
        </w:rPr>
        <w:t xml:space="preserve"> This gives clean speed up values</w:t>
      </w:r>
      <w:r w:rsidR="00F2764A">
        <w:rPr>
          <w:lang w:val="en-GB"/>
        </w:rPr>
        <w:t xml:space="preserve"> per cache</w:t>
      </w:r>
      <w:r w:rsidR="00C04D9F">
        <w:rPr>
          <w:lang w:val="en-GB"/>
        </w:rPr>
        <w:t xml:space="preserve"> while we </w:t>
      </w:r>
      <w:r w:rsidR="00F2764A">
        <w:rPr>
          <w:lang w:val="en-GB"/>
        </w:rPr>
        <w:t>still can</w:t>
      </w:r>
      <w:r w:rsidR="00C04D9F">
        <w:rPr>
          <w:lang w:val="en-GB"/>
        </w:rPr>
        <w:t xml:space="preserve"> combine the optimal configuration afterwards.</w:t>
      </w:r>
      <w:r w:rsidR="002D71C2">
        <w:rPr>
          <w:lang w:val="en-GB"/>
        </w:rPr>
        <w:t xml:space="preserve"> For adjusting the cache size, we increased the number of sets. As the cache size is the product of nsets, block size and associativity, we may have to adjust nsets when changing the other parameteres to keep the cache at the same size.</w:t>
      </w:r>
    </w:p>
    <w:p w14:paraId="1FEC31A2" w14:textId="6A4F81B5" w:rsidR="002D26CA" w:rsidRDefault="00C04D9F" w:rsidP="00C04D9F">
      <w:pPr>
        <w:jc w:val="both"/>
        <w:rPr>
          <w:lang w:val="en-GB"/>
        </w:rPr>
      </w:pPr>
      <w:r>
        <w:rPr>
          <w:lang w:val="en-GB"/>
        </w:rPr>
        <w:t>As two configurations only differ in one cache parameter the CPI is comparable. We use the default configuration as a reference for calculating speed ups and will refer to the calculated speed up for convenience</w:t>
      </w:r>
      <w:r w:rsidR="005675E6">
        <w:rPr>
          <w:lang w:val="en-GB"/>
        </w:rPr>
        <w:t>. The default c</w:t>
      </w:r>
      <w:r w:rsidR="005675E6">
        <w:rPr>
          <w:lang w:val="en-GB"/>
        </w:rPr>
        <w:t xml:space="preserve">onfiguration </w:t>
      </w:r>
      <w:r w:rsidR="005675E6">
        <w:rPr>
          <w:lang w:val="en-GB"/>
        </w:rPr>
        <w:t>has</w:t>
      </w:r>
      <w:r w:rsidR="005675E6">
        <w:rPr>
          <w:lang w:val="en-GB"/>
        </w:rPr>
        <w:t xml:space="preserve"> a</w:t>
      </w:r>
      <w:r w:rsidR="005675E6">
        <w:rPr>
          <w:lang w:val="en-GB"/>
        </w:rPr>
        <w:t xml:space="preserve"> cache</w:t>
      </w:r>
      <w:r w:rsidR="005675E6">
        <w:rPr>
          <w:lang w:val="en-GB"/>
        </w:rPr>
        <w:t xml:space="preserve"> size of 4kB, block size of 32 bytes and associativity of 2.</w:t>
      </w:r>
      <w:r w:rsidR="005675E6">
        <w:rPr>
          <w:lang w:val="en-GB"/>
        </w:rPr>
        <w:t xml:space="preserve"> </w:t>
      </w:r>
      <w:r w:rsidR="00F2764A">
        <w:rPr>
          <w:lang w:val="en-GB"/>
        </w:rPr>
        <w:t>By setting memory latency to one, we can figure out the optimal CPI value per program. This behaves like an optimal cache since all data is available within one clock cycle.</w:t>
      </w:r>
    </w:p>
    <w:p w14:paraId="0BFE52A4" w14:textId="20F76027" w:rsidR="002D26CA" w:rsidRDefault="002D26CA" w:rsidP="00C04D9F">
      <w:pPr>
        <w:pStyle w:val="Heading2"/>
        <w:jc w:val="both"/>
        <w:rPr>
          <w:lang w:val="en-GB"/>
        </w:rPr>
      </w:pPr>
      <w:r>
        <w:rPr>
          <w:lang w:val="en-GB"/>
        </w:rPr>
        <w:t>Simulation results and observations</w:t>
      </w:r>
    </w:p>
    <w:tbl>
      <w:tblPr>
        <w:tblStyle w:val="TableGrid"/>
        <w:tblW w:w="9209" w:type="dxa"/>
        <w:tblLook w:val="04A0" w:firstRow="1" w:lastRow="0" w:firstColumn="1" w:lastColumn="0" w:noHBand="0" w:noVBand="1"/>
      </w:tblPr>
      <w:tblGrid>
        <w:gridCol w:w="760"/>
        <w:gridCol w:w="1327"/>
        <w:gridCol w:w="1380"/>
        <w:gridCol w:w="1421"/>
        <w:gridCol w:w="1440"/>
        <w:gridCol w:w="1441"/>
        <w:gridCol w:w="1440"/>
      </w:tblGrid>
      <w:tr w:rsidR="002039A2" w:rsidRPr="00C04D9F" w14:paraId="6B473457" w14:textId="45CF25D2" w:rsidTr="002039A2">
        <w:tc>
          <w:tcPr>
            <w:tcW w:w="760" w:type="dxa"/>
          </w:tcPr>
          <w:p w14:paraId="1B700B91" w14:textId="2E053CED" w:rsidR="00AC2514" w:rsidRPr="00AC2514" w:rsidRDefault="00AC2514" w:rsidP="00C04D9F">
            <w:pPr>
              <w:jc w:val="both"/>
              <w:rPr>
                <w:b/>
                <w:lang w:val="en-GB"/>
              </w:rPr>
            </w:pPr>
          </w:p>
        </w:tc>
        <w:tc>
          <w:tcPr>
            <w:tcW w:w="1327" w:type="dxa"/>
          </w:tcPr>
          <w:p w14:paraId="3478722C" w14:textId="7560A15F" w:rsidR="00AC2514" w:rsidRPr="00C04D9F" w:rsidRDefault="00C04D9F" w:rsidP="00C04D9F">
            <w:pPr>
              <w:jc w:val="both"/>
              <w:rPr>
                <w:i/>
                <w:lang w:val="en-GB"/>
              </w:rPr>
            </w:pPr>
            <w:r>
              <w:rPr>
                <w:i/>
                <w:lang w:val="en-GB"/>
              </w:rPr>
              <w:t>d</w:t>
            </w:r>
            <w:r w:rsidR="00AC2514" w:rsidRPr="00C04D9F">
              <w:rPr>
                <w:i/>
                <w:lang w:val="en-GB"/>
              </w:rPr>
              <w:t>ijkstra</w:t>
            </w:r>
          </w:p>
        </w:tc>
        <w:tc>
          <w:tcPr>
            <w:tcW w:w="1380" w:type="dxa"/>
          </w:tcPr>
          <w:p w14:paraId="0BC0DA2E" w14:textId="42377550" w:rsidR="00AC2514" w:rsidRPr="00C04D9F" w:rsidRDefault="00C04D9F" w:rsidP="00C04D9F">
            <w:pPr>
              <w:jc w:val="both"/>
              <w:rPr>
                <w:i/>
                <w:lang w:val="en-GB"/>
              </w:rPr>
            </w:pPr>
            <w:r>
              <w:rPr>
                <w:i/>
                <w:lang w:val="en-GB"/>
              </w:rPr>
              <w:t>q</w:t>
            </w:r>
            <w:r w:rsidR="00AC2514" w:rsidRPr="00C04D9F">
              <w:rPr>
                <w:i/>
                <w:lang w:val="en-GB"/>
              </w:rPr>
              <w:t>sort</w:t>
            </w:r>
          </w:p>
        </w:tc>
        <w:tc>
          <w:tcPr>
            <w:tcW w:w="1421" w:type="dxa"/>
          </w:tcPr>
          <w:p w14:paraId="007EC22C" w14:textId="31046589" w:rsidR="00AC2514" w:rsidRPr="00C04D9F" w:rsidRDefault="00C04D9F" w:rsidP="00C04D9F">
            <w:pPr>
              <w:jc w:val="both"/>
              <w:rPr>
                <w:i/>
                <w:lang w:val="en-GB"/>
              </w:rPr>
            </w:pPr>
            <w:r>
              <w:rPr>
                <w:i/>
                <w:lang w:val="en-GB"/>
              </w:rPr>
              <w:t>s</w:t>
            </w:r>
            <w:r w:rsidR="00AC2514" w:rsidRPr="00C04D9F">
              <w:rPr>
                <w:i/>
                <w:lang w:val="en-GB"/>
              </w:rPr>
              <w:t>tringsearch</w:t>
            </w:r>
          </w:p>
        </w:tc>
        <w:tc>
          <w:tcPr>
            <w:tcW w:w="1440" w:type="dxa"/>
          </w:tcPr>
          <w:p w14:paraId="19EBD2F3" w14:textId="46230EBA" w:rsidR="00AC2514" w:rsidRPr="00C04D9F" w:rsidRDefault="00C04D9F" w:rsidP="00C04D9F">
            <w:pPr>
              <w:jc w:val="both"/>
              <w:rPr>
                <w:i/>
                <w:lang w:val="en-GB"/>
              </w:rPr>
            </w:pPr>
            <w:r>
              <w:rPr>
                <w:i/>
                <w:lang w:val="en-GB"/>
              </w:rPr>
              <w:t>g</w:t>
            </w:r>
            <w:r w:rsidR="00AC2514" w:rsidRPr="00C04D9F">
              <w:rPr>
                <w:i/>
                <w:lang w:val="en-GB"/>
              </w:rPr>
              <w:t>sm-untoast</w:t>
            </w:r>
          </w:p>
        </w:tc>
        <w:tc>
          <w:tcPr>
            <w:tcW w:w="1441" w:type="dxa"/>
          </w:tcPr>
          <w:p w14:paraId="07087A44" w14:textId="6401F51B" w:rsidR="00AC2514" w:rsidRPr="00C04D9F" w:rsidRDefault="00C04D9F" w:rsidP="00C04D9F">
            <w:pPr>
              <w:jc w:val="both"/>
              <w:rPr>
                <w:i/>
                <w:lang w:val="en-GB"/>
              </w:rPr>
            </w:pPr>
            <w:r>
              <w:rPr>
                <w:i/>
                <w:lang w:val="en-GB"/>
              </w:rPr>
              <w:t>j</w:t>
            </w:r>
            <w:r w:rsidR="00AC2514" w:rsidRPr="00C04D9F">
              <w:rPr>
                <w:i/>
                <w:lang w:val="en-GB"/>
              </w:rPr>
              <w:t>peg-cjpeg</w:t>
            </w:r>
          </w:p>
        </w:tc>
        <w:tc>
          <w:tcPr>
            <w:tcW w:w="1440" w:type="dxa"/>
          </w:tcPr>
          <w:p w14:paraId="36EABD96" w14:textId="2D1D2CAB" w:rsidR="00AC2514" w:rsidRPr="00C04D9F" w:rsidRDefault="00C04D9F" w:rsidP="00C04D9F">
            <w:pPr>
              <w:jc w:val="both"/>
              <w:rPr>
                <w:i/>
                <w:lang w:val="en-GB"/>
              </w:rPr>
            </w:pPr>
            <w:r>
              <w:rPr>
                <w:i/>
                <w:lang w:val="en-GB"/>
              </w:rPr>
              <w:t>geom. mean</w:t>
            </w:r>
          </w:p>
        </w:tc>
      </w:tr>
      <w:tr w:rsidR="002039A2" w14:paraId="4AB2E604" w14:textId="3D58A43E" w:rsidTr="002039A2">
        <w:tc>
          <w:tcPr>
            <w:tcW w:w="760" w:type="dxa"/>
          </w:tcPr>
          <w:p w14:paraId="25AFE78E" w14:textId="77372FD3" w:rsidR="00AC2514" w:rsidRPr="002039A2" w:rsidRDefault="00AC2514" w:rsidP="00C04D9F">
            <w:pPr>
              <w:jc w:val="both"/>
              <w:rPr>
                <w:i/>
                <w:lang w:val="en-GB"/>
              </w:rPr>
            </w:pPr>
            <w:r w:rsidRPr="002039A2">
              <w:rPr>
                <w:i/>
                <w:lang w:val="en-GB"/>
              </w:rPr>
              <w:t>SP</w:t>
            </w:r>
            <w:r w:rsidRPr="002039A2">
              <w:rPr>
                <w:i/>
                <w:vertAlign w:val="subscript"/>
                <w:lang w:val="en-GB"/>
              </w:rPr>
              <w:t>OPT1</w:t>
            </w:r>
          </w:p>
        </w:tc>
        <w:tc>
          <w:tcPr>
            <w:tcW w:w="1327" w:type="dxa"/>
          </w:tcPr>
          <w:p w14:paraId="6852EAB5" w14:textId="4BF5A839" w:rsidR="00AC2514" w:rsidRPr="002039A2" w:rsidRDefault="00AC2514" w:rsidP="00C04D9F">
            <w:pPr>
              <w:jc w:val="both"/>
              <w:rPr>
                <w:lang w:val="en-GB"/>
              </w:rPr>
            </w:pPr>
            <w:r w:rsidRPr="002039A2">
              <w:rPr>
                <w:lang w:val="en-GB"/>
              </w:rPr>
              <w:t>4.38</w:t>
            </w:r>
            <w:r w:rsidR="000645A6" w:rsidRPr="002039A2">
              <w:rPr>
                <w:lang w:val="en-GB"/>
              </w:rPr>
              <w:t xml:space="preserve"> (95,3%)</w:t>
            </w:r>
          </w:p>
        </w:tc>
        <w:tc>
          <w:tcPr>
            <w:tcW w:w="1380" w:type="dxa"/>
          </w:tcPr>
          <w:p w14:paraId="5002FD77" w14:textId="5282D5BE" w:rsidR="00AC2514" w:rsidRPr="002039A2" w:rsidRDefault="00AC2514" w:rsidP="00C04D9F">
            <w:pPr>
              <w:jc w:val="both"/>
              <w:rPr>
                <w:lang w:val="en-GB"/>
              </w:rPr>
            </w:pPr>
            <w:r w:rsidRPr="002039A2">
              <w:rPr>
                <w:lang w:val="en-GB"/>
              </w:rPr>
              <w:t>5.4</w:t>
            </w:r>
            <w:r w:rsidR="00E45BD2" w:rsidRPr="002039A2">
              <w:rPr>
                <w:lang w:val="en-GB"/>
              </w:rPr>
              <w:t>3</w:t>
            </w:r>
            <w:r w:rsidR="000645A6" w:rsidRPr="002039A2">
              <w:rPr>
                <w:lang w:val="en-GB"/>
              </w:rPr>
              <w:t xml:space="preserve"> (75,1%)</w:t>
            </w:r>
          </w:p>
        </w:tc>
        <w:tc>
          <w:tcPr>
            <w:tcW w:w="1421" w:type="dxa"/>
          </w:tcPr>
          <w:p w14:paraId="1DC2A4A9" w14:textId="421AD95F" w:rsidR="00AC2514" w:rsidRPr="002039A2" w:rsidRDefault="00AC2514" w:rsidP="00C04D9F">
            <w:pPr>
              <w:jc w:val="both"/>
              <w:rPr>
                <w:lang w:val="en-GB"/>
              </w:rPr>
            </w:pPr>
            <w:r w:rsidRPr="002039A2">
              <w:rPr>
                <w:lang w:val="en-GB"/>
              </w:rPr>
              <w:t>6.3</w:t>
            </w:r>
            <w:r w:rsidR="00E45BD2" w:rsidRPr="002039A2">
              <w:rPr>
                <w:lang w:val="en-GB"/>
              </w:rPr>
              <w:t>3</w:t>
            </w:r>
            <w:r w:rsidR="000645A6" w:rsidRPr="002039A2">
              <w:rPr>
                <w:lang w:val="en-GB"/>
              </w:rPr>
              <w:t xml:space="preserve"> (78,1%)</w:t>
            </w:r>
          </w:p>
        </w:tc>
        <w:tc>
          <w:tcPr>
            <w:tcW w:w="1440" w:type="dxa"/>
          </w:tcPr>
          <w:p w14:paraId="4F33A67C" w14:textId="055D8122" w:rsidR="00AC2514" w:rsidRPr="002039A2" w:rsidRDefault="00AC2514" w:rsidP="00C04D9F">
            <w:pPr>
              <w:jc w:val="both"/>
              <w:rPr>
                <w:lang w:val="en-GB"/>
              </w:rPr>
            </w:pPr>
            <w:r w:rsidRPr="002039A2">
              <w:rPr>
                <w:lang w:val="en-GB"/>
              </w:rPr>
              <w:t>1.76</w:t>
            </w:r>
            <w:r w:rsidR="000645A6" w:rsidRPr="002039A2">
              <w:rPr>
                <w:lang w:val="en-GB"/>
              </w:rPr>
              <w:t xml:space="preserve"> (99,4%)</w:t>
            </w:r>
          </w:p>
        </w:tc>
        <w:tc>
          <w:tcPr>
            <w:tcW w:w="1441" w:type="dxa"/>
          </w:tcPr>
          <w:p w14:paraId="0B86BAA4" w14:textId="5F7FD5D8" w:rsidR="00AC2514" w:rsidRPr="002039A2" w:rsidRDefault="00AC2514" w:rsidP="00C04D9F">
            <w:pPr>
              <w:jc w:val="both"/>
              <w:rPr>
                <w:lang w:val="en-GB"/>
              </w:rPr>
            </w:pPr>
            <w:r w:rsidRPr="002039A2">
              <w:rPr>
                <w:lang w:val="en-GB"/>
              </w:rPr>
              <w:t>2.90</w:t>
            </w:r>
            <w:r w:rsidR="000645A6" w:rsidRPr="002039A2">
              <w:rPr>
                <w:lang w:val="en-GB"/>
              </w:rPr>
              <w:t xml:space="preserve"> (93,9%)</w:t>
            </w:r>
          </w:p>
        </w:tc>
        <w:tc>
          <w:tcPr>
            <w:tcW w:w="1440" w:type="dxa"/>
          </w:tcPr>
          <w:p w14:paraId="0CA1A256" w14:textId="073A00F6" w:rsidR="00AC2514" w:rsidRPr="002039A2" w:rsidRDefault="00AC2514" w:rsidP="00C04D9F">
            <w:pPr>
              <w:jc w:val="both"/>
              <w:rPr>
                <w:rFonts w:ascii="Calibri" w:hAnsi="Calibri" w:cs="Calibri"/>
                <w:color w:val="000000"/>
              </w:rPr>
            </w:pPr>
            <w:r w:rsidRPr="002039A2">
              <w:rPr>
                <w:rFonts w:ascii="Calibri" w:hAnsi="Calibri" w:cs="Calibri"/>
                <w:color w:val="000000"/>
              </w:rPr>
              <w:t>3.7</w:t>
            </w:r>
            <w:r w:rsidR="00E45BD2" w:rsidRPr="002039A2">
              <w:rPr>
                <w:rFonts w:ascii="Calibri" w:hAnsi="Calibri" w:cs="Calibri"/>
                <w:color w:val="000000"/>
              </w:rPr>
              <w:t xml:space="preserve">8 </w:t>
            </w:r>
            <w:r w:rsidR="000645A6" w:rsidRPr="002039A2">
              <w:rPr>
                <w:rFonts w:ascii="Calibri" w:hAnsi="Calibri" w:cs="Calibri"/>
                <w:color w:val="000000"/>
              </w:rPr>
              <w:t>(87,8%)</w:t>
            </w:r>
          </w:p>
        </w:tc>
      </w:tr>
      <w:tr w:rsidR="002039A2" w14:paraId="2A2F2941" w14:textId="746161CD" w:rsidTr="002039A2">
        <w:tc>
          <w:tcPr>
            <w:tcW w:w="760" w:type="dxa"/>
          </w:tcPr>
          <w:p w14:paraId="4C2F0962" w14:textId="34F62390" w:rsidR="00AC2514" w:rsidRPr="002039A2" w:rsidRDefault="00AC2514" w:rsidP="00C04D9F">
            <w:pPr>
              <w:jc w:val="both"/>
              <w:rPr>
                <w:i/>
                <w:lang w:val="en-GB"/>
              </w:rPr>
            </w:pPr>
            <w:r w:rsidRPr="002039A2">
              <w:rPr>
                <w:i/>
                <w:lang w:val="en-GB"/>
              </w:rPr>
              <w:t>SP</w:t>
            </w:r>
            <w:r w:rsidRPr="002039A2">
              <w:rPr>
                <w:i/>
                <w:vertAlign w:val="subscript"/>
                <w:lang w:val="en-GB"/>
              </w:rPr>
              <w:t>OPT2</w:t>
            </w:r>
          </w:p>
        </w:tc>
        <w:tc>
          <w:tcPr>
            <w:tcW w:w="1327" w:type="dxa"/>
          </w:tcPr>
          <w:p w14:paraId="4387DDF3" w14:textId="2476671E" w:rsidR="00AC2514" w:rsidRPr="002039A2" w:rsidRDefault="00AC2514" w:rsidP="00C04D9F">
            <w:pPr>
              <w:jc w:val="both"/>
              <w:rPr>
                <w:lang w:val="en-GB"/>
              </w:rPr>
            </w:pPr>
            <w:r w:rsidRPr="002039A2">
              <w:rPr>
                <w:lang w:val="en-GB"/>
              </w:rPr>
              <w:t>3.7</w:t>
            </w:r>
            <w:r w:rsidR="00E45BD2" w:rsidRPr="002039A2">
              <w:rPr>
                <w:lang w:val="en-GB"/>
              </w:rPr>
              <w:t>2</w:t>
            </w:r>
            <w:r w:rsidR="000645A6" w:rsidRPr="002039A2">
              <w:rPr>
                <w:lang w:val="en-GB"/>
              </w:rPr>
              <w:t xml:space="preserve"> (80,9%)</w:t>
            </w:r>
          </w:p>
        </w:tc>
        <w:tc>
          <w:tcPr>
            <w:tcW w:w="1380" w:type="dxa"/>
          </w:tcPr>
          <w:p w14:paraId="4E5A9BF4" w14:textId="5357E993" w:rsidR="00AC2514" w:rsidRPr="002039A2" w:rsidRDefault="00AC2514" w:rsidP="00C04D9F">
            <w:pPr>
              <w:jc w:val="both"/>
              <w:rPr>
                <w:lang w:val="en-GB"/>
              </w:rPr>
            </w:pPr>
            <w:r w:rsidRPr="002039A2">
              <w:rPr>
                <w:lang w:val="en-GB"/>
              </w:rPr>
              <w:t>5.34</w:t>
            </w:r>
            <w:r w:rsidR="000645A6" w:rsidRPr="002039A2">
              <w:rPr>
                <w:lang w:val="en-GB"/>
              </w:rPr>
              <w:t xml:space="preserve"> (74,0%)</w:t>
            </w:r>
          </w:p>
        </w:tc>
        <w:tc>
          <w:tcPr>
            <w:tcW w:w="1421" w:type="dxa"/>
          </w:tcPr>
          <w:p w14:paraId="051DAFF8" w14:textId="19ECD8CB" w:rsidR="00AC2514" w:rsidRPr="002039A2" w:rsidRDefault="00AC2514" w:rsidP="00C04D9F">
            <w:pPr>
              <w:jc w:val="both"/>
              <w:rPr>
                <w:lang w:val="en-GB"/>
              </w:rPr>
            </w:pPr>
            <w:r w:rsidRPr="002039A2">
              <w:rPr>
                <w:lang w:val="en-GB"/>
              </w:rPr>
              <w:t>5.9</w:t>
            </w:r>
            <w:r w:rsidR="00E45BD2" w:rsidRPr="002039A2">
              <w:rPr>
                <w:lang w:val="en-GB"/>
              </w:rPr>
              <w:t>6</w:t>
            </w:r>
            <w:r w:rsidR="000645A6" w:rsidRPr="002039A2">
              <w:rPr>
                <w:lang w:val="en-GB"/>
              </w:rPr>
              <w:t xml:space="preserve"> (73,5%)</w:t>
            </w:r>
          </w:p>
        </w:tc>
        <w:tc>
          <w:tcPr>
            <w:tcW w:w="1440" w:type="dxa"/>
          </w:tcPr>
          <w:p w14:paraId="5EF465C7" w14:textId="6382E57D" w:rsidR="00AC2514" w:rsidRPr="002039A2" w:rsidRDefault="00AC2514" w:rsidP="00C04D9F">
            <w:pPr>
              <w:jc w:val="both"/>
              <w:rPr>
                <w:lang w:val="en-GB"/>
              </w:rPr>
            </w:pPr>
            <w:r w:rsidRPr="002039A2">
              <w:rPr>
                <w:lang w:val="en-GB"/>
              </w:rPr>
              <w:t>1.7</w:t>
            </w:r>
            <w:r w:rsidR="00E45BD2" w:rsidRPr="002039A2">
              <w:rPr>
                <w:lang w:val="en-GB"/>
              </w:rPr>
              <w:t>5</w:t>
            </w:r>
            <w:r w:rsidR="000645A6" w:rsidRPr="002039A2">
              <w:rPr>
                <w:lang w:val="en-GB"/>
              </w:rPr>
              <w:t xml:space="preserve"> (98,5%)</w:t>
            </w:r>
          </w:p>
        </w:tc>
        <w:tc>
          <w:tcPr>
            <w:tcW w:w="1441" w:type="dxa"/>
          </w:tcPr>
          <w:p w14:paraId="60F17555" w14:textId="1634CD40" w:rsidR="00AC2514" w:rsidRPr="002039A2" w:rsidRDefault="00AC2514" w:rsidP="00C04D9F">
            <w:pPr>
              <w:jc w:val="both"/>
              <w:rPr>
                <w:lang w:val="en-GB"/>
              </w:rPr>
            </w:pPr>
            <w:r w:rsidRPr="002039A2">
              <w:rPr>
                <w:lang w:val="en-GB"/>
              </w:rPr>
              <w:t>2.66</w:t>
            </w:r>
            <w:r w:rsidR="000645A6" w:rsidRPr="002039A2">
              <w:rPr>
                <w:lang w:val="en-GB"/>
              </w:rPr>
              <w:t xml:space="preserve"> (86,2%)</w:t>
            </w:r>
          </w:p>
        </w:tc>
        <w:tc>
          <w:tcPr>
            <w:tcW w:w="1440" w:type="dxa"/>
          </w:tcPr>
          <w:p w14:paraId="56F1E723" w14:textId="2A7AFB95" w:rsidR="00AC2514" w:rsidRPr="002039A2" w:rsidRDefault="00AC2514" w:rsidP="00C04D9F">
            <w:pPr>
              <w:jc w:val="both"/>
              <w:rPr>
                <w:rFonts w:ascii="Calibri" w:hAnsi="Calibri" w:cs="Calibri"/>
                <w:color w:val="000000"/>
              </w:rPr>
            </w:pPr>
            <w:r w:rsidRPr="002039A2">
              <w:rPr>
                <w:rFonts w:ascii="Calibri" w:hAnsi="Calibri" w:cs="Calibri"/>
                <w:color w:val="000000"/>
              </w:rPr>
              <w:t>3.53</w:t>
            </w:r>
            <w:r w:rsidR="000645A6" w:rsidRPr="002039A2">
              <w:rPr>
                <w:rFonts w:ascii="Calibri" w:hAnsi="Calibri" w:cs="Calibri"/>
                <w:color w:val="000000"/>
              </w:rPr>
              <w:t xml:space="preserve"> (82,1%)</w:t>
            </w:r>
          </w:p>
        </w:tc>
      </w:tr>
      <w:tr w:rsidR="002039A2" w14:paraId="36391DA2" w14:textId="77777777" w:rsidTr="002039A2">
        <w:tc>
          <w:tcPr>
            <w:tcW w:w="760" w:type="dxa"/>
          </w:tcPr>
          <w:p w14:paraId="417F65DF" w14:textId="1430EE17" w:rsidR="00AC2514" w:rsidRPr="002039A2" w:rsidRDefault="00AC2514" w:rsidP="00C04D9F">
            <w:pPr>
              <w:jc w:val="both"/>
              <w:rPr>
                <w:i/>
                <w:lang w:val="en-GB"/>
              </w:rPr>
            </w:pPr>
            <w:r w:rsidRPr="002039A2">
              <w:rPr>
                <w:i/>
                <w:lang w:val="en-GB"/>
              </w:rPr>
              <w:t>SP</w:t>
            </w:r>
            <w:r w:rsidRPr="002039A2">
              <w:rPr>
                <w:i/>
                <w:vertAlign w:val="subscript"/>
                <w:lang w:val="en-GB"/>
              </w:rPr>
              <w:t>IDEAL</w:t>
            </w:r>
          </w:p>
        </w:tc>
        <w:tc>
          <w:tcPr>
            <w:tcW w:w="1327" w:type="dxa"/>
          </w:tcPr>
          <w:p w14:paraId="4F73FF24" w14:textId="648F399E" w:rsidR="00AC2514" w:rsidRDefault="00AC2514" w:rsidP="00C04D9F">
            <w:pPr>
              <w:jc w:val="both"/>
              <w:rPr>
                <w:lang w:val="en-GB"/>
              </w:rPr>
            </w:pPr>
            <w:r>
              <w:rPr>
                <w:lang w:val="en-GB"/>
              </w:rPr>
              <w:t>4.</w:t>
            </w:r>
            <w:r w:rsidR="00E45BD2">
              <w:rPr>
                <w:lang w:val="en-GB"/>
              </w:rPr>
              <w:t>60</w:t>
            </w:r>
          </w:p>
        </w:tc>
        <w:tc>
          <w:tcPr>
            <w:tcW w:w="1380" w:type="dxa"/>
          </w:tcPr>
          <w:p w14:paraId="300FEDD5" w14:textId="5964FCAF" w:rsidR="00AC2514" w:rsidRDefault="00AC2514" w:rsidP="00C04D9F">
            <w:pPr>
              <w:jc w:val="both"/>
              <w:rPr>
                <w:lang w:val="en-GB"/>
              </w:rPr>
            </w:pPr>
            <w:r>
              <w:rPr>
                <w:lang w:val="en-GB"/>
              </w:rPr>
              <w:t>7.2</w:t>
            </w:r>
            <w:r w:rsidR="00E45BD2">
              <w:rPr>
                <w:lang w:val="en-GB"/>
              </w:rPr>
              <w:t>3</w:t>
            </w:r>
          </w:p>
        </w:tc>
        <w:tc>
          <w:tcPr>
            <w:tcW w:w="1421" w:type="dxa"/>
          </w:tcPr>
          <w:p w14:paraId="6E23D17A" w14:textId="630F72A1" w:rsidR="00AC2514" w:rsidRDefault="00AC2514" w:rsidP="00C04D9F">
            <w:pPr>
              <w:jc w:val="both"/>
              <w:rPr>
                <w:lang w:val="en-GB"/>
              </w:rPr>
            </w:pPr>
            <w:r>
              <w:rPr>
                <w:lang w:val="en-GB"/>
              </w:rPr>
              <w:t>8.</w:t>
            </w:r>
            <w:r w:rsidR="00E45BD2">
              <w:rPr>
                <w:lang w:val="en-GB"/>
              </w:rPr>
              <w:t>10</w:t>
            </w:r>
          </w:p>
        </w:tc>
        <w:tc>
          <w:tcPr>
            <w:tcW w:w="1440" w:type="dxa"/>
          </w:tcPr>
          <w:p w14:paraId="6F283200" w14:textId="0605A17A" w:rsidR="00AC2514" w:rsidRDefault="00AC2514" w:rsidP="00C04D9F">
            <w:pPr>
              <w:jc w:val="both"/>
              <w:rPr>
                <w:lang w:val="en-GB"/>
              </w:rPr>
            </w:pPr>
            <w:r>
              <w:rPr>
                <w:lang w:val="en-GB"/>
              </w:rPr>
              <w:t>1.77</w:t>
            </w:r>
          </w:p>
        </w:tc>
        <w:tc>
          <w:tcPr>
            <w:tcW w:w="1441" w:type="dxa"/>
          </w:tcPr>
          <w:p w14:paraId="74130D6D" w14:textId="7412B5AD" w:rsidR="00AC2514" w:rsidRDefault="00AC2514" w:rsidP="00C04D9F">
            <w:pPr>
              <w:jc w:val="both"/>
              <w:rPr>
                <w:lang w:val="en-GB"/>
              </w:rPr>
            </w:pPr>
            <w:r>
              <w:rPr>
                <w:lang w:val="en-GB"/>
              </w:rPr>
              <w:t>3.09</w:t>
            </w:r>
          </w:p>
        </w:tc>
        <w:tc>
          <w:tcPr>
            <w:tcW w:w="1440" w:type="dxa"/>
          </w:tcPr>
          <w:p w14:paraId="19F7104D" w14:textId="16EAE2A8" w:rsidR="00AC2514" w:rsidRPr="00AC2514" w:rsidRDefault="00AC2514" w:rsidP="00C04D9F">
            <w:pPr>
              <w:keepNext/>
              <w:jc w:val="both"/>
              <w:rPr>
                <w:rFonts w:ascii="Calibri" w:hAnsi="Calibri" w:cs="Calibri"/>
                <w:color w:val="000000"/>
              </w:rPr>
            </w:pPr>
            <w:r>
              <w:rPr>
                <w:rFonts w:ascii="Calibri" w:hAnsi="Calibri" w:cs="Calibri"/>
                <w:color w:val="000000"/>
              </w:rPr>
              <w:t>4.30</w:t>
            </w:r>
          </w:p>
        </w:tc>
      </w:tr>
    </w:tbl>
    <w:p w14:paraId="78072081" w14:textId="731D6C2A" w:rsidR="00B97626" w:rsidRPr="00B97626" w:rsidRDefault="00B97626" w:rsidP="00C04D9F">
      <w:pPr>
        <w:pStyle w:val="Caption"/>
        <w:jc w:val="both"/>
        <w:rPr>
          <w:lang w:val="en-GB"/>
        </w:rPr>
      </w:pPr>
      <w:r w:rsidRPr="00B97626">
        <w:rPr>
          <w:lang w:val="en-GB"/>
        </w:rPr>
        <w:t xml:space="preserve">Table </w:t>
      </w:r>
      <w:r>
        <w:fldChar w:fldCharType="begin"/>
      </w:r>
      <w:r w:rsidRPr="00B97626">
        <w:rPr>
          <w:lang w:val="en-GB"/>
        </w:rPr>
        <w:instrText xml:space="preserve"> SEQ Table \* ARABIC </w:instrText>
      </w:r>
      <w:r>
        <w:fldChar w:fldCharType="separate"/>
      </w:r>
      <w:r w:rsidR="00DB5431">
        <w:rPr>
          <w:noProof/>
          <w:lang w:val="en-GB"/>
        </w:rPr>
        <w:t>1</w:t>
      </w:r>
      <w:r>
        <w:fldChar w:fldCharType="end"/>
      </w:r>
      <w:r w:rsidRPr="00B97626">
        <w:rPr>
          <w:lang w:val="en-GB"/>
        </w:rPr>
        <w:t>: final speed ups for given benchmark programs. Speed up refers to base config without modification</w:t>
      </w:r>
    </w:p>
    <w:p w14:paraId="65F2D90A" w14:textId="5ED29CF5" w:rsidR="009A3E99" w:rsidRDefault="00F2764A" w:rsidP="00C04D9F">
      <w:pPr>
        <w:jc w:val="both"/>
        <w:rPr>
          <w:lang w:val="en-GB"/>
        </w:rPr>
      </w:pPr>
      <w:r>
        <w:rPr>
          <w:lang w:val="en-GB"/>
        </w:rPr>
        <w:t>Table 1</w:t>
      </w:r>
      <w:r w:rsidR="00AC2514">
        <w:rPr>
          <w:lang w:val="en-GB"/>
        </w:rPr>
        <w:t xml:space="preserve"> </w:t>
      </w:r>
      <w:r w:rsidR="002039A2">
        <w:rPr>
          <w:lang w:val="en-GB"/>
        </w:rPr>
        <w:t>gives</w:t>
      </w:r>
      <w:r w:rsidR="00AC2514">
        <w:rPr>
          <w:lang w:val="en-GB"/>
        </w:rPr>
        <w:t xml:space="preserve"> SP</w:t>
      </w:r>
      <w:r w:rsidR="00AC2514">
        <w:rPr>
          <w:vertAlign w:val="subscript"/>
          <w:lang w:val="en-GB"/>
        </w:rPr>
        <w:t>IDEAL</w:t>
      </w:r>
      <w:r w:rsidR="002039A2">
        <w:rPr>
          <w:vertAlign w:val="subscript"/>
          <w:lang w:val="en-GB"/>
        </w:rPr>
        <w:t xml:space="preserve"> </w:t>
      </w:r>
      <w:r w:rsidR="002039A2">
        <w:rPr>
          <w:lang w:val="en-GB"/>
        </w:rPr>
        <w:t>per benchmark program, which is t</w:t>
      </w:r>
      <w:r>
        <w:rPr>
          <w:lang w:val="en-GB"/>
        </w:rPr>
        <w:t>he upper bound for speed u</w:t>
      </w:r>
      <w:r w:rsidR="002039A2">
        <w:rPr>
          <w:lang w:val="en-GB"/>
        </w:rPr>
        <w:t>p</w:t>
      </w:r>
      <w:r w:rsidR="00AC2514">
        <w:rPr>
          <w:lang w:val="en-GB"/>
        </w:rPr>
        <w:t>.</w:t>
      </w:r>
      <w:r w:rsidR="002039A2">
        <w:rPr>
          <w:lang w:val="en-GB"/>
        </w:rPr>
        <w:t xml:space="preserve"> This is a measure for memory usage of each application. A</w:t>
      </w:r>
      <w:bookmarkStart w:id="0" w:name="_GoBack"/>
      <w:bookmarkEnd w:id="0"/>
      <w:r w:rsidR="002039A2">
        <w:rPr>
          <w:lang w:val="en-GB"/>
        </w:rPr>
        <w:t xml:space="preserve"> lower speed-up implies that the application does less suffer from memory latency, hence “</w:t>
      </w:r>
      <w:r w:rsidR="00F37A80">
        <w:rPr>
          <w:lang w:val="en-GB"/>
        </w:rPr>
        <w:t>s</w:t>
      </w:r>
      <w:r w:rsidR="002039A2">
        <w:rPr>
          <w:lang w:val="en-GB"/>
        </w:rPr>
        <w:t>tringsearch” and “</w:t>
      </w:r>
      <w:r w:rsidR="00F37A80">
        <w:rPr>
          <w:lang w:val="en-GB"/>
        </w:rPr>
        <w:t>q</w:t>
      </w:r>
      <w:r w:rsidR="002039A2">
        <w:rPr>
          <w:lang w:val="en-GB"/>
        </w:rPr>
        <w:t>sort” are the applications where the memory subsystem is most responsible for execution time.</w:t>
      </w:r>
      <w:r w:rsidR="00AC2514">
        <w:rPr>
          <w:lang w:val="en-GB"/>
        </w:rPr>
        <w:t xml:space="preserve"> </w:t>
      </w:r>
      <w:r w:rsidR="002039A2">
        <w:rPr>
          <w:lang w:val="en-GB"/>
        </w:rPr>
        <w:t>We pick them as target programs for the following optimizations</w:t>
      </w:r>
      <w:r w:rsidR="00DB5431">
        <w:rPr>
          <w:lang w:val="en-GB"/>
        </w:rPr>
        <w:t xml:space="preserve"> of data and instruction cache.</w:t>
      </w:r>
    </w:p>
    <w:tbl>
      <w:tblPr>
        <w:tblStyle w:val="TableGrid"/>
        <w:tblpPr w:leftFromText="141" w:rightFromText="141" w:vertAnchor="text" w:horzAnchor="margin" w:tblpXSpec="right" w:tblpY="87"/>
        <w:tblW w:w="0" w:type="auto"/>
        <w:tblLook w:val="04A0" w:firstRow="1" w:lastRow="0" w:firstColumn="1" w:lastColumn="0" w:noHBand="0" w:noVBand="1"/>
      </w:tblPr>
      <w:tblGrid>
        <w:gridCol w:w="1413"/>
        <w:gridCol w:w="872"/>
        <w:gridCol w:w="1134"/>
      </w:tblGrid>
      <w:tr w:rsidR="00DB5431" w14:paraId="541D8F22" w14:textId="77777777" w:rsidTr="00DB5431">
        <w:tc>
          <w:tcPr>
            <w:tcW w:w="1413" w:type="dxa"/>
          </w:tcPr>
          <w:p w14:paraId="0F0A093B" w14:textId="1F2CD1EC" w:rsidR="00DB5431" w:rsidRPr="00DB5431" w:rsidRDefault="00DB5431" w:rsidP="00C04D9F">
            <w:pPr>
              <w:jc w:val="both"/>
              <w:rPr>
                <w:i/>
                <w:lang w:val="en-GB"/>
              </w:rPr>
            </w:pPr>
          </w:p>
        </w:tc>
        <w:tc>
          <w:tcPr>
            <w:tcW w:w="872" w:type="dxa"/>
          </w:tcPr>
          <w:p w14:paraId="0F10DA41" w14:textId="77777777" w:rsidR="00DB5431" w:rsidRPr="00DB5431" w:rsidRDefault="00DB5431" w:rsidP="00C04D9F">
            <w:pPr>
              <w:jc w:val="both"/>
              <w:rPr>
                <w:i/>
                <w:vertAlign w:val="subscript"/>
                <w:lang w:val="en-GB"/>
              </w:rPr>
            </w:pPr>
            <w:r w:rsidRPr="00DB5431">
              <w:rPr>
                <w:i/>
                <w:lang w:val="en-GB"/>
              </w:rPr>
              <w:t>SP</w:t>
            </w:r>
            <w:r w:rsidRPr="00DB5431">
              <w:rPr>
                <w:i/>
                <w:vertAlign w:val="subscript"/>
                <w:lang w:val="en-GB"/>
              </w:rPr>
              <w:t>D</w:t>
            </w:r>
          </w:p>
        </w:tc>
        <w:tc>
          <w:tcPr>
            <w:tcW w:w="1134" w:type="dxa"/>
          </w:tcPr>
          <w:p w14:paraId="14919D79" w14:textId="77777777" w:rsidR="00DB5431" w:rsidRPr="00DB5431" w:rsidRDefault="00DB5431" w:rsidP="00C04D9F">
            <w:pPr>
              <w:jc w:val="both"/>
              <w:rPr>
                <w:i/>
                <w:vertAlign w:val="subscript"/>
                <w:lang w:val="en-GB"/>
              </w:rPr>
            </w:pPr>
            <w:r w:rsidRPr="00DB5431">
              <w:rPr>
                <w:i/>
                <w:lang w:val="en-GB"/>
              </w:rPr>
              <w:t>SP</w:t>
            </w:r>
            <w:r w:rsidRPr="00DB5431">
              <w:rPr>
                <w:i/>
                <w:vertAlign w:val="subscript"/>
                <w:lang w:val="en-GB"/>
              </w:rPr>
              <w:t>I</w:t>
            </w:r>
          </w:p>
        </w:tc>
      </w:tr>
      <w:tr w:rsidR="00DB5431" w14:paraId="381EFE10" w14:textId="77777777" w:rsidTr="00DB5431">
        <w:tc>
          <w:tcPr>
            <w:tcW w:w="1413" w:type="dxa"/>
          </w:tcPr>
          <w:p w14:paraId="0D08E3D8" w14:textId="7B66BB05" w:rsidR="00DB5431" w:rsidRDefault="00DB5431" w:rsidP="00C04D9F">
            <w:pPr>
              <w:jc w:val="both"/>
              <w:rPr>
                <w:lang w:val="en-GB"/>
              </w:rPr>
            </w:pPr>
            <w:r>
              <w:rPr>
                <w:lang w:val="en-GB"/>
              </w:rPr>
              <w:t>stringsearch</w:t>
            </w:r>
          </w:p>
        </w:tc>
        <w:tc>
          <w:tcPr>
            <w:tcW w:w="872" w:type="dxa"/>
          </w:tcPr>
          <w:p w14:paraId="29199CCD" w14:textId="7D7FEE37" w:rsidR="00DB5431" w:rsidRDefault="00DB5431" w:rsidP="00C04D9F">
            <w:pPr>
              <w:jc w:val="both"/>
              <w:rPr>
                <w:lang w:val="en-GB"/>
              </w:rPr>
            </w:pPr>
            <w:r>
              <w:rPr>
                <w:lang w:val="en-GB"/>
              </w:rPr>
              <w:t>1.0076</w:t>
            </w:r>
          </w:p>
        </w:tc>
        <w:tc>
          <w:tcPr>
            <w:tcW w:w="1134" w:type="dxa"/>
          </w:tcPr>
          <w:p w14:paraId="56A13B50" w14:textId="77777777" w:rsidR="00DB5431" w:rsidRDefault="00DB5431" w:rsidP="00C04D9F">
            <w:pPr>
              <w:jc w:val="both"/>
              <w:rPr>
                <w:lang w:val="en-GB"/>
              </w:rPr>
            </w:pPr>
            <w:r>
              <w:rPr>
                <w:lang w:val="en-GB"/>
              </w:rPr>
              <w:t>7.0386</w:t>
            </w:r>
          </w:p>
        </w:tc>
      </w:tr>
      <w:tr w:rsidR="00DB5431" w14:paraId="6976234B" w14:textId="77777777" w:rsidTr="00DB5431">
        <w:tc>
          <w:tcPr>
            <w:tcW w:w="1413" w:type="dxa"/>
          </w:tcPr>
          <w:p w14:paraId="18056B0F" w14:textId="2C3A98FB" w:rsidR="00DB5431" w:rsidRDefault="00DB5431" w:rsidP="00C04D9F">
            <w:pPr>
              <w:jc w:val="both"/>
              <w:rPr>
                <w:lang w:val="en-GB"/>
              </w:rPr>
            </w:pPr>
            <w:r>
              <w:rPr>
                <w:lang w:val="en-GB"/>
              </w:rPr>
              <w:t>qsort</w:t>
            </w:r>
          </w:p>
        </w:tc>
        <w:tc>
          <w:tcPr>
            <w:tcW w:w="872" w:type="dxa"/>
          </w:tcPr>
          <w:p w14:paraId="22E8CE41" w14:textId="77777777" w:rsidR="00DB5431" w:rsidRDefault="00DB5431" w:rsidP="00C04D9F">
            <w:pPr>
              <w:jc w:val="both"/>
              <w:rPr>
                <w:lang w:val="en-GB"/>
              </w:rPr>
            </w:pPr>
            <w:r>
              <w:rPr>
                <w:lang w:val="en-GB"/>
              </w:rPr>
              <w:t>1.2035</w:t>
            </w:r>
          </w:p>
        </w:tc>
        <w:tc>
          <w:tcPr>
            <w:tcW w:w="1134" w:type="dxa"/>
          </w:tcPr>
          <w:p w14:paraId="583D691B" w14:textId="77777777" w:rsidR="00DB5431" w:rsidRDefault="00DB5431" w:rsidP="00C04D9F">
            <w:pPr>
              <w:jc w:val="both"/>
              <w:rPr>
                <w:lang w:val="en-GB"/>
              </w:rPr>
            </w:pPr>
            <w:r>
              <w:rPr>
                <w:lang w:val="en-GB"/>
              </w:rPr>
              <w:t>2.5738</w:t>
            </w:r>
          </w:p>
        </w:tc>
      </w:tr>
      <w:tr w:rsidR="00DB5431" w14:paraId="767B123A" w14:textId="77777777" w:rsidTr="00DB5431">
        <w:tc>
          <w:tcPr>
            <w:tcW w:w="1413" w:type="dxa"/>
          </w:tcPr>
          <w:p w14:paraId="575E0D0A" w14:textId="000245C4" w:rsidR="00DB5431" w:rsidRDefault="00DB5431" w:rsidP="00C04D9F">
            <w:pPr>
              <w:jc w:val="both"/>
              <w:rPr>
                <w:lang w:val="en-GB"/>
              </w:rPr>
            </w:pPr>
            <w:r>
              <w:rPr>
                <w:lang w:val="en-GB"/>
              </w:rPr>
              <w:t>geom. mean</w:t>
            </w:r>
          </w:p>
        </w:tc>
        <w:tc>
          <w:tcPr>
            <w:tcW w:w="872" w:type="dxa"/>
          </w:tcPr>
          <w:p w14:paraId="4E271F22" w14:textId="0D750324" w:rsidR="00DB5431" w:rsidRDefault="00DB5431" w:rsidP="00C04D9F">
            <w:pPr>
              <w:jc w:val="both"/>
              <w:rPr>
                <w:lang w:val="en-GB"/>
              </w:rPr>
            </w:pPr>
            <w:r>
              <w:rPr>
                <w:lang w:val="en-GB"/>
              </w:rPr>
              <w:t>1.1012</w:t>
            </w:r>
          </w:p>
        </w:tc>
        <w:tc>
          <w:tcPr>
            <w:tcW w:w="1134" w:type="dxa"/>
          </w:tcPr>
          <w:p w14:paraId="4DE247C6" w14:textId="4D8B4201" w:rsidR="00DB5431" w:rsidRDefault="00DB5431" w:rsidP="00C04D9F">
            <w:pPr>
              <w:jc w:val="both"/>
              <w:rPr>
                <w:lang w:val="en-GB"/>
              </w:rPr>
            </w:pPr>
            <w:r>
              <w:rPr>
                <w:lang w:val="en-GB"/>
              </w:rPr>
              <w:t>4.2563</w:t>
            </w:r>
          </w:p>
        </w:tc>
      </w:tr>
    </w:tbl>
    <w:p w14:paraId="561BA0D6" w14:textId="3061DC64" w:rsidR="00DB5431" w:rsidRPr="00DB5431" w:rsidRDefault="00DB5431" w:rsidP="00DB5431">
      <w:pPr>
        <w:pStyle w:val="Caption"/>
        <w:framePr w:w="3399" w:h="270" w:hRule="exact" w:hSpace="141" w:wrap="around" w:vAnchor="text" w:hAnchor="page" w:x="7071" w:y="1245"/>
        <w:rPr>
          <w:lang w:val="en-GB"/>
        </w:rPr>
      </w:pPr>
      <w:r w:rsidRPr="00DB5431">
        <w:rPr>
          <w:lang w:val="en-GB"/>
        </w:rPr>
        <w:t xml:space="preserve">Table </w:t>
      </w:r>
      <w:r>
        <w:fldChar w:fldCharType="begin"/>
      </w:r>
      <w:r w:rsidRPr="00DB5431">
        <w:rPr>
          <w:lang w:val="en-GB"/>
        </w:rPr>
        <w:instrText xml:space="preserve"> SEQ Table \* ARABIC </w:instrText>
      </w:r>
      <w:r>
        <w:fldChar w:fldCharType="separate"/>
      </w:r>
      <w:r w:rsidRPr="00DB5431">
        <w:rPr>
          <w:noProof/>
          <w:lang w:val="en-GB"/>
        </w:rPr>
        <w:t>2</w:t>
      </w:r>
      <w:r>
        <w:fldChar w:fldCharType="end"/>
      </w:r>
      <w:r w:rsidRPr="00DB5431">
        <w:rPr>
          <w:lang w:val="en-GB"/>
        </w:rPr>
        <w:t>: Final speed ups per cache type</w:t>
      </w:r>
    </w:p>
    <w:p w14:paraId="5D99A031" w14:textId="06873B81" w:rsidR="00E45BD2" w:rsidRDefault="00770F5E" w:rsidP="00C04D9F">
      <w:pPr>
        <w:jc w:val="both"/>
        <w:rPr>
          <w:lang w:val="en-GB"/>
        </w:rPr>
      </w:pPr>
      <w:r>
        <w:rPr>
          <w:lang w:val="en-GB"/>
        </w:rPr>
        <w:t xml:space="preserve">As we optimized the </w:t>
      </w:r>
      <w:r w:rsidR="00DB5431">
        <w:rPr>
          <w:lang w:val="en-GB"/>
        </w:rPr>
        <w:t>data (cf</w:t>
      </w:r>
      <w:r w:rsidR="005675E6">
        <w:rPr>
          <w:lang w:val="en-GB"/>
        </w:rPr>
        <w:t>.</w:t>
      </w:r>
      <w:r w:rsidR="00DB5431">
        <w:rPr>
          <w:lang w:val="en-GB"/>
        </w:rPr>
        <w:t xml:space="preserve"> figure 1)</w:t>
      </w:r>
      <w:r>
        <w:rPr>
          <w:lang w:val="en-GB"/>
        </w:rPr>
        <w:t xml:space="preserve"> and </w:t>
      </w:r>
      <w:r w:rsidR="00DB5431">
        <w:rPr>
          <w:lang w:val="en-GB"/>
        </w:rPr>
        <w:t>instruction</w:t>
      </w:r>
      <w:r>
        <w:rPr>
          <w:lang w:val="en-GB"/>
        </w:rPr>
        <w:t xml:space="preserve"> cache</w:t>
      </w:r>
      <w:r w:rsidR="00DB5431">
        <w:rPr>
          <w:lang w:val="en-GB"/>
        </w:rPr>
        <w:t xml:space="preserve"> (cf</w:t>
      </w:r>
      <w:r w:rsidR="005675E6">
        <w:rPr>
          <w:lang w:val="en-GB"/>
        </w:rPr>
        <w:t>.</w:t>
      </w:r>
      <w:r w:rsidR="00DB5431">
        <w:rPr>
          <w:lang w:val="en-GB"/>
        </w:rPr>
        <w:t xml:space="preserve"> figure 2)</w:t>
      </w:r>
      <w:r>
        <w:rPr>
          <w:lang w:val="en-GB"/>
        </w:rPr>
        <w:t xml:space="preserve"> separately, we can give separate speedups for </w:t>
      </w:r>
      <w:r w:rsidR="000645A6">
        <w:rPr>
          <w:lang w:val="en-GB"/>
        </w:rPr>
        <w:t>either</w:t>
      </w:r>
      <w:r>
        <w:rPr>
          <w:lang w:val="en-GB"/>
        </w:rPr>
        <w:t xml:space="preserve"> of them. Whereas optimizing the data cache lead to a speedup of</w:t>
      </w:r>
      <w:r w:rsidR="000645A6">
        <w:rPr>
          <w:lang w:val="en-GB"/>
        </w:rPr>
        <w:t xml:space="preserve"> 1.1, the optimized I-cache has a speedup of 4.</w:t>
      </w:r>
      <w:r w:rsidR="00DB5431">
        <w:rPr>
          <w:lang w:val="en-GB"/>
        </w:rPr>
        <w:t>3</w:t>
      </w:r>
      <w:r w:rsidR="000645A6">
        <w:rPr>
          <w:lang w:val="en-GB"/>
        </w:rPr>
        <w:t xml:space="preserve">. Hence improving the instruction cache </w:t>
      </w:r>
      <w:r w:rsidR="00DB5431">
        <w:rPr>
          <w:lang w:val="en-GB"/>
        </w:rPr>
        <w:t>has a higher effect on the overall performance</w:t>
      </w:r>
      <w:r w:rsidR="000645A6">
        <w:rPr>
          <w:lang w:val="en-GB"/>
        </w:rPr>
        <w:t>.</w:t>
      </w:r>
      <w:r w:rsidR="00DB5431">
        <w:rPr>
          <w:lang w:val="en-GB"/>
        </w:rPr>
        <w:t xml:space="preserve"> </w:t>
      </w:r>
      <w:r w:rsidR="00E45BD2">
        <w:rPr>
          <w:lang w:val="en-GB"/>
        </w:rPr>
        <w:t>Even with the optimized configuration we do not reach the ideal speed up</w:t>
      </w:r>
      <w:r w:rsidR="00DB5431">
        <w:rPr>
          <w:lang w:val="en-GB"/>
        </w:rPr>
        <w:t xml:space="preserve"> (cf table 1: SP</w:t>
      </w:r>
      <w:r w:rsidR="00DB5431">
        <w:rPr>
          <w:vertAlign w:val="subscript"/>
          <w:lang w:val="en-GB"/>
        </w:rPr>
        <w:t>OPT1</w:t>
      </w:r>
      <w:r w:rsidR="00DB5431">
        <w:rPr>
          <w:lang w:val="en-GB"/>
        </w:rPr>
        <w:t>)</w:t>
      </w:r>
      <w:r w:rsidR="00E45BD2">
        <w:rPr>
          <w:lang w:val="en-GB"/>
        </w:rPr>
        <w:t>. This has two reasons: The cache might still be too small to fit all the needed memory blocks. Hence blocks are requested multiple times from memory (causing miss penalty) and second: The first time a memory block is accessed it</w:t>
      </w:r>
      <w:r w:rsidR="00DB5431">
        <w:rPr>
          <w:lang w:val="en-GB"/>
        </w:rPr>
        <w:t xml:space="preserve"> is</w:t>
      </w:r>
      <w:r w:rsidR="00E45BD2">
        <w:rPr>
          <w:lang w:val="en-GB"/>
        </w:rPr>
        <w:t xml:space="preserve"> not yet cached, so even if the cache is big enough to store all accessed blocks</w:t>
      </w:r>
      <w:r w:rsidR="007552D3">
        <w:rPr>
          <w:lang w:val="en-GB"/>
        </w:rPr>
        <w:t xml:space="preserve"> there is some miss penalty</w:t>
      </w:r>
      <w:r w:rsidR="00DB5431">
        <w:rPr>
          <w:lang w:val="en-GB"/>
        </w:rPr>
        <w:t xml:space="preserve"> for the first fetch</w:t>
      </w:r>
      <w:r w:rsidR="007552D3">
        <w:rPr>
          <w:lang w:val="en-GB"/>
        </w:rPr>
        <w:t xml:space="preserve">. </w:t>
      </w:r>
    </w:p>
    <w:p w14:paraId="3FE9D420" w14:textId="3697CE48" w:rsidR="004C0AEE" w:rsidRDefault="007552D3" w:rsidP="00C04D9F">
      <w:pPr>
        <w:jc w:val="both"/>
        <w:rPr>
          <w:lang w:val="en-GB"/>
        </w:rPr>
      </w:pPr>
      <w:r>
        <w:rPr>
          <w:lang w:val="en-GB"/>
        </w:rPr>
        <w:t>Comparing the</w:t>
      </w:r>
      <w:r w:rsidR="00DB5431">
        <w:rPr>
          <w:lang w:val="en-GB"/>
        </w:rPr>
        <w:t xml:space="preserve"> different</w:t>
      </w:r>
      <w:r>
        <w:rPr>
          <w:lang w:val="en-GB"/>
        </w:rPr>
        <w:t xml:space="preserve"> parameters </w:t>
      </w:r>
      <w:r w:rsidR="00AB3265">
        <w:rPr>
          <w:lang w:val="en-GB"/>
        </w:rPr>
        <w:t xml:space="preserve">in </w:t>
      </w:r>
      <w:r w:rsidR="00DB5431">
        <w:rPr>
          <w:lang w:val="en-GB"/>
        </w:rPr>
        <w:t>figure 1/2</w:t>
      </w:r>
      <w:r w:rsidR="00AB3265">
        <w:rPr>
          <w:lang w:val="en-GB"/>
        </w:rPr>
        <w:t xml:space="preserve"> </w:t>
      </w:r>
      <w:r>
        <w:rPr>
          <w:lang w:val="en-GB"/>
        </w:rPr>
        <w:t>the cache size has the highest impact on speed up</w:t>
      </w:r>
      <w:r w:rsidR="00AB3265">
        <w:rPr>
          <w:lang w:val="en-GB"/>
        </w:rPr>
        <w:t xml:space="preserve"> for </w:t>
      </w:r>
      <w:r w:rsidR="00DB5431">
        <w:rPr>
          <w:lang w:val="en-GB"/>
        </w:rPr>
        <w:t>stringsearch</w:t>
      </w:r>
      <w:r w:rsidR="00AB3265">
        <w:rPr>
          <w:lang w:val="en-GB"/>
        </w:rPr>
        <w:t xml:space="preserve"> and </w:t>
      </w:r>
      <w:r w:rsidR="00DB5431">
        <w:rPr>
          <w:lang w:val="en-GB"/>
        </w:rPr>
        <w:t>qsort</w:t>
      </w:r>
      <w:r w:rsidR="002D71C2">
        <w:rPr>
          <w:lang w:val="en-GB"/>
        </w:rPr>
        <w:t xml:space="preserve"> (only I-cache)</w:t>
      </w:r>
      <w:r w:rsidR="00AB3265">
        <w:rPr>
          <w:lang w:val="en-GB"/>
        </w:rPr>
        <w:t>.</w:t>
      </w:r>
      <w:r w:rsidR="002D71C2">
        <w:rPr>
          <w:lang w:val="en-GB"/>
        </w:rPr>
        <w:t xml:space="preserve"> Performance of qsort depends highly on the block size of the D-cache. Hence fine-granted optimization still depends on the program code.</w:t>
      </w:r>
    </w:p>
    <w:p w14:paraId="30D4C4AB" w14:textId="77777777" w:rsidR="00DB5431" w:rsidRDefault="00DB5431" w:rsidP="00DB5431">
      <w:pPr>
        <w:keepNext/>
        <w:jc w:val="both"/>
      </w:pPr>
      <w:r>
        <w:rPr>
          <w:noProof/>
          <w:lang w:val="en-GB"/>
        </w:rPr>
        <w:lastRenderedPageBreak/>
        <w:drawing>
          <wp:inline distT="0" distB="0" distL="0" distR="0" wp14:anchorId="55FD66E0" wp14:editId="75607A1C">
            <wp:extent cx="5760720" cy="1697128"/>
            <wp:effectExtent l="0" t="0" r="1143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89AEA2" w14:textId="77777777" w:rsidR="00DB5431" w:rsidRPr="00AB34CB" w:rsidRDefault="00DB5431" w:rsidP="00DB5431">
      <w:pPr>
        <w:pStyle w:val="Caption"/>
        <w:jc w:val="both"/>
        <w:rPr>
          <w:lang w:val="en-GB"/>
        </w:rPr>
      </w:pPr>
      <w:r w:rsidRPr="00AB34CB">
        <w:rPr>
          <w:lang w:val="en-GB"/>
        </w:rPr>
        <w:t xml:space="preserve">Figure </w:t>
      </w:r>
      <w:r>
        <w:fldChar w:fldCharType="begin"/>
      </w:r>
      <w:r w:rsidRPr="00AB34CB">
        <w:rPr>
          <w:lang w:val="en-GB"/>
        </w:rPr>
        <w:instrText xml:space="preserve"> SEQ Figure \* ARABIC </w:instrText>
      </w:r>
      <w:r>
        <w:fldChar w:fldCharType="separate"/>
      </w:r>
      <w:r w:rsidRPr="00AB34CB">
        <w:rPr>
          <w:noProof/>
          <w:lang w:val="en-GB"/>
        </w:rPr>
        <w:t>1</w:t>
      </w:r>
      <w:r>
        <w:fldChar w:fldCharType="end"/>
      </w:r>
      <w:r w:rsidRPr="00AB34CB">
        <w:rPr>
          <w:lang w:val="en-GB"/>
        </w:rPr>
        <w:t>: Performance development for data cache</w:t>
      </w:r>
    </w:p>
    <w:p w14:paraId="2C37DD20" w14:textId="2A49DFAD" w:rsidR="006872F2" w:rsidRDefault="00A63165" w:rsidP="00C04D9F">
      <w:pPr>
        <w:keepNext/>
        <w:jc w:val="both"/>
      </w:pPr>
      <w:r>
        <w:rPr>
          <w:noProof/>
          <w:lang w:val="en-GB"/>
        </w:rPr>
        <w:drawing>
          <wp:inline distT="0" distB="0" distL="0" distR="0" wp14:anchorId="5865EBF9" wp14:editId="21F3347F">
            <wp:extent cx="5765800" cy="1699147"/>
            <wp:effectExtent l="0" t="0" r="635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24564C" w14:textId="7B895317" w:rsidR="002D26CA" w:rsidRPr="006872F2" w:rsidRDefault="006872F2" w:rsidP="00C04D9F">
      <w:pPr>
        <w:pStyle w:val="Caption"/>
        <w:jc w:val="both"/>
        <w:rPr>
          <w:lang w:val="en-GB"/>
        </w:rPr>
      </w:pPr>
      <w:r w:rsidRPr="006872F2">
        <w:rPr>
          <w:lang w:val="en-GB"/>
        </w:rPr>
        <w:t xml:space="preserve">Figure </w:t>
      </w:r>
      <w:r>
        <w:fldChar w:fldCharType="begin"/>
      </w:r>
      <w:r w:rsidRPr="006872F2">
        <w:rPr>
          <w:lang w:val="en-GB"/>
        </w:rPr>
        <w:instrText xml:space="preserve"> SEQ Figure \* ARABIC </w:instrText>
      </w:r>
      <w:r>
        <w:fldChar w:fldCharType="separate"/>
      </w:r>
      <w:r w:rsidR="00AB34CB">
        <w:rPr>
          <w:noProof/>
          <w:lang w:val="en-GB"/>
        </w:rPr>
        <w:t>2</w:t>
      </w:r>
      <w:r>
        <w:fldChar w:fldCharType="end"/>
      </w:r>
      <w:r w:rsidRPr="006872F2">
        <w:rPr>
          <w:lang w:val="en-GB"/>
        </w:rPr>
        <w:t>: Performance development for instruction cache</w:t>
      </w:r>
    </w:p>
    <w:p w14:paraId="1958CAA6" w14:textId="44CBEEC1" w:rsidR="005675E6" w:rsidRPr="005675E6" w:rsidRDefault="005675E6" w:rsidP="005675E6">
      <w:pPr>
        <w:jc w:val="both"/>
        <w:rPr>
          <w:lang w:val="en-GB"/>
        </w:rPr>
      </w:pPr>
      <w:r>
        <w:rPr>
          <w:lang w:val="en-GB"/>
        </w:rPr>
        <w:t>SP</w:t>
      </w:r>
      <w:r>
        <w:rPr>
          <w:vertAlign w:val="subscript"/>
          <w:lang w:val="en-GB"/>
        </w:rPr>
        <w:t>OPT1</w:t>
      </w:r>
      <w:r>
        <w:rPr>
          <w:lang w:val="en-GB"/>
        </w:rPr>
        <w:t xml:space="preserve"> (cf. table 1) combines both optimizations</w:t>
      </w:r>
      <w:r>
        <w:rPr>
          <w:lang w:val="en-GB"/>
        </w:rPr>
        <w:t xml:space="preserve">, but ignores increasing cache latency for higher cache sizes. </w:t>
      </w:r>
      <w:r>
        <w:rPr>
          <w:lang w:val="en-GB"/>
        </w:rPr>
        <w:t xml:space="preserve">Therefore, </w:t>
      </w:r>
      <w:r>
        <w:rPr>
          <w:lang w:val="en-GB"/>
        </w:rPr>
        <w:t>SP</w:t>
      </w:r>
      <w:r>
        <w:rPr>
          <w:vertAlign w:val="subscript"/>
          <w:lang w:val="en-GB"/>
        </w:rPr>
        <w:t>OPT2</w:t>
      </w:r>
      <w:r>
        <w:rPr>
          <w:lang w:val="en-GB"/>
        </w:rPr>
        <w:t xml:space="preserve"> considers the higher latency for bigger caches</w:t>
      </w:r>
      <w:r w:rsidR="004C0AEE">
        <w:rPr>
          <w:lang w:val="en-GB"/>
        </w:rPr>
        <w:t>. This leads to decreased performance</w:t>
      </w:r>
      <w:r>
        <w:rPr>
          <w:lang w:val="en-GB"/>
        </w:rPr>
        <w:t xml:space="preserve"> </w:t>
      </w:r>
      <w:r w:rsidR="004C0AEE">
        <w:rPr>
          <w:lang w:val="en-GB"/>
        </w:rPr>
        <w:t>but is still much better than the base configuration</w:t>
      </w:r>
      <w:r>
        <w:rPr>
          <w:lang w:val="en-GB"/>
        </w:rPr>
        <w:t xml:space="preserve"> (</w:t>
      </w:r>
      <w:r w:rsidRPr="005675E6">
        <w:rPr>
          <w:rFonts w:ascii="Calibri" w:hAnsi="Calibri" w:cs="Calibri"/>
          <w:color w:val="000000"/>
          <w:lang w:val="en-GB"/>
        </w:rPr>
        <w:t>82</w:t>
      </w:r>
      <w:r>
        <w:rPr>
          <w:rFonts w:ascii="Calibri" w:hAnsi="Calibri" w:cs="Calibri"/>
          <w:color w:val="000000"/>
          <w:lang w:val="en-GB"/>
        </w:rPr>
        <w:t>.</w:t>
      </w:r>
      <w:r w:rsidRPr="005675E6">
        <w:rPr>
          <w:rFonts w:ascii="Calibri" w:hAnsi="Calibri" w:cs="Calibri"/>
          <w:color w:val="000000"/>
          <w:lang w:val="en-GB"/>
        </w:rPr>
        <w:t>1</w:t>
      </w:r>
      <w:r>
        <w:rPr>
          <w:rFonts w:ascii="Calibri" w:hAnsi="Calibri" w:cs="Calibri"/>
          <w:color w:val="000000"/>
          <w:lang w:val="en-GB"/>
        </w:rPr>
        <w:t xml:space="preserve">% of </w:t>
      </w:r>
      <w:r>
        <w:rPr>
          <w:lang w:val="en-GB"/>
        </w:rPr>
        <w:t>SP</w:t>
      </w:r>
      <w:r w:rsidRPr="005675E6">
        <w:rPr>
          <w:vertAlign w:val="subscript"/>
          <w:lang w:val="en-GB"/>
        </w:rPr>
        <w:t>IDEAL</w:t>
      </w:r>
      <w:r>
        <w:rPr>
          <w:lang w:val="en-GB"/>
        </w:rPr>
        <w:t>)</w:t>
      </w:r>
      <w:r w:rsidR="004C0AEE">
        <w:rPr>
          <w:lang w:val="en-GB"/>
        </w:rPr>
        <w:t xml:space="preserve">. </w:t>
      </w:r>
      <w:r>
        <w:rPr>
          <w:lang w:val="en-GB"/>
        </w:rPr>
        <w:t>For this setup t</w:t>
      </w:r>
      <w:r w:rsidR="004C0AEE">
        <w:rPr>
          <w:lang w:val="en-GB"/>
        </w:rPr>
        <w:t>he latency “destroys” the improvement that has been made so far as soon as it reaches a value of about 30. This causes the speed up for the GSM-application to drop below one, hence this is worse than the base configuration.</w:t>
      </w:r>
      <w:r>
        <w:rPr>
          <w:vertAlign w:val="subscript"/>
          <w:lang w:val="en-GB"/>
        </w:rPr>
        <w:t xml:space="preserve"> </w:t>
      </w:r>
    </w:p>
    <w:p w14:paraId="0C1AEAA7" w14:textId="2B457975" w:rsidR="002D26CA" w:rsidRDefault="002D26CA" w:rsidP="00C04D9F">
      <w:pPr>
        <w:pStyle w:val="Heading2"/>
        <w:jc w:val="both"/>
        <w:rPr>
          <w:lang w:val="en-GB"/>
        </w:rPr>
      </w:pPr>
      <w:r>
        <w:rPr>
          <w:lang w:val="en-GB"/>
        </w:rPr>
        <w:t>Conclusion and learning outcome</w:t>
      </w:r>
      <w:r w:rsidR="004C0AEE">
        <w:rPr>
          <w:lang w:val="en-GB"/>
        </w:rPr>
        <w:t xml:space="preserve"> </w:t>
      </w:r>
    </w:p>
    <w:p w14:paraId="2960151B" w14:textId="0D780CE0" w:rsidR="00415CF9" w:rsidRDefault="004C0AEE" w:rsidP="00C04D9F">
      <w:pPr>
        <w:jc w:val="both"/>
        <w:rPr>
          <w:lang w:val="en-GB"/>
        </w:rPr>
      </w:pPr>
      <w:r>
        <w:rPr>
          <w:lang w:val="en-GB"/>
        </w:rPr>
        <w:t xml:space="preserve">We can conclude that the cache configuration influences the performance of the system, especially the </w:t>
      </w:r>
      <w:r w:rsidR="00597A9C">
        <w:rPr>
          <w:lang w:val="en-GB"/>
        </w:rPr>
        <w:t>cache size has a big impact on performance – even if this causes higher latency accessing the cache. Associativity and block size have less influence, but still cause some improvement. For these applications the changes that have been made to the cache configuration are still worth if we consider increased cache latency.</w:t>
      </w:r>
    </w:p>
    <w:p w14:paraId="76AE4165" w14:textId="606BBD7C" w:rsidR="00597A9C" w:rsidRPr="00415CF9" w:rsidRDefault="00597A9C" w:rsidP="00C04D9F">
      <w:pPr>
        <w:jc w:val="both"/>
        <w:rPr>
          <w:lang w:val="en-GB"/>
        </w:rPr>
      </w:pPr>
      <w:r>
        <w:rPr>
          <w:lang w:val="en-GB"/>
        </w:rPr>
        <w:t>We’ve seen that performance of these benchmark applications is more dependent on the instruction cache than the data cache. When we modify the instruction cache configuration this leads to better performance than applying the same changes to the data cache.</w:t>
      </w:r>
    </w:p>
    <w:sectPr w:rsidR="00597A9C" w:rsidRPr="00415CF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84E0D" w14:textId="77777777" w:rsidR="00DB5431" w:rsidRDefault="00DB5431" w:rsidP="007D5C37">
      <w:pPr>
        <w:spacing w:after="0" w:line="240" w:lineRule="auto"/>
      </w:pPr>
      <w:r>
        <w:separator/>
      </w:r>
    </w:p>
  </w:endnote>
  <w:endnote w:type="continuationSeparator" w:id="0">
    <w:p w14:paraId="0AE81C4A" w14:textId="77777777" w:rsidR="00DB5431" w:rsidRDefault="00DB5431" w:rsidP="007D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05156" w14:textId="2221D7EB" w:rsidR="00DB5431" w:rsidRDefault="00DB5431">
    <w:pPr>
      <w:pStyle w:val="Footer"/>
      <w:jc w:val="right"/>
    </w:pPr>
    <w:r>
      <w:t xml:space="preserve">Page </w:t>
    </w:r>
    <w:sdt>
      <w:sdtPr>
        <w:id w:val="-1643489360"/>
        <w:docPartObj>
          <w:docPartGallery w:val="Page Numbers (Bottom of Page)"/>
          <w:docPartUnique/>
        </w:docPartObj>
      </w:sdtPr>
      <w:sdtContent>
        <w:r>
          <w:fldChar w:fldCharType="begin"/>
        </w:r>
        <w:r>
          <w:instrText>PAGE   \* MERGEFORMAT</w:instrText>
        </w:r>
        <w:r>
          <w:fldChar w:fldCharType="separate"/>
        </w:r>
        <w:r w:rsidR="007E2001">
          <w:rPr>
            <w:noProof/>
          </w:rPr>
          <w:t>2</w:t>
        </w:r>
        <w:r>
          <w:fldChar w:fldCharType="end"/>
        </w:r>
      </w:sdtContent>
    </w:sdt>
  </w:p>
  <w:p w14:paraId="413FA0A2" w14:textId="4630CEF4" w:rsidR="00DB5431" w:rsidRPr="00652113" w:rsidRDefault="00DB543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6912F" w14:textId="77777777" w:rsidR="00DB5431" w:rsidRDefault="00DB5431" w:rsidP="007D5C37">
      <w:pPr>
        <w:spacing w:after="0" w:line="240" w:lineRule="auto"/>
      </w:pPr>
      <w:r>
        <w:separator/>
      </w:r>
    </w:p>
  </w:footnote>
  <w:footnote w:type="continuationSeparator" w:id="0">
    <w:p w14:paraId="36ECAF9B" w14:textId="77777777" w:rsidR="00DB5431" w:rsidRDefault="00DB5431" w:rsidP="007D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A5AE" w14:textId="6E43E08E" w:rsidR="00DB5431" w:rsidRPr="00652113" w:rsidRDefault="00DB5431">
    <w:pPr>
      <w:pStyle w:val="Header"/>
      <w:rPr>
        <w:u w:val="single"/>
        <w:lang w:val="en-GB"/>
      </w:rPr>
    </w:pPr>
    <w:r w:rsidRPr="00652113">
      <w:rPr>
        <w:u w:val="single"/>
        <w:lang w:val="en-GB"/>
      </w:rPr>
      <w:t xml:space="preserve">Lab 1 – Computer Architecture </w:t>
    </w:r>
    <w:r w:rsidRPr="00652113">
      <w:rPr>
        <w:u w:val="single"/>
        <w:lang w:val="en-GB"/>
      </w:rPr>
      <w:tab/>
    </w:r>
    <w:r w:rsidRPr="00652113">
      <w:rPr>
        <w:u w:val="single"/>
        <w:lang w:val="en-GB"/>
      </w:rPr>
      <w:tab/>
      <w:t>Pedro Gonçalo Mendes, Johannes Lohmöller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97"/>
    <w:rsid w:val="00063B97"/>
    <w:rsid w:val="000645A6"/>
    <w:rsid w:val="001D0340"/>
    <w:rsid w:val="002039A2"/>
    <w:rsid w:val="002A64EC"/>
    <w:rsid w:val="002D26CA"/>
    <w:rsid w:val="002D71C2"/>
    <w:rsid w:val="00327959"/>
    <w:rsid w:val="003A7B4B"/>
    <w:rsid w:val="003F0B28"/>
    <w:rsid w:val="00415CF9"/>
    <w:rsid w:val="004C0AEE"/>
    <w:rsid w:val="004E0802"/>
    <w:rsid w:val="0054233F"/>
    <w:rsid w:val="005675E6"/>
    <w:rsid w:val="00597A9C"/>
    <w:rsid w:val="005C5343"/>
    <w:rsid w:val="00652113"/>
    <w:rsid w:val="006872F2"/>
    <w:rsid w:val="007552D3"/>
    <w:rsid w:val="00770F5E"/>
    <w:rsid w:val="007D5C37"/>
    <w:rsid w:val="007E2001"/>
    <w:rsid w:val="009A3E99"/>
    <w:rsid w:val="00A63165"/>
    <w:rsid w:val="00AB3265"/>
    <w:rsid w:val="00AB34CB"/>
    <w:rsid w:val="00AC2514"/>
    <w:rsid w:val="00B31C39"/>
    <w:rsid w:val="00B76393"/>
    <w:rsid w:val="00B97626"/>
    <w:rsid w:val="00C04D9F"/>
    <w:rsid w:val="00C46F69"/>
    <w:rsid w:val="00C87105"/>
    <w:rsid w:val="00DB5431"/>
    <w:rsid w:val="00E45BD2"/>
    <w:rsid w:val="00F2764A"/>
    <w:rsid w:val="00F37A80"/>
    <w:rsid w:val="00F634FA"/>
    <w:rsid w:val="00F647B1"/>
    <w:rsid w:val="00F80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F3C1B6"/>
  <w15:chartTrackingRefBased/>
  <w15:docId w15:val="{7240E58D-A6BD-4055-A61E-CF599C1C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C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5C37"/>
  </w:style>
  <w:style w:type="paragraph" w:styleId="Footer">
    <w:name w:val="footer"/>
    <w:basedOn w:val="Normal"/>
    <w:link w:val="FooterChar"/>
    <w:uiPriority w:val="99"/>
    <w:unhideWhenUsed/>
    <w:rsid w:val="007D5C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5C37"/>
  </w:style>
  <w:style w:type="character" w:customStyle="1" w:styleId="Heading1Char">
    <w:name w:val="Heading 1 Char"/>
    <w:basedOn w:val="DefaultParagraphFont"/>
    <w:link w:val="Heading1"/>
    <w:uiPriority w:val="9"/>
    <w:rsid w:val="006521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6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2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72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72379">
      <w:bodyDiv w:val="1"/>
      <w:marLeft w:val="0"/>
      <w:marRight w:val="0"/>
      <w:marTop w:val="0"/>
      <w:marBottom w:val="0"/>
      <w:divBdr>
        <w:top w:val="none" w:sz="0" w:space="0" w:color="auto"/>
        <w:left w:val="none" w:sz="0" w:space="0" w:color="auto"/>
        <w:bottom w:val="none" w:sz="0" w:space="0" w:color="auto"/>
        <w:right w:val="none" w:sz="0" w:space="0" w:color="auto"/>
      </w:divBdr>
    </w:div>
    <w:div w:id="1718120158">
      <w:bodyDiv w:val="1"/>
      <w:marLeft w:val="0"/>
      <w:marRight w:val="0"/>
      <w:marTop w:val="0"/>
      <w:marBottom w:val="0"/>
      <w:divBdr>
        <w:top w:val="none" w:sz="0" w:space="0" w:color="auto"/>
        <w:left w:val="none" w:sz="0" w:space="0" w:color="auto"/>
        <w:bottom w:val="none" w:sz="0" w:space="0" w:color="auto"/>
        <w:right w:val="none" w:sz="0" w:space="0" w:color="auto"/>
      </w:divBdr>
    </w:div>
    <w:div w:id="17939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2751396163585281E-2"/>
          <c:y val="6.534379281021245E-2"/>
          <c:w val="0.74654341114849632"/>
          <c:h val="0.78880875184719557"/>
        </c:manualLayout>
      </c:layout>
      <c:lineChart>
        <c:grouping val="standard"/>
        <c:varyColors val="0"/>
        <c:ser>
          <c:idx val="0"/>
          <c:order val="0"/>
          <c:tx>
            <c:strRef>
              <c:f>Sheet1!$B$1</c:f>
              <c:strCache>
                <c:ptCount val="1"/>
                <c:pt idx="0">
                  <c:v>ssearch (size)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Sheet1!$B$2:$B$5</c:f>
              <c:numCache>
                <c:formatCode>General</c:formatCode>
                <c:ptCount val="4"/>
                <c:pt idx="0">
                  <c:v>1</c:v>
                </c:pt>
                <c:pt idx="1">
                  <c:v>1.00447</c:v>
                </c:pt>
                <c:pt idx="2">
                  <c:v>1.0053000000000001</c:v>
                </c:pt>
                <c:pt idx="3">
                  <c:v>1.0058100000000001</c:v>
                </c:pt>
              </c:numCache>
            </c:numRef>
          </c:val>
          <c:smooth val="0"/>
          <c:extLst>
            <c:ext xmlns:c16="http://schemas.microsoft.com/office/drawing/2014/chart" uri="{C3380CC4-5D6E-409C-BE32-E72D297353CC}">
              <c16:uniqueId val="{00000000-99B4-4F09-9EA2-C6C99F3EBE65}"/>
            </c:ext>
          </c:extLst>
        </c:ser>
        <c:ser>
          <c:idx val="1"/>
          <c:order val="1"/>
          <c:tx>
            <c:strRef>
              <c:f>Sheet1!$C$1</c:f>
              <c:strCache>
                <c:ptCount val="1"/>
                <c:pt idx="0">
                  <c:v>qsort (size)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Sheet1!$C$2:$C$5</c:f>
              <c:numCache>
                <c:formatCode>General</c:formatCode>
                <c:ptCount val="4"/>
                <c:pt idx="0">
                  <c:v>1</c:v>
                </c:pt>
                <c:pt idx="1">
                  <c:v>1.0241</c:v>
                </c:pt>
                <c:pt idx="2">
                  <c:v>1.0468299999999999</c:v>
                </c:pt>
                <c:pt idx="3">
                  <c:v>1.06969</c:v>
                </c:pt>
              </c:numCache>
            </c:numRef>
          </c:val>
          <c:smooth val="0"/>
          <c:extLst>
            <c:ext xmlns:c16="http://schemas.microsoft.com/office/drawing/2014/chart" uri="{C3380CC4-5D6E-409C-BE32-E72D297353CC}">
              <c16:uniqueId val="{00000001-99B4-4F09-9EA2-C6C99F3EBE65}"/>
            </c:ext>
          </c:extLst>
        </c:ser>
        <c:ser>
          <c:idx val="2"/>
          <c:order val="2"/>
          <c:tx>
            <c:strRef>
              <c:f>Sheet1!$D$1</c:f>
              <c:strCache>
                <c:ptCount val="1"/>
                <c:pt idx="0">
                  <c:v>ssearch (assoc)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Sheet1!$D$2:$D$5</c:f>
              <c:numCache>
                <c:formatCode>General</c:formatCode>
                <c:ptCount val="4"/>
                <c:pt idx="0">
                  <c:v>1.0058100000000001</c:v>
                </c:pt>
                <c:pt idx="1">
                  <c:v>1.0058100000000001</c:v>
                </c:pt>
                <c:pt idx="2">
                  <c:v>1.0058100000000001</c:v>
                </c:pt>
                <c:pt idx="3">
                  <c:v>1.0058100000000001</c:v>
                </c:pt>
              </c:numCache>
            </c:numRef>
          </c:val>
          <c:smooth val="0"/>
          <c:extLst>
            <c:ext xmlns:c16="http://schemas.microsoft.com/office/drawing/2014/chart" uri="{C3380CC4-5D6E-409C-BE32-E72D297353CC}">
              <c16:uniqueId val="{00000002-99B4-4F09-9EA2-C6C99F3EBE65}"/>
            </c:ext>
          </c:extLst>
        </c:ser>
        <c:ser>
          <c:idx val="3"/>
          <c:order val="3"/>
          <c:tx>
            <c:strRef>
              <c:f>Sheet1!$E$1</c:f>
              <c:strCache>
                <c:ptCount val="1"/>
                <c:pt idx="0">
                  <c:v>qsort (assoc)</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Sheet1!$E$2:$E$5</c:f>
              <c:numCache>
                <c:formatCode>General</c:formatCode>
                <c:ptCount val="4"/>
                <c:pt idx="0">
                  <c:v>1.0579000000000001</c:v>
                </c:pt>
                <c:pt idx="1">
                  <c:v>1.06969</c:v>
                </c:pt>
                <c:pt idx="2">
                  <c:v>1.0679000000000001</c:v>
                </c:pt>
                <c:pt idx="3">
                  <c:v>1.0646</c:v>
                </c:pt>
              </c:numCache>
            </c:numRef>
          </c:val>
          <c:smooth val="0"/>
          <c:extLst>
            <c:ext xmlns:c16="http://schemas.microsoft.com/office/drawing/2014/chart" uri="{C3380CC4-5D6E-409C-BE32-E72D297353CC}">
              <c16:uniqueId val="{00000003-99B4-4F09-9EA2-C6C99F3EBE65}"/>
            </c:ext>
          </c:extLst>
        </c:ser>
        <c:ser>
          <c:idx val="4"/>
          <c:order val="4"/>
          <c:tx>
            <c:strRef>
              <c:f>Sheet1!$F$1</c:f>
              <c:strCache>
                <c:ptCount val="1"/>
                <c:pt idx="0">
                  <c:v>ssearch (bsize)</c:v>
                </c:pt>
              </c:strCache>
            </c:strRef>
          </c:tx>
          <c:spPr>
            <a:ln w="22225" cap="rnd">
              <a:solidFill>
                <a:schemeClr val="accent5"/>
              </a:solidFill>
              <a:round/>
            </a:ln>
            <a:effectLst/>
          </c:spPr>
          <c:marker>
            <c:symbol val="star"/>
            <c:size val="6"/>
            <c:spPr>
              <a:noFill/>
              <a:ln w="9525">
                <a:solidFill>
                  <a:schemeClr val="accent5"/>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Sheet1!$F$2:$F$5</c:f>
              <c:numCache>
                <c:formatCode>General</c:formatCode>
                <c:ptCount val="4"/>
                <c:pt idx="0">
                  <c:v>1.0031000000000001</c:v>
                </c:pt>
                <c:pt idx="1">
                  <c:v>1.0058100000000001</c:v>
                </c:pt>
                <c:pt idx="2">
                  <c:v>1.0071399999999999</c:v>
                </c:pt>
                <c:pt idx="3">
                  <c:v>1.0076400000000001</c:v>
                </c:pt>
              </c:numCache>
            </c:numRef>
          </c:val>
          <c:smooth val="0"/>
          <c:extLst>
            <c:ext xmlns:c16="http://schemas.microsoft.com/office/drawing/2014/chart" uri="{C3380CC4-5D6E-409C-BE32-E72D297353CC}">
              <c16:uniqueId val="{00000004-99B4-4F09-9EA2-C6C99F3EBE65}"/>
            </c:ext>
          </c:extLst>
        </c:ser>
        <c:ser>
          <c:idx val="5"/>
          <c:order val="5"/>
          <c:tx>
            <c:strRef>
              <c:f>Sheet1!$G$1</c:f>
              <c:strCache>
                <c:ptCount val="1"/>
                <c:pt idx="0">
                  <c:v>qsort (bsize)</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Sheet1!$G$2:$G$5</c:f>
              <c:numCache>
                <c:formatCode>General</c:formatCode>
                <c:ptCount val="4"/>
                <c:pt idx="0">
                  <c:v>0.90661000000000003</c:v>
                </c:pt>
                <c:pt idx="1">
                  <c:v>1.0697000000000001</c:v>
                </c:pt>
                <c:pt idx="2">
                  <c:v>1.1467000000000001</c:v>
                </c:pt>
                <c:pt idx="3">
                  <c:v>1.2035</c:v>
                </c:pt>
              </c:numCache>
            </c:numRef>
          </c:val>
          <c:smooth val="0"/>
          <c:extLst>
            <c:ext xmlns:c16="http://schemas.microsoft.com/office/drawing/2014/chart" uri="{C3380CC4-5D6E-409C-BE32-E72D297353CC}">
              <c16:uniqueId val="{00000005-99B4-4F09-9EA2-C6C99F3EBE65}"/>
            </c:ext>
          </c:extLst>
        </c:ser>
        <c:dLbls>
          <c:showLegendKey val="0"/>
          <c:showVal val="1"/>
          <c:showCatName val="0"/>
          <c:showSerName val="0"/>
          <c:showPercent val="0"/>
          <c:showBubbleSize val="0"/>
        </c:dLbls>
        <c:marker val="1"/>
        <c:smooth val="0"/>
        <c:axId val="590383728"/>
        <c:axId val="590385368"/>
      </c:lineChart>
      <c:catAx>
        <c:axId val="59038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e-DE"/>
          </a:p>
        </c:txPr>
        <c:crossAx val="590385368"/>
        <c:crosses val="autoZero"/>
        <c:auto val="1"/>
        <c:lblAlgn val="ctr"/>
        <c:lblOffset val="100"/>
        <c:noMultiLvlLbl val="0"/>
      </c:catAx>
      <c:valAx>
        <c:axId val="590385368"/>
        <c:scaling>
          <c:orientation val="minMax"/>
          <c:max val="1.25"/>
          <c:min val="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0383728"/>
        <c:crosses val="autoZero"/>
        <c:crossBetween val="between"/>
      </c:valAx>
      <c:spPr>
        <a:noFill/>
        <a:ln>
          <a:noFill/>
        </a:ln>
        <a:effectLst/>
      </c:spPr>
    </c:plotArea>
    <c:legend>
      <c:legendPos val="r"/>
      <c:layout>
        <c:manualLayout>
          <c:xMode val="edge"/>
          <c:yMode val="edge"/>
          <c:x val="0.81352388220194927"/>
          <c:y val="6.3448377364044448E-2"/>
          <c:w val="0.18647623241887434"/>
          <c:h val="0.757014644197512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2751396163585281E-2"/>
          <c:y val="6.534379281021245E-2"/>
          <c:w val="0.74654341114849632"/>
          <c:h val="0.78880875184719557"/>
        </c:manualLayout>
      </c:layout>
      <c:lineChart>
        <c:grouping val="standard"/>
        <c:varyColors val="0"/>
        <c:ser>
          <c:idx val="0"/>
          <c:order val="0"/>
          <c:tx>
            <c:strRef>
              <c:f>Sheet1!$B$1</c:f>
              <c:strCache>
                <c:ptCount val="1"/>
                <c:pt idx="0">
                  <c:v>ssearch (size)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Sheet1!$B$2:$B$5</c:f>
              <c:numCache>
                <c:formatCode>General</c:formatCode>
                <c:ptCount val="4"/>
                <c:pt idx="0">
                  <c:v>1</c:v>
                </c:pt>
                <c:pt idx="1">
                  <c:v>1.6600999999999999</c:v>
                </c:pt>
                <c:pt idx="2">
                  <c:v>3.7879</c:v>
                </c:pt>
                <c:pt idx="3">
                  <c:v>5.3787000000000003</c:v>
                </c:pt>
              </c:numCache>
            </c:numRef>
          </c:val>
          <c:smooth val="0"/>
          <c:extLst>
            <c:ext xmlns:c16="http://schemas.microsoft.com/office/drawing/2014/chart" uri="{C3380CC4-5D6E-409C-BE32-E72D297353CC}">
              <c16:uniqueId val="{00000000-E4DD-4E22-AC88-728667D53A27}"/>
            </c:ext>
          </c:extLst>
        </c:ser>
        <c:ser>
          <c:idx val="1"/>
          <c:order val="1"/>
          <c:tx>
            <c:strRef>
              <c:f>Sheet1!$C$1</c:f>
              <c:strCache>
                <c:ptCount val="1"/>
                <c:pt idx="0">
                  <c:v>qsort (size)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Sheet1!$C$2:$C$5</c:f>
              <c:numCache>
                <c:formatCode>General</c:formatCode>
                <c:ptCount val="4"/>
                <c:pt idx="0">
                  <c:v>1</c:v>
                </c:pt>
                <c:pt idx="1">
                  <c:v>1.2761</c:v>
                </c:pt>
                <c:pt idx="2">
                  <c:v>2.3660999999999999</c:v>
                </c:pt>
                <c:pt idx="3">
                  <c:v>2.5773999999999999</c:v>
                </c:pt>
              </c:numCache>
            </c:numRef>
          </c:val>
          <c:smooth val="0"/>
          <c:extLst>
            <c:ext xmlns:c16="http://schemas.microsoft.com/office/drawing/2014/chart" uri="{C3380CC4-5D6E-409C-BE32-E72D297353CC}">
              <c16:uniqueId val="{00000001-E4DD-4E22-AC88-728667D53A27}"/>
            </c:ext>
          </c:extLst>
        </c:ser>
        <c:ser>
          <c:idx val="2"/>
          <c:order val="2"/>
          <c:tx>
            <c:strRef>
              <c:f>Sheet1!$D$1</c:f>
              <c:strCache>
                <c:ptCount val="1"/>
                <c:pt idx="0">
                  <c:v>ssearch (assoc)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Sheet1!$D$2:$D$5</c:f>
              <c:numCache>
                <c:formatCode>General</c:formatCode>
                <c:ptCount val="4"/>
                <c:pt idx="0">
                  <c:v>4.7412000000000001</c:v>
                </c:pt>
                <c:pt idx="1">
                  <c:v>5.3601999999999999</c:v>
                </c:pt>
                <c:pt idx="2">
                  <c:v>6.4259000000000004</c:v>
                </c:pt>
                <c:pt idx="3">
                  <c:v>6.4259000000000004</c:v>
                </c:pt>
              </c:numCache>
            </c:numRef>
          </c:val>
          <c:smooth val="0"/>
          <c:extLst>
            <c:ext xmlns:c16="http://schemas.microsoft.com/office/drawing/2014/chart" uri="{C3380CC4-5D6E-409C-BE32-E72D297353CC}">
              <c16:uniqueId val="{00000004-E4DD-4E22-AC88-728667D53A27}"/>
            </c:ext>
          </c:extLst>
        </c:ser>
        <c:ser>
          <c:idx val="3"/>
          <c:order val="3"/>
          <c:tx>
            <c:strRef>
              <c:f>Sheet1!$E$1</c:f>
              <c:strCache>
                <c:ptCount val="1"/>
                <c:pt idx="0">
                  <c:v>qsort (assoc)</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Sheet1!$E$2:$E$5</c:f>
              <c:numCache>
                <c:formatCode>General</c:formatCode>
                <c:ptCount val="4"/>
                <c:pt idx="0">
                  <c:v>2.4956</c:v>
                </c:pt>
                <c:pt idx="1">
                  <c:v>2.5773799999999998</c:v>
                </c:pt>
                <c:pt idx="2">
                  <c:v>2.5775000000000001</c:v>
                </c:pt>
                <c:pt idx="3">
                  <c:v>2.5775000000000001</c:v>
                </c:pt>
              </c:numCache>
            </c:numRef>
          </c:val>
          <c:smooth val="0"/>
          <c:extLst>
            <c:ext xmlns:c16="http://schemas.microsoft.com/office/drawing/2014/chart" uri="{C3380CC4-5D6E-409C-BE32-E72D297353CC}">
              <c16:uniqueId val="{00000005-E4DD-4E22-AC88-728667D53A27}"/>
            </c:ext>
          </c:extLst>
        </c:ser>
        <c:ser>
          <c:idx val="4"/>
          <c:order val="4"/>
          <c:tx>
            <c:strRef>
              <c:f>Sheet1!$F$1</c:f>
              <c:strCache>
                <c:ptCount val="1"/>
                <c:pt idx="0">
                  <c:v>ssearch (bsize)</c:v>
                </c:pt>
              </c:strCache>
            </c:strRef>
          </c:tx>
          <c:spPr>
            <a:ln w="22225" cap="rnd">
              <a:solidFill>
                <a:schemeClr val="accent5"/>
              </a:solidFill>
              <a:round/>
            </a:ln>
            <a:effectLst/>
          </c:spPr>
          <c:marker>
            <c:symbol val="star"/>
            <c:size val="6"/>
            <c:spPr>
              <a:noFill/>
              <a:ln w="9525">
                <a:solidFill>
                  <a:schemeClr val="accent5"/>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Sheet1!$F$2:$F$5</c:f>
              <c:numCache>
                <c:formatCode>General</c:formatCode>
                <c:ptCount val="4"/>
                <c:pt idx="0">
                  <c:v>5.8342000000000001</c:v>
                </c:pt>
                <c:pt idx="1">
                  <c:v>6.4481000000000002</c:v>
                </c:pt>
                <c:pt idx="2">
                  <c:v>6.8257000000000003</c:v>
                </c:pt>
                <c:pt idx="3">
                  <c:v>7.0385999999999997</c:v>
                </c:pt>
              </c:numCache>
            </c:numRef>
          </c:val>
          <c:smooth val="0"/>
          <c:extLst>
            <c:ext xmlns:c16="http://schemas.microsoft.com/office/drawing/2014/chart" uri="{C3380CC4-5D6E-409C-BE32-E72D297353CC}">
              <c16:uniqueId val="{00000006-E4DD-4E22-AC88-728667D53A27}"/>
            </c:ext>
          </c:extLst>
        </c:ser>
        <c:ser>
          <c:idx val="5"/>
          <c:order val="5"/>
          <c:tx>
            <c:strRef>
              <c:f>Sheet1!$G$1</c:f>
              <c:strCache>
                <c:ptCount val="1"/>
                <c:pt idx="0">
                  <c:v>qsort (bsize)</c:v>
                </c:pt>
              </c:strCache>
            </c:strRef>
          </c:tx>
          <c:spPr>
            <a:ln w="22225" cap="rnd">
              <a:solidFill>
                <a:schemeClr val="accent6"/>
              </a:solidFill>
              <a:prstDash val="dash"/>
              <a:round/>
            </a:ln>
            <a:effectLst/>
          </c:spPr>
          <c:marker>
            <c:symbol val="circle"/>
            <c:size val="6"/>
            <c:spPr>
              <a:solidFill>
                <a:schemeClr val="accent6"/>
              </a:solidFill>
              <a:ln w="9525">
                <a:solidFill>
                  <a:schemeClr val="accent6"/>
                </a:solidFill>
                <a:round/>
              </a:ln>
              <a:effectLst/>
            </c:spPr>
          </c:marker>
          <c:dLbls>
            <c:delete val="1"/>
          </c:dLbls>
          <c:cat>
            <c:strRef>
              <c:f>Sheet1!$A$2:$A$5</c:f>
              <c:strCache>
                <c:ptCount val="4"/>
                <c:pt idx="0">
                  <c:v>4KB/1way/16B</c:v>
                </c:pt>
                <c:pt idx="1">
                  <c:v>8KB/2way/32B</c:v>
                </c:pt>
                <c:pt idx="2">
                  <c:v>16KB/4way/64B</c:v>
                </c:pt>
                <c:pt idx="3">
                  <c:v>32KB/8way/128B</c:v>
                </c:pt>
              </c:strCache>
            </c:strRef>
          </c:cat>
          <c:val>
            <c:numRef>
              <c:f>Sheet1!$G$2:$G$5</c:f>
              <c:numCache>
                <c:formatCode>General</c:formatCode>
                <c:ptCount val="4"/>
                <c:pt idx="0">
                  <c:v>2.5716000000000001</c:v>
                </c:pt>
                <c:pt idx="1">
                  <c:v>2.5728</c:v>
                </c:pt>
                <c:pt idx="2">
                  <c:v>2.5733999999999999</c:v>
                </c:pt>
                <c:pt idx="3">
                  <c:v>2.5737999999999999</c:v>
                </c:pt>
              </c:numCache>
            </c:numRef>
          </c:val>
          <c:smooth val="0"/>
          <c:extLst>
            <c:ext xmlns:c16="http://schemas.microsoft.com/office/drawing/2014/chart" uri="{C3380CC4-5D6E-409C-BE32-E72D297353CC}">
              <c16:uniqueId val="{00000007-E4DD-4E22-AC88-728667D53A27}"/>
            </c:ext>
          </c:extLst>
        </c:ser>
        <c:dLbls>
          <c:showLegendKey val="0"/>
          <c:showVal val="1"/>
          <c:showCatName val="0"/>
          <c:showSerName val="0"/>
          <c:showPercent val="0"/>
          <c:showBubbleSize val="0"/>
        </c:dLbls>
        <c:marker val="1"/>
        <c:smooth val="0"/>
        <c:axId val="590383728"/>
        <c:axId val="590385368"/>
      </c:lineChart>
      <c:catAx>
        <c:axId val="59038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e-DE"/>
          </a:p>
        </c:txPr>
        <c:crossAx val="590385368"/>
        <c:crosses val="autoZero"/>
        <c:auto val="1"/>
        <c:lblAlgn val="ctr"/>
        <c:lblOffset val="100"/>
        <c:noMultiLvlLbl val="0"/>
      </c:catAx>
      <c:valAx>
        <c:axId val="590385368"/>
        <c:scaling>
          <c:orientation val="minMax"/>
          <c:max val="7.1"/>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0383728"/>
        <c:crosses val="autoZero"/>
        <c:crossBetween val="between"/>
      </c:valAx>
      <c:spPr>
        <a:noFill/>
        <a:ln>
          <a:noFill/>
        </a:ln>
        <a:effectLst/>
      </c:spPr>
    </c:plotArea>
    <c:legend>
      <c:legendPos val="r"/>
      <c:layout>
        <c:manualLayout>
          <c:xMode val="edge"/>
          <c:yMode val="edge"/>
          <c:x val="0.8003078497346422"/>
          <c:y val="6.3448377364044448E-2"/>
          <c:w val="0.1996921502653578"/>
          <c:h val="0.757014644197512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Lohmöller</dc:creator>
  <cp:keywords/>
  <dc:description/>
  <cp:lastModifiedBy>Johannes Lohmöller</cp:lastModifiedBy>
  <cp:revision>2</cp:revision>
  <dcterms:created xsi:type="dcterms:W3CDTF">2017-11-23T20:54:00Z</dcterms:created>
  <dcterms:modified xsi:type="dcterms:W3CDTF">2017-11-23T20:54:00Z</dcterms:modified>
</cp:coreProperties>
</file>