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F6F450">
      <w:pPr>
        <w:spacing w:line="480" w:lineRule="auto"/>
        <w:rPr>
          <w:rFonts w:hint="eastAsia" w:ascii="Times New Roman" w:hAnsi="Times New Roman" w:eastAsia="宋体" w:cs="Times New Roman"/>
          <w:b/>
          <w:bCs/>
          <w:color w:val="060607"/>
          <w:spacing w:val="3"/>
          <w:kern w:val="0"/>
          <w:sz w:val="24"/>
          <w:szCs w:val="24"/>
          <w:shd w:val="clear" w:color="auto" w:fill="FFFFFF"/>
          <w:lang w:val="en-US" w:eastAsia="zh-CN" w:bidi="ar-SA"/>
        </w:rPr>
      </w:pPr>
      <w:r>
        <w:rPr>
          <w:rFonts w:hint="eastAsia" w:ascii="Times New Roman" w:hAnsi="Times New Roman" w:eastAsia="宋体" w:cs="Times New Roman"/>
          <w:b/>
          <w:bCs/>
          <w:color w:val="060607"/>
          <w:spacing w:val="3"/>
          <w:kern w:val="0"/>
          <w:sz w:val="24"/>
          <w:szCs w:val="24"/>
          <w:shd w:val="clear" w:color="auto" w:fill="FFFFFF"/>
          <w:lang w:val="en-US" w:eastAsia="zh-CN" w:bidi="ar-SA"/>
        </w:rPr>
        <w:t>Supplementary Materials</w:t>
      </w:r>
    </w:p>
    <w:p w14:paraId="0470E0AA">
      <w:pPr>
        <w:spacing w:line="480" w:lineRule="auto"/>
        <w:rPr>
          <w:rFonts w:hint="eastAsia" w:ascii="Times New Roman" w:hAnsi="Times New Roman" w:eastAsia="宋体" w:cs="Times New Roman"/>
          <w:b/>
          <w:bCs/>
          <w:color w:val="060607"/>
          <w:spacing w:val="3"/>
          <w:kern w:val="0"/>
          <w:sz w:val="24"/>
          <w:szCs w:val="24"/>
          <w:shd w:val="clear" w:color="auto" w:fill="FFFFFF"/>
          <w:lang w:val="en-US" w:eastAsia="zh-CN" w:bidi="ar-SA"/>
        </w:rPr>
      </w:pPr>
      <w:r>
        <w:rPr>
          <w:rFonts w:hint="eastAsia" w:ascii="Times New Roman" w:hAnsi="Times New Roman" w:eastAsia="宋体" w:cs="Times New Roman"/>
          <w:b/>
          <w:bCs/>
          <w:color w:val="060607"/>
          <w:spacing w:val="3"/>
          <w:kern w:val="0"/>
          <w:sz w:val="24"/>
          <w:szCs w:val="24"/>
          <w:shd w:val="clear" w:color="auto" w:fill="FFFFFF"/>
          <w:lang w:val="en-US" w:eastAsia="zh-CN" w:bidi="ar-SA"/>
        </w:rPr>
        <w:t>1. HOTAIR Polymorphism: Funnel Plot of the Homozygous (Codominant) Model</w:t>
      </w:r>
    </w:p>
    <w:p w14:paraId="4610B52E">
      <w:pPr>
        <w:rPr>
          <w:rStyle w:val="6"/>
          <w:rFonts w:ascii="Segoe UI" w:hAnsi="Segoe UI" w:eastAsia="Segoe UI" w:cs="Segoe UI"/>
          <w:b/>
          <w:bCs/>
          <w:i w:val="0"/>
          <w:iCs w:val="0"/>
          <w:caps w:val="0"/>
          <w:color w:val="0F1115"/>
          <w:spacing w:val="0"/>
          <w:sz w:val="19"/>
          <w:szCs w:val="19"/>
          <w:shd w:val="clear" w:fill="FFFFFF"/>
        </w:rPr>
      </w:pPr>
      <w:r>
        <w:drawing>
          <wp:inline distT="0" distB="0" distL="114300" distR="114300">
            <wp:extent cx="5025390" cy="3657600"/>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025390" cy="3657600"/>
                    </a:xfrm>
                    <a:prstGeom prst="rect">
                      <a:avLst/>
                    </a:prstGeom>
                    <a:noFill/>
                    <a:ln>
                      <a:noFill/>
                    </a:ln>
                  </pic:spPr>
                </pic:pic>
              </a:graphicData>
            </a:graphic>
          </wp:inline>
        </w:drawing>
      </w:r>
    </w:p>
    <w:p w14:paraId="551E8F46">
      <w:pPr>
        <w:spacing w:line="480" w:lineRule="auto"/>
        <w:rPr>
          <w:rFonts w:hint="eastAsia" w:ascii="Times New Roman" w:hAnsi="Times New Roman" w:eastAsia="宋体" w:cs="Times New Roman"/>
          <w:b/>
          <w:bCs/>
          <w:color w:val="060607"/>
          <w:spacing w:val="3"/>
          <w:kern w:val="0"/>
          <w:sz w:val="24"/>
          <w:szCs w:val="24"/>
          <w:shd w:val="clear" w:color="auto" w:fill="FFFFFF"/>
          <w:lang w:val="en-US" w:eastAsia="zh-CN" w:bidi="ar-SA"/>
        </w:rPr>
      </w:pPr>
      <w:r>
        <w:rPr>
          <w:rFonts w:hint="eastAsia" w:ascii="Times New Roman" w:hAnsi="Times New Roman" w:eastAsia="宋体" w:cs="Times New Roman"/>
          <w:b/>
          <w:bCs/>
          <w:color w:val="060607"/>
          <w:spacing w:val="3"/>
          <w:kern w:val="0"/>
          <w:sz w:val="24"/>
          <w:szCs w:val="24"/>
          <w:shd w:val="clear" w:color="auto" w:fill="FFFFFF"/>
          <w:lang w:val="en-US" w:eastAsia="zh-CN" w:bidi="ar-SA"/>
        </w:rPr>
        <w:t>2. Funnel Plot of the HOTAIR Gene rs1899663 G&gt;T Codominant Model</w:t>
      </w:r>
    </w:p>
    <w:p w14:paraId="7C90448B">
      <w:pPr>
        <w:rPr>
          <w:rStyle w:val="6"/>
          <w:rFonts w:hint="eastAsia" w:ascii="Segoe UI" w:hAnsi="Segoe UI" w:eastAsia="Segoe UI" w:cs="Segoe UI"/>
          <w:b/>
          <w:bCs/>
          <w:i w:val="0"/>
          <w:iCs w:val="0"/>
          <w:caps w:val="0"/>
          <w:color w:val="0F1115"/>
          <w:spacing w:val="0"/>
          <w:sz w:val="19"/>
          <w:szCs w:val="19"/>
          <w:shd w:val="clear" w:fill="FFFFFF"/>
          <w:lang w:val="en-US" w:eastAsia="zh-CN"/>
        </w:rPr>
      </w:pPr>
      <w:r>
        <w:drawing>
          <wp:inline distT="0" distB="0" distL="114300" distR="114300">
            <wp:extent cx="5025390" cy="3657600"/>
            <wp:effectExtent l="0" t="0" r="381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025390" cy="3657600"/>
                    </a:xfrm>
                    <a:prstGeom prst="rect">
                      <a:avLst/>
                    </a:prstGeom>
                    <a:noFill/>
                    <a:ln>
                      <a:noFill/>
                    </a:ln>
                  </pic:spPr>
                </pic:pic>
              </a:graphicData>
            </a:graphic>
          </wp:inline>
        </w:drawing>
      </w:r>
    </w:p>
    <w:p w14:paraId="3660A991">
      <w:pPr>
        <w:spacing w:line="480" w:lineRule="auto"/>
        <w:rPr>
          <w:rFonts w:hint="eastAsia" w:ascii="Times New Roman" w:hAnsi="Times New Roman" w:eastAsia="宋体" w:cs="Times New Roman"/>
          <w:b/>
          <w:bCs/>
          <w:color w:val="060607"/>
          <w:spacing w:val="3"/>
          <w:kern w:val="0"/>
          <w:sz w:val="24"/>
          <w:szCs w:val="24"/>
          <w:shd w:val="clear" w:color="auto" w:fill="FFFFFF"/>
          <w:lang w:val="en-US" w:eastAsia="zh-CN" w:bidi="ar-SA"/>
        </w:rPr>
      </w:pPr>
      <w:r>
        <w:rPr>
          <w:rFonts w:hint="eastAsia" w:ascii="Times New Roman" w:hAnsi="Times New Roman" w:eastAsia="宋体" w:cs="Times New Roman"/>
          <w:b/>
          <w:bCs/>
          <w:color w:val="060607"/>
          <w:spacing w:val="3"/>
          <w:kern w:val="0"/>
          <w:sz w:val="24"/>
          <w:szCs w:val="24"/>
          <w:shd w:val="clear" w:color="auto" w:fill="FFFFFF"/>
          <w:lang w:val="en-US" w:eastAsia="zh-CN" w:bidi="ar-SA"/>
        </w:rPr>
        <w:t>3. Funnel Plot of the HOTAIR Gene rs1899663 G</w:t>
      </w:r>
      <w:r>
        <w:rPr>
          <w:rFonts w:ascii="Times New Roman" w:hAnsi="Times New Roman" w:eastAsia="宋体"/>
          <w:b/>
          <w:bCs/>
          <w:color w:val="060607"/>
          <w:spacing w:val="3"/>
          <w:sz w:val="24"/>
          <w:szCs w:val="24"/>
          <w:shd w:val="clear" w:color="auto" w:fill="FFFFFF"/>
        </w:rPr>
        <w:t>&gt;</w:t>
      </w:r>
      <w:r>
        <w:rPr>
          <w:rFonts w:hint="eastAsia" w:ascii="Times New Roman" w:hAnsi="Times New Roman" w:eastAsia="宋体" w:cs="Times New Roman"/>
          <w:b/>
          <w:bCs/>
          <w:color w:val="060607"/>
          <w:spacing w:val="3"/>
          <w:kern w:val="0"/>
          <w:sz w:val="24"/>
          <w:szCs w:val="24"/>
          <w:shd w:val="clear" w:color="auto" w:fill="FFFFFF"/>
          <w:lang w:val="en-US" w:eastAsia="zh-CN" w:bidi="ar-SA"/>
        </w:rPr>
        <w:t>T Dominant Model</w:t>
      </w:r>
    </w:p>
    <w:p w14:paraId="5A2DA09D">
      <w:r>
        <w:drawing>
          <wp:inline distT="0" distB="0" distL="114300" distR="114300">
            <wp:extent cx="5025390" cy="3657600"/>
            <wp:effectExtent l="0" t="0" r="381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025390" cy="3657600"/>
                    </a:xfrm>
                    <a:prstGeom prst="rect">
                      <a:avLst/>
                    </a:prstGeom>
                    <a:noFill/>
                    <a:ln>
                      <a:noFill/>
                    </a:ln>
                  </pic:spPr>
                </pic:pic>
              </a:graphicData>
            </a:graphic>
          </wp:inline>
        </w:drawing>
      </w:r>
    </w:p>
    <w:p w14:paraId="65552D1E">
      <w:pPr>
        <w:spacing w:line="480" w:lineRule="auto"/>
        <w:rPr>
          <w:rFonts w:hint="eastAsia" w:ascii="Times New Roman" w:hAnsi="Times New Roman" w:eastAsia="宋体" w:cs="Times New Roman"/>
          <w:b/>
          <w:bCs/>
          <w:color w:val="060607"/>
          <w:spacing w:val="3"/>
          <w:kern w:val="0"/>
          <w:sz w:val="24"/>
          <w:szCs w:val="24"/>
          <w:shd w:val="clear" w:color="auto" w:fill="FFFFFF"/>
          <w:lang w:val="en-US" w:eastAsia="zh-CN" w:bidi="ar-SA"/>
        </w:rPr>
      </w:pPr>
      <w:r>
        <w:rPr>
          <w:rFonts w:hint="eastAsia" w:ascii="Times New Roman" w:hAnsi="Times New Roman" w:eastAsia="宋体" w:cs="Times New Roman"/>
          <w:b/>
          <w:bCs/>
          <w:color w:val="060607"/>
          <w:spacing w:val="3"/>
          <w:kern w:val="0"/>
          <w:sz w:val="24"/>
          <w:szCs w:val="24"/>
          <w:shd w:val="clear" w:color="auto" w:fill="FFFFFF"/>
          <w:lang w:val="en-US" w:eastAsia="zh-CN" w:bidi="ar-SA"/>
        </w:rPr>
        <w:t>4. Funnel Plot of the HOTAIR Gene rs1899663 G</w:t>
      </w:r>
      <w:r>
        <w:rPr>
          <w:rFonts w:ascii="Times New Roman" w:hAnsi="Times New Roman" w:eastAsia="宋体"/>
          <w:b/>
          <w:bCs/>
          <w:color w:val="060607"/>
          <w:spacing w:val="3"/>
          <w:sz w:val="24"/>
          <w:szCs w:val="24"/>
          <w:shd w:val="clear" w:color="auto" w:fill="FFFFFF"/>
        </w:rPr>
        <w:t>&gt;</w:t>
      </w:r>
      <w:r>
        <w:rPr>
          <w:rFonts w:hint="eastAsia" w:ascii="Times New Roman" w:hAnsi="Times New Roman" w:eastAsia="宋体" w:cs="Times New Roman"/>
          <w:b/>
          <w:bCs/>
          <w:color w:val="060607"/>
          <w:spacing w:val="3"/>
          <w:kern w:val="0"/>
          <w:sz w:val="24"/>
          <w:szCs w:val="24"/>
          <w:shd w:val="clear" w:color="auto" w:fill="FFFFFF"/>
          <w:lang w:val="en-US" w:eastAsia="zh-CN" w:bidi="ar-SA"/>
        </w:rPr>
        <w:t>T Recessive Model</w:t>
      </w:r>
    </w:p>
    <w:p w14:paraId="0CB100B0">
      <w:r>
        <w:drawing>
          <wp:inline distT="0" distB="0" distL="114300" distR="114300">
            <wp:extent cx="5025390" cy="3657600"/>
            <wp:effectExtent l="0" t="0" r="381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025390" cy="3657600"/>
                    </a:xfrm>
                    <a:prstGeom prst="rect">
                      <a:avLst/>
                    </a:prstGeom>
                    <a:noFill/>
                    <a:ln>
                      <a:noFill/>
                    </a:ln>
                  </pic:spPr>
                </pic:pic>
              </a:graphicData>
            </a:graphic>
          </wp:inline>
        </w:drawing>
      </w:r>
    </w:p>
    <w:p w14:paraId="56F77CA6">
      <w:pPr>
        <w:spacing w:line="480" w:lineRule="auto"/>
        <w:rPr>
          <w:rFonts w:hint="eastAsia" w:ascii="Times New Roman" w:hAnsi="Times New Roman" w:eastAsia="宋体" w:cs="Times New Roman"/>
          <w:b/>
          <w:bCs/>
          <w:color w:val="060607"/>
          <w:spacing w:val="3"/>
          <w:kern w:val="0"/>
          <w:sz w:val="24"/>
          <w:szCs w:val="24"/>
          <w:shd w:val="clear" w:color="auto" w:fill="FFFFFF"/>
          <w:lang w:val="en-US" w:eastAsia="zh-CN" w:bidi="ar-SA"/>
        </w:rPr>
      </w:pPr>
      <w:r>
        <w:rPr>
          <w:rFonts w:hint="eastAsia" w:ascii="Times New Roman" w:hAnsi="Times New Roman" w:eastAsia="宋体" w:cs="Times New Roman"/>
          <w:b/>
          <w:bCs/>
          <w:color w:val="060607"/>
          <w:spacing w:val="3"/>
          <w:kern w:val="0"/>
          <w:sz w:val="24"/>
          <w:szCs w:val="24"/>
          <w:shd w:val="clear" w:color="auto" w:fill="FFFFFF"/>
          <w:lang w:val="en-US" w:eastAsia="zh-CN" w:bidi="ar-SA"/>
        </w:rPr>
        <w:t>5. Funnel Plot of the HOTAIR Gene rs1899663 G</w:t>
      </w:r>
      <w:r>
        <w:rPr>
          <w:rFonts w:ascii="Times New Roman" w:hAnsi="Times New Roman" w:eastAsia="宋体"/>
          <w:b/>
          <w:bCs/>
          <w:color w:val="060607"/>
          <w:spacing w:val="3"/>
          <w:sz w:val="24"/>
          <w:szCs w:val="24"/>
          <w:shd w:val="clear" w:color="auto" w:fill="FFFFFF"/>
        </w:rPr>
        <w:t>&gt;</w:t>
      </w:r>
      <w:r>
        <w:rPr>
          <w:rFonts w:hint="eastAsia" w:ascii="Times New Roman" w:hAnsi="Times New Roman" w:eastAsia="宋体" w:cs="Times New Roman"/>
          <w:b/>
          <w:bCs/>
          <w:color w:val="060607"/>
          <w:spacing w:val="3"/>
          <w:kern w:val="0"/>
          <w:sz w:val="24"/>
          <w:szCs w:val="24"/>
          <w:shd w:val="clear" w:color="auto" w:fill="FFFFFF"/>
          <w:lang w:val="en-US" w:eastAsia="zh-CN" w:bidi="ar-SA"/>
        </w:rPr>
        <w:t>T Overdominant Model</w:t>
      </w:r>
    </w:p>
    <w:p w14:paraId="0D542CB0">
      <w:r>
        <w:drawing>
          <wp:inline distT="0" distB="0" distL="114300" distR="114300">
            <wp:extent cx="5025390" cy="3657600"/>
            <wp:effectExtent l="0" t="0" r="381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025390" cy="3657600"/>
                    </a:xfrm>
                    <a:prstGeom prst="rect">
                      <a:avLst/>
                    </a:prstGeom>
                    <a:noFill/>
                    <a:ln>
                      <a:noFill/>
                    </a:ln>
                  </pic:spPr>
                </pic:pic>
              </a:graphicData>
            </a:graphic>
          </wp:inline>
        </w:drawing>
      </w:r>
    </w:p>
    <w:p w14:paraId="33FF85C6">
      <w:pPr>
        <w:spacing w:line="480" w:lineRule="auto"/>
        <w:rPr>
          <w:rFonts w:ascii="Times New Roman" w:hAnsi="Times New Roman" w:eastAsia="宋体" w:cs="Times New Roman"/>
          <w:b/>
          <w:bCs/>
          <w:color w:val="060607"/>
          <w:spacing w:val="3"/>
          <w:kern w:val="0"/>
          <w:sz w:val="24"/>
          <w:szCs w:val="24"/>
          <w:shd w:val="clear" w:color="auto" w:fill="FFFFFF"/>
          <w:lang w:val="en-US" w:eastAsia="zh-CN" w:bidi="ar-SA"/>
        </w:rPr>
      </w:pPr>
      <w:r>
        <w:rPr>
          <w:rFonts w:ascii="Times New Roman" w:hAnsi="Times New Roman" w:eastAsia="宋体" w:cs="Times New Roman"/>
          <w:b/>
          <w:bCs/>
          <w:color w:val="060607"/>
          <w:spacing w:val="3"/>
          <w:kern w:val="0"/>
          <w:sz w:val="24"/>
          <w:szCs w:val="24"/>
          <w:shd w:val="clear" w:color="auto" w:fill="FFFFFF"/>
          <w:lang w:val="en-US" w:eastAsia="zh-CN" w:bidi="ar-SA"/>
        </w:rPr>
        <w:t>This study systematically evaluated the robustness of the meta-analysis on the association between the HOTAIR polymorphism—including both the homozygous model and rs1899663 polymorphism models—and disease risk from different genetic inheritance perspectives (codominant, dominant, recessive, and overdominant). By examining funnel plots across all these models, it can be concluded that the present study is robust against potential publication bias.</w:t>
      </w:r>
    </w:p>
    <w:p w14:paraId="17424C1C">
      <w:pPr>
        <w:spacing w:line="480" w:lineRule="auto"/>
        <w:rPr>
          <w:rFonts w:ascii="Times New Roman" w:hAnsi="Times New Roman" w:eastAsia="宋体" w:cs="Times New Roman"/>
          <w:b/>
          <w:bCs/>
          <w:color w:val="060607"/>
          <w:spacing w:val="3"/>
          <w:kern w:val="0"/>
          <w:sz w:val="24"/>
          <w:szCs w:val="24"/>
          <w:shd w:val="clear" w:color="auto" w:fill="FFFFFF"/>
          <w:lang w:val="en-US" w:eastAsia="zh-CN" w:bidi="ar-SA"/>
        </w:rPr>
      </w:pPr>
      <w:r>
        <w:rPr>
          <w:rFonts w:hint="eastAsia" w:ascii="Times New Roman" w:hAnsi="Times New Roman" w:eastAsia="宋体" w:cs="Times New Roman"/>
          <w:b/>
          <w:bCs/>
          <w:color w:val="060607"/>
          <w:spacing w:val="3"/>
          <w:kern w:val="0"/>
          <w:sz w:val="24"/>
          <w:szCs w:val="24"/>
          <w:shd w:val="clear" w:color="auto" w:fill="FFFFFF"/>
          <w:lang w:val="en-US" w:eastAsia="zh-CN" w:bidi="ar-SA"/>
        </w:rPr>
        <w:t>2. Meta</w:t>
      </w:r>
      <w:r>
        <w:rPr>
          <w:rFonts w:ascii="Times New Roman" w:hAnsi="Times New Roman" w:eastAsia="宋体" w:cs="Times New Roman"/>
          <w:b/>
          <w:bCs/>
          <w:color w:val="060607"/>
          <w:spacing w:val="3"/>
          <w:kern w:val="0"/>
          <w:sz w:val="24"/>
          <w:szCs w:val="24"/>
          <w:shd w:val="clear" w:color="auto" w:fill="FFFFFF"/>
          <w:lang w:val="en-US" w:eastAsia="zh-CN" w:bidi="ar-SA"/>
        </w:rPr>
        <w:t>-regression</w:t>
      </w:r>
    </w:p>
    <w:p w14:paraId="1500C608">
      <w:pPr>
        <w:spacing w:line="480" w:lineRule="auto"/>
        <w:rPr>
          <w:rFonts w:hint="default" w:ascii="Times New Roman" w:hAnsi="Times New Roman" w:eastAsia="宋体" w:cs="Times New Roman"/>
          <w:b/>
          <w:bCs/>
          <w:color w:val="060607"/>
          <w:spacing w:val="3"/>
          <w:kern w:val="0"/>
          <w:sz w:val="24"/>
          <w:szCs w:val="24"/>
          <w:shd w:val="clear" w:color="auto" w:fill="FFFFFF"/>
          <w:lang w:val="en-US" w:eastAsia="zh-CN" w:bidi="ar-SA"/>
        </w:rPr>
      </w:pPr>
      <w:r>
        <w:rPr>
          <w:rFonts w:ascii="Times New Roman" w:hAnsi="Times New Roman" w:eastAsia="宋体" w:cs="Times New Roman"/>
          <w:b/>
          <w:bCs/>
          <w:color w:val="060607"/>
          <w:spacing w:val="3"/>
          <w:kern w:val="0"/>
          <w:sz w:val="24"/>
          <w:szCs w:val="24"/>
          <w:shd w:val="clear" w:color="auto" w:fill="FFFFFF"/>
          <w:lang w:val="en-US" w:eastAsia="zh-CN" w:bidi="ar-SA"/>
        </w:rPr>
        <w:t>To investigate potential sources of heterogeneity observed in the main analysis, univariable meta-regression analyses were performed. The key findings are summarized below.</w:t>
      </w:r>
      <w:r>
        <w:rPr>
          <w:rFonts w:hint="eastAsia" w:ascii="Times New Roman" w:hAnsi="Times New Roman" w:eastAsia="宋体" w:cs="Times New Roman"/>
          <w:b/>
          <w:bCs/>
          <w:color w:val="060607"/>
          <w:spacing w:val="3"/>
          <w:kern w:val="0"/>
          <w:sz w:val="24"/>
          <w:szCs w:val="24"/>
          <w:shd w:val="clear" w:color="auto" w:fill="FFFFFF"/>
          <w:lang w:val="en-US" w:eastAsia="zh-CN" w:bidi="ar-SA"/>
        </w:rPr>
        <w:t xml:space="preserve"> </w:t>
      </w:r>
    </w:p>
    <w:p w14:paraId="249B0659">
      <w:pPr>
        <w:spacing w:line="480" w:lineRule="auto"/>
        <w:rPr>
          <w:rFonts w:hint="default" w:ascii="Times New Roman" w:hAnsi="Times New Roman" w:eastAsia="宋体" w:cs="Times New Roman"/>
          <w:b/>
          <w:bCs/>
          <w:color w:val="060607"/>
          <w:spacing w:val="3"/>
          <w:kern w:val="0"/>
          <w:sz w:val="24"/>
          <w:szCs w:val="24"/>
          <w:shd w:val="clear" w:color="auto" w:fill="FFFFFF"/>
          <w:lang w:val="en-US" w:eastAsia="zh-CN" w:bidi="ar-SA"/>
        </w:rPr>
      </w:pPr>
      <w:r>
        <w:rPr>
          <w:rFonts w:hint="eastAsia" w:ascii="Times New Roman" w:hAnsi="Times New Roman" w:eastAsia="宋体" w:cs="Times New Roman"/>
          <w:b/>
          <w:bCs/>
          <w:color w:val="060607"/>
          <w:spacing w:val="3"/>
          <w:kern w:val="0"/>
          <w:sz w:val="24"/>
          <w:szCs w:val="24"/>
          <w:shd w:val="clear" w:color="auto" w:fill="FFFFFF"/>
          <w:lang w:val="en-US" w:eastAsia="zh-CN" w:bidi="ar-SA"/>
        </w:rPr>
        <w:t>2.1 HOTAIR Polymorphism Codominant Model</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67D6E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212A19E">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Variables</w:t>
            </w:r>
          </w:p>
        </w:tc>
        <w:tc>
          <w:tcPr>
            <w:tcW w:w="1704" w:type="dxa"/>
          </w:tcPr>
          <w:p w14:paraId="350232B4">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confficient</w:t>
            </w:r>
          </w:p>
        </w:tc>
        <w:tc>
          <w:tcPr>
            <w:tcW w:w="1704" w:type="dxa"/>
          </w:tcPr>
          <w:p w14:paraId="465D25E2">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95% CI</w:t>
            </w:r>
          </w:p>
        </w:tc>
        <w:tc>
          <w:tcPr>
            <w:tcW w:w="1705" w:type="dxa"/>
          </w:tcPr>
          <w:p w14:paraId="1DD54CD2">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Std.Err</w:t>
            </w:r>
          </w:p>
        </w:tc>
        <w:tc>
          <w:tcPr>
            <w:tcW w:w="1705" w:type="dxa"/>
          </w:tcPr>
          <w:p w14:paraId="4468BDB9">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P value</w:t>
            </w:r>
          </w:p>
        </w:tc>
      </w:tr>
      <w:tr w14:paraId="47409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C3A6A57">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year</w:t>
            </w:r>
          </w:p>
        </w:tc>
        <w:tc>
          <w:tcPr>
            <w:tcW w:w="1704" w:type="dxa"/>
          </w:tcPr>
          <w:p w14:paraId="72283D7F">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-0.19</w:t>
            </w:r>
          </w:p>
        </w:tc>
        <w:tc>
          <w:tcPr>
            <w:tcW w:w="1704" w:type="dxa"/>
          </w:tcPr>
          <w:p w14:paraId="63B3B6C6">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w:t>
            </w:r>
            <w:r>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t>-</w:t>
            </w: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0</w:t>
            </w:r>
            <w:r>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t xml:space="preserve">.33 </w:t>
            </w: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 xml:space="preserve">, </w:t>
            </w:r>
            <w:r>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t>-</w:t>
            </w: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0</w:t>
            </w:r>
            <w:r>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t>.04</w:t>
            </w: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w:t>
            </w:r>
          </w:p>
        </w:tc>
        <w:tc>
          <w:tcPr>
            <w:tcW w:w="1705" w:type="dxa"/>
          </w:tcPr>
          <w:p w14:paraId="2F6FD9A3">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0</w:t>
            </w:r>
            <w:r>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t>.07</w:t>
            </w:r>
          </w:p>
        </w:tc>
        <w:tc>
          <w:tcPr>
            <w:tcW w:w="1705" w:type="dxa"/>
          </w:tcPr>
          <w:p w14:paraId="70DB7FF3">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t xml:space="preserve"> 0.01</w:t>
            </w: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4</w:t>
            </w:r>
            <w:r>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t xml:space="preserve"> </w:t>
            </w:r>
          </w:p>
        </w:tc>
      </w:tr>
    </w:tbl>
    <w:p w14:paraId="69C3AE59">
      <w:pPr>
        <w:spacing w:line="480" w:lineRule="auto"/>
        <w:rPr>
          <w:rFonts w:hint="eastAsia" w:ascii="Times New Roman" w:hAnsi="Times New Roman" w:eastAsia="宋体" w:cs="Times New Roman"/>
          <w:b/>
          <w:bCs/>
          <w:color w:val="060607"/>
          <w:spacing w:val="3"/>
          <w:kern w:val="0"/>
          <w:sz w:val="24"/>
          <w:szCs w:val="24"/>
          <w:shd w:val="clear" w:color="auto" w:fill="FFFFFF"/>
          <w:lang w:val="en-US" w:eastAsia="zh-CN" w:bidi="ar-SA"/>
        </w:rPr>
      </w:pPr>
      <w:r>
        <w:rPr>
          <w:rFonts w:hint="eastAsia" w:ascii="Times New Roman" w:hAnsi="Times New Roman" w:eastAsia="宋体" w:cs="Times New Roman"/>
          <w:b/>
          <w:bCs/>
          <w:color w:val="060607"/>
          <w:spacing w:val="3"/>
          <w:kern w:val="0"/>
          <w:sz w:val="24"/>
          <w:szCs w:val="24"/>
          <w:shd w:val="clear" w:color="auto" w:fill="FFFFFF"/>
          <w:lang w:val="en-US" w:eastAsia="zh-CN" w:bidi="ar-SA"/>
        </w:rPr>
        <w:t>2.2 HOTAIR Gene rs1899663 G</w:t>
      </w:r>
      <w:r>
        <w:rPr>
          <w:rFonts w:ascii="Times New Roman" w:hAnsi="Times New Roman" w:eastAsia="宋体"/>
          <w:b/>
          <w:bCs/>
          <w:color w:val="060607"/>
          <w:spacing w:val="3"/>
          <w:sz w:val="24"/>
          <w:szCs w:val="24"/>
          <w:shd w:val="clear" w:color="auto" w:fill="FFFFFF"/>
        </w:rPr>
        <w:t>&gt;</w:t>
      </w:r>
      <w:r>
        <w:rPr>
          <w:rFonts w:hint="eastAsia" w:ascii="Times New Roman" w:hAnsi="Times New Roman" w:eastAsia="宋体" w:cs="Times New Roman"/>
          <w:b/>
          <w:bCs/>
          <w:color w:val="060607"/>
          <w:spacing w:val="3"/>
          <w:kern w:val="0"/>
          <w:sz w:val="24"/>
          <w:szCs w:val="24"/>
          <w:shd w:val="clear" w:color="auto" w:fill="FFFFFF"/>
          <w:lang w:val="en-US" w:eastAsia="zh-CN" w:bidi="ar-SA"/>
        </w:rPr>
        <w:t>T Codominant Model</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2011"/>
        <w:gridCol w:w="1398"/>
        <w:gridCol w:w="1705"/>
      </w:tblGrid>
      <w:tr w14:paraId="71119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E419473">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Variables</w:t>
            </w:r>
          </w:p>
        </w:tc>
        <w:tc>
          <w:tcPr>
            <w:tcW w:w="1704" w:type="dxa"/>
          </w:tcPr>
          <w:p w14:paraId="20330F74">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confficient</w:t>
            </w:r>
          </w:p>
        </w:tc>
        <w:tc>
          <w:tcPr>
            <w:tcW w:w="2011" w:type="dxa"/>
          </w:tcPr>
          <w:p w14:paraId="5CAF4344">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95% CI</w:t>
            </w:r>
          </w:p>
        </w:tc>
        <w:tc>
          <w:tcPr>
            <w:tcW w:w="1398" w:type="dxa"/>
          </w:tcPr>
          <w:p w14:paraId="7DC02700">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Std.Err</w:t>
            </w:r>
          </w:p>
        </w:tc>
        <w:tc>
          <w:tcPr>
            <w:tcW w:w="1705" w:type="dxa"/>
          </w:tcPr>
          <w:p w14:paraId="531B38F0">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P value</w:t>
            </w:r>
          </w:p>
        </w:tc>
      </w:tr>
      <w:tr w14:paraId="17C32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647C3FE">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year</w:t>
            </w:r>
          </w:p>
        </w:tc>
        <w:tc>
          <w:tcPr>
            <w:tcW w:w="1704" w:type="dxa"/>
          </w:tcPr>
          <w:p w14:paraId="54CB565A">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-0.30</w:t>
            </w:r>
          </w:p>
        </w:tc>
        <w:tc>
          <w:tcPr>
            <w:tcW w:w="2011" w:type="dxa"/>
          </w:tcPr>
          <w:p w14:paraId="4ACE70A9">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(-0.71 , 0.10)</w:t>
            </w:r>
          </w:p>
        </w:tc>
        <w:tc>
          <w:tcPr>
            <w:tcW w:w="1398" w:type="dxa"/>
          </w:tcPr>
          <w:p w14:paraId="3614940B">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0.15</w:t>
            </w:r>
          </w:p>
        </w:tc>
        <w:tc>
          <w:tcPr>
            <w:tcW w:w="1705" w:type="dxa"/>
          </w:tcPr>
          <w:p w14:paraId="31D309F3">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0.108</w:t>
            </w:r>
          </w:p>
        </w:tc>
      </w:tr>
      <w:tr w14:paraId="27793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B2F608D">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Asian</w:t>
            </w:r>
          </w:p>
        </w:tc>
        <w:tc>
          <w:tcPr>
            <w:tcW w:w="1704" w:type="dxa"/>
          </w:tcPr>
          <w:p w14:paraId="6205E7D3">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3.44</w:t>
            </w:r>
          </w:p>
        </w:tc>
        <w:tc>
          <w:tcPr>
            <w:tcW w:w="2011" w:type="dxa"/>
          </w:tcPr>
          <w:p w14:paraId="748DF2EE">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(0.98 , 12.08)</w:t>
            </w:r>
          </w:p>
        </w:tc>
        <w:tc>
          <w:tcPr>
            <w:tcW w:w="1398" w:type="dxa"/>
          </w:tcPr>
          <w:p w14:paraId="0E6C44CF">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1.56</w:t>
            </w:r>
          </w:p>
        </w:tc>
        <w:tc>
          <w:tcPr>
            <w:tcW w:w="1705" w:type="dxa"/>
          </w:tcPr>
          <w:p w14:paraId="58D2DA05">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0.052</w:t>
            </w:r>
          </w:p>
        </w:tc>
      </w:tr>
    </w:tbl>
    <w:p w14:paraId="07EE5FC3">
      <w:pPr>
        <w:spacing w:line="480" w:lineRule="auto"/>
        <w:rPr>
          <w:rFonts w:hint="eastAsia" w:ascii="Times New Roman" w:hAnsi="Times New Roman" w:eastAsia="宋体" w:cs="Times New Roman"/>
          <w:b/>
          <w:bCs/>
          <w:color w:val="060607"/>
          <w:spacing w:val="3"/>
          <w:kern w:val="0"/>
          <w:sz w:val="24"/>
          <w:szCs w:val="24"/>
          <w:shd w:val="clear" w:color="auto" w:fill="FFFFFF"/>
          <w:lang w:val="en-US" w:eastAsia="zh-CN" w:bidi="ar-SA"/>
        </w:rPr>
      </w:pPr>
      <w:r>
        <w:rPr>
          <w:rFonts w:hint="eastAsia" w:ascii="Times New Roman" w:hAnsi="Times New Roman" w:eastAsia="宋体" w:cs="Times New Roman"/>
          <w:b/>
          <w:bCs/>
          <w:color w:val="060607"/>
          <w:spacing w:val="3"/>
          <w:kern w:val="0"/>
          <w:sz w:val="24"/>
          <w:szCs w:val="24"/>
          <w:shd w:val="clear" w:color="auto" w:fill="FFFFFF"/>
          <w:lang w:val="en-US" w:eastAsia="zh-CN" w:bidi="ar-SA"/>
        </w:rPr>
        <w:t>2.3 HOTAIR Gene rs1899663 G</w:t>
      </w:r>
      <w:r>
        <w:rPr>
          <w:rFonts w:ascii="Times New Roman" w:hAnsi="Times New Roman" w:eastAsia="宋体"/>
          <w:b/>
          <w:bCs/>
          <w:color w:val="060607"/>
          <w:spacing w:val="3"/>
          <w:sz w:val="24"/>
          <w:szCs w:val="24"/>
          <w:shd w:val="clear" w:color="auto" w:fill="FFFFFF"/>
        </w:rPr>
        <w:t>&gt;</w:t>
      </w:r>
      <w:r>
        <w:rPr>
          <w:rFonts w:hint="eastAsia" w:ascii="Times New Roman" w:hAnsi="Times New Roman" w:eastAsia="宋体" w:cs="Times New Roman"/>
          <w:b/>
          <w:bCs/>
          <w:color w:val="060607"/>
          <w:spacing w:val="3"/>
          <w:kern w:val="0"/>
          <w:sz w:val="24"/>
          <w:szCs w:val="24"/>
          <w:shd w:val="clear" w:color="auto" w:fill="FFFFFF"/>
          <w:lang w:val="en-US" w:eastAsia="zh-CN" w:bidi="ar-SA"/>
        </w:rPr>
        <w:t>T Dominant Model</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2011"/>
        <w:gridCol w:w="1398"/>
        <w:gridCol w:w="1705"/>
      </w:tblGrid>
      <w:tr w14:paraId="1AE3D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168D856">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Variables</w:t>
            </w:r>
          </w:p>
        </w:tc>
        <w:tc>
          <w:tcPr>
            <w:tcW w:w="1704" w:type="dxa"/>
          </w:tcPr>
          <w:p w14:paraId="0AD7841C">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confficient</w:t>
            </w:r>
          </w:p>
        </w:tc>
        <w:tc>
          <w:tcPr>
            <w:tcW w:w="2011" w:type="dxa"/>
          </w:tcPr>
          <w:p w14:paraId="239AE75D">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95% CI</w:t>
            </w:r>
          </w:p>
        </w:tc>
        <w:tc>
          <w:tcPr>
            <w:tcW w:w="1398" w:type="dxa"/>
          </w:tcPr>
          <w:p w14:paraId="607A6E38">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Std.Err</w:t>
            </w:r>
          </w:p>
        </w:tc>
        <w:tc>
          <w:tcPr>
            <w:tcW w:w="1705" w:type="dxa"/>
          </w:tcPr>
          <w:p w14:paraId="31EDBFBC">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P value</w:t>
            </w:r>
          </w:p>
        </w:tc>
      </w:tr>
      <w:tr w14:paraId="76F5A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5672678">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year</w:t>
            </w:r>
          </w:p>
        </w:tc>
        <w:tc>
          <w:tcPr>
            <w:tcW w:w="1704" w:type="dxa"/>
          </w:tcPr>
          <w:p w14:paraId="3B334822">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0.74</w:t>
            </w:r>
          </w:p>
        </w:tc>
        <w:tc>
          <w:tcPr>
            <w:tcW w:w="2011" w:type="dxa"/>
          </w:tcPr>
          <w:p w14:paraId="020900E4">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(0.05 , 10.18)</w:t>
            </w:r>
          </w:p>
        </w:tc>
        <w:tc>
          <w:tcPr>
            <w:tcW w:w="1398" w:type="dxa"/>
          </w:tcPr>
          <w:p w14:paraId="015D0C9E">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0.15</w:t>
            </w:r>
          </w:p>
        </w:tc>
        <w:tc>
          <w:tcPr>
            <w:tcW w:w="1705" w:type="dxa"/>
          </w:tcPr>
          <w:p w14:paraId="6179CDFE">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0.380</w:t>
            </w:r>
          </w:p>
        </w:tc>
      </w:tr>
      <w:tr w14:paraId="2C611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E9C2E58">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Asian</w:t>
            </w:r>
          </w:p>
        </w:tc>
        <w:tc>
          <w:tcPr>
            <w:tcW w:w="1704" w:type="dxa"/>
          </w:tcPr>
          <w:p w14:paraId="76148A50">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t>3.34</w:t>
            </w:r>
          </w:p>
        </w:tc>
        <w:tc>
          <w:tcPr>
            <w:tcW w:w="2011" w:type="dxa"/>
          </w:tcPr>
          <w:p w14:paraId="4A3D1744">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(0.00 , 4923.98)</w:t>
            </w:r>
          </w:p>
        </w:tc>
        <w:tc>
          <w:tcPr>
            <w:tcW w:w="1398" w:type="dxa"/>
          </w:tcPr>
          <w:p w14:paraId="2DA990EB">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1.92</w:t>
            </w:r>
          </w:p>
        </w:tc>
        <w:tc>
          <w:tcPr>
            <w:tcW w:w="1705" w:type="dxa"/>
          </w:tcPr>
          <w:p w14:paraId="3DFE9E1F">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0.283</w:t>
            </w:r>
          </w:p>
        </w:tc>
      </w:tr>
      <w:tr w14:paraId="064E9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DDA58AE">
            <w:pPr>
              <w:spacing w:line="480" w:lineRule="auto"/>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non-Asian</w:t>
            </w:r>
          </w:p>
        </w:tc>
        <w:tc>
          <w:tcPr>
            <w:tcW w:w="1704" w:type="dxa"/>
          </w:tcPr>
          <w:p w14:paraId="45B2EADD">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0.30</w:t>
            </w:r>
          </w:p>
        </w:tc>
        <w:tc>
          <w:tcPr>
            <w:tcW w:w="2011" w:type="dxa"/>
          </w:tcPr>
          <w:p w14:paraId="3D4112F3">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(0.00 , 440.84)</w:t>
            </w:r>
          </w:p>
        </w:tc>
        <w:tc>
          <w:tcPr>
            <w:tcW w:w="1398" w:type="dxa"/>
          </w:tcPr>
          <w:p w14:paraId="2447D486">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0.17</w:t>
            </w:r>
          </w:p>
        </w:tc>
        <w:tc>
          <w:tcPr>
            <w:tcW w:w="1705" w:type="dxa"/>
          </w:tcPr>
          <w:p w14:paraId="7287996D">
            <w:pPr>
              <w:spacing w:line="480" w:lineRule="auto"/>
              <w:rPr>
                <w:rFonts w:hint="default" w:ascii="Times New Roman" w:hAnsi="Times New Roman" w:eastAsia="宋体" w:cs="Times New Roman"/>
                <w:b/>
                <w:bCs/>
                <w:color w:val="060607"/>
                <w:spacing w:val="3"/>
                <w:kern w:val="0"/>
                <w:sz w:val="24"/>
                <w:szCs w:val="24"/>
                <w:shd w:val="clear" w:color="auto" w:fill="FFFFFF"/>
                <w:vertAlign w:val="baseline"/>
                <w:lang w:val="en-US" w:eastAsia="zh-CN" w:bidi="ar-SA"/>
              </w:rPr>
            </w:pPr>
            <w:r>
              <w:rPr>
                <w:rFonts w:hint="eastAsia" w:ascii="Times New Roman" w:hAnsi="Times New Roman" w:eastAsia="宋体" w:cs="Times New Roman"/>
                <w:b/>
                <w:bCs/>
                <w:color w:val="060607"/>
                <w:spacing w:val="3"/>
                <w:kern w:val="0"/>
                <w:sz w:val="24"/>
                <w:szCs w:val="24"/>
                <w:shd w:val="clear" w:color="auto" w:fill="FFFFFF"/>
                <w:vertAlign w:val="baseline"/>
                <w:lang w:val="en-US" w:eastAsia="zh-CN" w:bidi="ar-SA"/>
              </w:rPr>
              <w:t>0.283</w:t>
            </w:r>
          </w:p>
        </w:tc>
      </w:tr>
    </w:tbl>
    <w:p w14:paraId="7C3CF57B">
      <w:pPr>
        <w:spacing w:line="480" w:lineRule="auto"/>
        <w:rPr>
          <w:rFonts w:hint="eastAsia" w:ascii="Times New Roman" w:hAnsi="Times New Roman" w:eastAsia="宋体" w:cs="Times New Roman"/>
          <w:b/>
          <w:bCs/>
          <w:color w:val="060607"/>
          <w:spacing w:val="3"/>
          <w:kern w:val="0"/>
          <w:sz w:val="24"/>
          <w:szCs w:val="24"/>
          <w:shd w:val="clear" w:color="auto" w:fill="FFFFFF"/>
          <w:lang w:val="en-US" w:eastAsia="zh-CN" w:bidi="ar-SA"/>
        </w:rPr>
      </w:pPr>
      <w:r>
        <w:rPr>
          <w:rFonts w:hint="eastAsia" w:ascii="Times New Roman" w:hAnsi="Times New Roman" w:eastAsia="宋体" w:cs="Times New Roman"/>
          <w:b/>
          <w:bCs/>
          <w:color w:val="060607"/>
          <w:spacing w:val="3"/>
          <w:kern w:val="0"/>
          <w:sz w:val="24"/>
          <w:szCs w:val="24"/>
          <w:shd w:val="clear" w:color="auto" w:fill="FFFFFF"/>
          <w:lang w:val="en-US" w:eastAsia="zh-CN" w:bidi="ar-SA"/>
        </w:rPr>
        <w:t>2.4 Data is missing for the HOTAIR gene rs1899663 G&gt;T under the Recessive and Overdominant genetic models.</w:t>
      </w:r>
    </w:p>
    <w:p w14:paraId="561875B3">
      <w:pPr>
        <w:spacing w:line="480" w:lineRule="auto"/>
        <w:rPr>
          <w:rFonts w:hint="default" w:ascii="Times New Roman" w:hAnsi="Times New Roman" w:eastAsia="宋体" w:cs="Times New Roman"/>
          <w:b/>
          <w:bCs/>
          <w:color w:val="060607"/>
          <w:spacing w:val="3"/>
          <w:kern w:val="0"/>
          <w:sz w:val="24"/>
          <w:szCs w:val="24"/>
          <w:shd w:val="clear" w:color="auto" w:fill="FFFFFF"/>
          <w:lang w:val="en-US" w:eastAsia="zh-CN" w:bidi="ar-SA"/>
        </w:rPr>
      </w:pPr>
      <w:r>
        <w:rPr>
          <w:rFonts w:hint="eastAsia" w:ascii="Times New Roman" w:hAnsi="Times New Roman" w:eastAsia="宋体" w:cs="Times New Roman"/>
          <w:b/>
          <w:bCs/>
          <w:color w:val="060607"/>
          <w:spacing w:val="3"/>
          <w:kern w:val="0"/>
          <w:sz w:val="24"/>
          <w:szCs w:val="24"/>
          <w:shd w:val="clear" w:color="auto" w:fill="FFFFFF"/>
          <w:lang w:val="en-US" w:eastAsia="zh-CN" w:bidi="ar-SA"/>
        </w:rPr>
        <w:t xml:space="preserve">In summarizes: </w:t>
      </w:r>
      <w:r>
        <w:rPr>
          <w:rFonts w:hint="default" w:ascii="Times New Roman" w:hAnsi="Times New Roman" w:eastAsia="宋体" w:cs="Times New Roman"/>
          <w:b/>
          <w:bCs/>
          <w:color w:val="060607"/>
          <w:spacing w:val="3"/>
          <w:kern w:val="0"/>
          <w:sz w:val="24"/>
          <w:szCs w:val="24"/>
          <w:shd w:val="clear" w:color="auto" w:fill="FFFFFF"/>
          <w:lang w:val="en-US" w:eastAsia="zh-CN" w:bidi="ar-SA"/>
        </w:rPr>
        <w:t>Meta-regression with publication year as a covariate revealed a statistically significant trend. The coefficient of -0.19 (95% CI: -0.33, -0.04; p = 0.014) indicates that the estimated effect size decreases by approximately 0.19 units per year. This suggests that more recent studies may report smaller effect sizes.</w:t>
      </w:r>
    </w:p>
    <w:p w14:paraId="2C983CB4">
      <w:pPr>
        <w:spacing w:line="480" w:lineRule="auto"/>
        <w:rPr>
          <w:rFonts w:hint="default" w:ascii="Times New Roman" w:hAnsi="Times New Roman" w:eastAsia="宋体" w:cs="Times New Roman"/>
          <w:b/>
          <w:bCs/>
          <w:color w:val="060607"/>
          <w:spacing w:val="3"/>
          <w:kern w:val="0"/>
          <w:sz w:val="24"/>
          <w:szCs w:val="24"/>
          <w:shd w:val="clear" w:color="auto" w:fill="FFFFFF"/>
          <w:lang w:val="en-US" w:eastAsia="zh-CN" w:bidi="ar-SA"/>
        </w:rPr>
      </w:pPr>
      <w:bookmarkStart w:id="0" w:name="_GoBack"/>
      <w:bookmarkEnd w:id="0"/>
      <w:r>
        <w:rPr>
          <w:rFonts w:hint="default" w:ascii="Times New Roman" w:hAnsi="Times New Roman" w:eastAsia="宋体" w:cs="Times New Roman"/>
          <w:b/>
          <w:bCs/>
          <w:color w:val="060607"/>
          <w:spacing w:val="3"/>
          <w:kern w:val="0"/>
          <w:sz w:val="24"/>
          <w:szCs w:val="24"/>
          <w:shd w:val="clear" w:color="auto" w:fill="FFFFFF"/>
          <w:lang w:val="en-US" w:eastAsia="zh-CN" w:bidi="ar-SA"/>
        </w:rPr>
        <w:t>A significant association was found between the effect size and the minor allele frequency (MAF) in the control groups (coefficient = 1.85, 95% CI: 0.55, 3.15; p = 0.006). This suggests that the population-specific genetic background, reflected by the MAF, is a considerable contributor to the observed heterogeneity.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980FB0"/>
    <w:rsid w:val="07980FB0"/>
    <w:rsid w:val="0E032C19"/>
    <w:rsid w:val="1AFF16D2"/>
    <w:rsid w:val="33AB3EFE"/>
    <w:rsid w:val="3EC439E6"/>
    <w:rsid w:val="68E00D76"/>
    <w:rsid w:val="6B291F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annotation text"/>
    <w:basedOn w:val="1"/>
    <w:qFormat/>
    <w:uiPriority w:val="0"/>
    <w:pPr>
      <w:widowControl/>
      <w:spacing w:after="160"/>
      <w:jc w:val="left"/>
    </w:pPr>
    <w:rPr>
      <w:rFonts w:ascii="Calibri" w:hAnsi="Calibri" w:eastAsia="等线" w:cs="Times New Roman"/>
      <w:kern w:val="0"/>
      <w:sz w:val="20"/>
      <w:szCs w:val="20"/>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emf"/><Relationship Id="rId7" Type="http://schemas.openxmlformats.org/officeDocument/2006/relationships/image" Target="media/image4.emf"/><Relationship Id="rId6" Type="http://schemas.openxmlformats.org/officeDocument/2006/relationships/image" Target="media/image3.emf"/><Relationship Id="rId5" Type="http://schemas.openxmlformats.org/officeDocument/2006/relationships/image" Target="media/image2.emf"/><Relationship Id="rId4" Type="http://schemas.openxmlformats.org/officeDocument/2006/relationships/image" Target="media/image1.em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156</Words>
  <Characters>923</Characters>
  <Lines>0</Lines>
  <Paragraphs>0</Paragraphs>
  <TotalTime>6</TotalTime>
  <ScaleCrop>false</ScaleCrop>
  <LinksUpToDate>false</LinksUpToDate>
  <CharactersWithSpaces>1051</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2025-10-13T01:37:00Z</dcterms:created>
  <dc:creator>16288</dc:creator>
  <cp:lastModifiedBy>16288</cp:lastModifiedBy>
  <dcterms:modified xsi:type="dcterms:W3CDTF">2025-10-13T09:52:48Z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3CB53923F6C04293B318F875E7CCA17C_11</vt:lpwstr>
  </property>
  <property fmtid="{D5CDD505-2E9C-101B-9397-08002B2CF9AE}" pid="4" name="KSOTemplateDocerSaveRecord">
    <vt:lpwstr>eyJoZGlkIjoiMTE0Yzc4OWJmNTUyOGFmNGQ5YjY2MzI0MDE3Y2RjZmUifQ==</vt:lpwstr>
  </property>
</Properties>
</file>