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E54AB" w14:textId="77777777" w:rsidR="00654E8F" w:rsidRPr="001549D3" w:rsidRDefault="00654E8F" w:rsidP="0001436A">
      <w:pPr>
        <w:pStyle w:val="SupplementaryMaterial"/>
        <w:rPr>
          <w:b w:val="0"/>
        </w:rPr>
      </w:pPr>
      <w:r w:rsidRPr="001549D3">
        <w:t>Supplementary Material</w:t>
      </w:r>
    </w:p>
    <w:p w14:paraId="29026311" w14:textId="6693B4CF" w:rsidR="00EA3D3C" w:rsidRPr="00994A3D" w:rsidRDefault="00531B8D" w:rsidP="0001436A">
      <w:pPr>
        <w:pStyle w:val="Heading1"/>
      </w:pPr>
      <w:r>
        <w:t>Materials and methods</w:t>
      </w:r>
    </w:p>
    <w:p w14:paraId="30F0F6EC" w14:textId="77777777" w:rsidR="00531B8D" w:rsidRDefault="00531B8D" w:rsidP="00531B8D">
      <w:pPr>
        <w:rPr>
          <w:rFonts w:eastAsia="Times New Roman" w:cs="Times New Roman"/>
          <w:b/>
          <w:bCs/>
          <w:szCs w:val="24"/>
        </w:rPr>
      </w:pPr>
      <w:r w:rsidRPr="00FD735E">
        <w:rPr>
          <w:rFonts w:eastAsia="Times New Roman" w:cs="Times New Roman"/>
          <w:b/>
          <w:bCs/>
          <w:szCs w:val="24"/>
        </w:rPr>
        <w:t>Qualitative Metrics</w:t>
      </w:r>
    </w:p>
    <w:p w14:paraId="273D9726" w14:textId="77777777" w:rsidR="00531B8D" w:rsidRPr="00531B8D" w:rsidRDefault="00531B8D" w:rsidP="00531B8D">
      <w:pPr>
        <w:rPr>
          <w:rFonts w:eastAsia="Times New Roman" w:cs="Times New Roman"/>
          <w:szCs w:val="24"/>
        </w:rPr>
      </w:pPr>
      <w:r w:rsidRPr="00531B8D">
        <w:rPr>
          <w:rFonts w:eastAsia="Times New Roman" w:cs="Times New Roman"/>
          <w:b/>
          <w:bCs/>
          <w:szCs w:val="24"/>
        </w:rPr>
        <w:t xml:space="preserve">Hallucination quality score </w:t>
      </w:r>
      <w:r w:rsidRPr="00531B8D">
        <w:rPr>
          <w:rFonts w:eastAsia="Times New Roman" w:cs="Times New Roman"/>
          <w:szCs w:val="24"/>
        </w:rPr>
        <w:t>Based on the visible vascular hallucination, a scoring system (0-10) was implemented by an expert clinician. Lower score means lower fake or hallucinated vascular structures and higher score indicating higher hallucination.</w:t>
      </w:r>
    </w:p>
    <w:p w14:paraId="00DC575D" w14:textId="77777777" w:rsidR="00531B8D" w:rsidRPr="00FD735E" w:rsidRDefault="00531B8D" w:rsidP="00531B8D">
      <w:pPr>
        <w:rPr>
          <w:rFonts w:eastAsia="Times New Roman" w:cs="Times New Roman"/>
          <w:szCs w:val="24"/>
        </w:rPr>
      </w:pPr>
      <w:r w:rsidRPr="00FD735E">
        <w:rPr>
          <w:rFonts w:eastAsia="Times New Roman" w:cs="Times New Roman"/>
          <w:b/>
          <w:bCs/>
          <w:szCs w:val="24"/>
        </w:rPr>
        <w:t>SSIM</w:t>
      </w:r>
      <w:r w:rsidRPr="00FD735E">
        <w:rPr>
          <w:rFonts w:eastAsia="Times New Roman" w:cs="Times New Roman"/>
          <w:szCs w:val="24"/>
        </w:rPr>
        <w:t xml:space="preserve"> Structural Similarity Index Measure (SSIM) is a widely used metric for evaluating the similarity between two images by mimicking human visual perception. Unlike traditional measures like Mean Squared Error (MSE) or Peak Signal-to-Noise Ratio (PSNR), SSIM considers structural information, luminance and contrast to provide a more perceptually relevant assessment. </w:t>
      </w:r>
    </w:p>
    <w:p w14:paraId="201033FF" w14:textId="77777777" w:rsidR="00531B8D" w:rsidRPr="00FD735E" w:rsidRDefault="00531B8D" w:rsidP="00531B8D">
      <w:pPr>
        <w:rPr>
          <w:rFonts w:eastAsia="Times New Roman" w:cs="Times New Roman"/>
          <w:szCs w:val="24"/>
        </w:rPr>
      </w:pPr>
      <w:r w:rsidRPr="00FD735E">
        <w:rPr>
          <w:rFonts w:eastAsia="Times New Roman" w:cs="Times New Roman"/>
          <w:b/>
          <w:bCs/>
          <w:szCs w:val="24"/>
        </w:rPr>
        <w:t>FID</w:t>
      </w:r>
      <w:r w:rsidRPr="00FD735E">
        <w:rPr>
          <w:rFonts w:eastAsia="Times New Roman" w:cs="Times New Roman"/>
          <w:szCs w:val="24"/>
        </w:rPr>
        <w:t xml:space="preserve"> Frechet Inception Distance (FID) score is another widely used metric for evaluating the quality of generated images by comparing their distribution to that of real images. It measures the similarity between feature representations of real and generated images using the activations of a pre-trained neural network, typically Inception-v3. Unlike pixel-wise metrics, FID considers higher-level semantic features and captures perceptual differences effectively. A lower FID score indicates better quality and higher realism in generated images. </w:t>
      </w:r>
    </w:p>
    <w:p w14:paraId="28A793BB" w14:textId="77777777" w:rsidR="00531B8D" w:rsidRPr="00FD735E" w:rsidRDefault="00531B8D" w:rsidP="00531B8D">
      <w:pPr>
        <w:rPr>
          <w:rFonts w:eastAsia="Times New Roman" w:cs="Times New Roman"/>
          <w:szCs w:val="24"/>
        </w:rPr>
      </w:pPr>
      <w:r w:rsidRPr="00FD735E">
        <w:rPr>
          <w:rFonts w:eastAsia="Times New Roman" w:cs="Times New Roman"/>
          <w:b/>
          <w:bCs/>
          <w:szCs w:val="24"/>
        </w:rPr>
        <w:t>PCQI</w:t>
      </w:r>
      <w:r w:rsidRPr="00FD735E">
        <w:rPr>
          <w:rFonts w:eastAsia="Times New Roman" w:cs="Times New Roman"/>
          <w:szCs w:val="24"/>
        </w:rPr>
        <w:t xml:space="preserve"> Perception-based Contrast Quality Index (PCQI) is a metric designed to evaluate image quality by focusing on perceptual contrast. Unlike traditional metrics, PCQI models the human visual system’s sensitivity to contrast changes and evaluates quality based on local contrast distortions. It considers multi-scale contrast comparisons across different image regions, making it effective for assessing contrast variations due to compression, noise, or other degradations. PCQI is particularly useful in applications where maintaining perceptual contrast fidelity is critical, such as medical imaging and image enhancement.</w:t>
      </w:r>
    </w:p>
    <w:p w14:paraId="3FDB46F6" w14:textId="77777777" w:rsidR="00531B8D" w:rsidRPr="00FD735E" w:rsidRDefault="00531B8D" w:rsidP="00531B8D">
      <w:pPr>
        <w:rPr>
          <w:rFonts w:eastAsia="Times New Roman" w:cs="Times New Roman"/>
          <w:b/>
          <w:szCs w:val="24"/>
        </w:rPr>
      </w:pPr>
      <w:r w:rsidRPr="00FD735E">
        <w:rPr>
          <w:rFonts w:eastAsia="Times New Roman" w:cs="Times New Roman"/>
          <w:b/>
          <w:szCs w:val="24"/>
        </w:rPr>
        <w:t>Quantitative Metrics</w:t>
      </w:r>
    </w:p>
    <w:p w14:paraId="5A3E1B47" w14:textId="77777777" w:rsidR="00531B8D" w:rsidRPr="00FD735E" w:rsidRDefault="00531B8D" w:rsidP="00531B8D">
      <w:pPr>
        <w:rPr>
          <w:rFonts w:eastAsia="Times New Roman" w:cs="Times New Roman"/>
          <w:bCs/>
          <w:szCs w:val="24"/>
        </w:rPr>
      </w:pPr>
      <w:r w:rsidRPr="00FD735E">
        <w:rPr>
          <w:rFonts w:eastAsia="Times New Roman" w:cs="Times New Roman"/>
          <w:b/>
          <w:szCs w:val="24"/>
        </w:rPr>
        <w:t>BVD</w:t>
      </w:r>
      <w:r w:rsidRPr="00FD735E">
        <w:rPr>
          <w:rFonts w:eastAsia="Times New Roman" w:cs="Times New Roman"/>
          <w:bCs/>
          <w:szCs w:val="24"/>
        </w:rPr>
        <w:t xml:space="preserve"> Blood vessel density or vessel density </w:t>
      </w:r>
      <w:r>
        <w:rPr>
          <w:rFonts w:eastAsia="Times New Roman" w:cs="Times New Roman"/>
          <w:bCs/>
          <w:szCs w:val="24"/>
        </w:rPr>
        <w:fldChar w:fldCharType="begin"/>
      </w:r>
      <w:r>
        <w:rPr>
          <w:rFonts w:eastAsia="Times New Roman" w:cs="Times New Roman"/>
          <w:bCs/>
          <w:szCs w:val="24"/>
        </w:rPr>
        <w:instrText xml:space="preserve"> ADDIN ZOTERO_ITEM CSL_CITATION {"citationID":"C2vGIdU7","properties":{"formattedCitation":"(48)","plainCitation":"(48)","noteIndex":0},"citationItems":[{"id":93,"uris":["http://zotero.org/users/local/R9sILXe7/items/LIYFVN5C"],"itemData":{"id":93,"type":"article-journal","abstract":"Purpose\n              . To evaluate early macular circulation in open-angle glaucoma (OAG), normal-tension glaucoma (NTG), ocular hypertension (OHT), and healthy subjects via optical coherence tomography angiography (OCTA).\n              Methods\n              . A retrospective cross-sectional study was conducted. Medical records were reviewed, and the patients who received OCTA examinations were divided into the OAG, NTG, OHT, and normal groups. The ophthalmic data including best-corrected visual acuity, spherical equivalent, intraocular pressure, central corneal thickness, central foveal thickness, visual field deviation, retinal nerve fiber layers thickness, and ganglion cell complex thickness were obtained from medical documents. For the macular area, the superficial vessel density (VD), deep VD, foveal avascular zone (FAZ), flow area of the outer retina, and flow area of the choriocapillaris were measured via OCTA and analyzed using the default vascular density analysis program in the same OCTA device.\n              Results\n              . A total of 70 eyes from 70 patients were analyzed in the current study. Significant differences in the intraocular pressure, central corneal thickness, visual field deviation, retinal fiber layer thickness, and ganglion cell complex thickness were observed in the patients in the glaucoma group at their last visits. The OAG and NTG groups evinced a lower superficial VD than did the control group, while the NTG group had a lower deep VD than the control group. The NTG group also had a larger FAZ than did the OHT group. The flow area of the outer retina in the OAG group was low relative to those of the OHT and control groups. No difference in choriocapillaris perfusion was observed among the groups.\n              Conclusion\n              . The OAG and NTG patients demonstrated impaired vasculature before significant disease development could be observed. Furthermore, the differences in macular circulation may be associated with differences in the courses of disease between the glaucoma and OHT patients.","container-title":"Journal of Ophthalmology","DOI":"10.1155/2019/7419470","ISSN":"2090-004X, 2090-0058","journalAbbreviation":"Journal of Ophthalmology","language":"en","page":"1-7","source":"DOI.org (Crossref)","title":"Early Macular Angiography among Patients with Glaucoma, Ocular Hypertension, and Normal Subjects","volume":"2019","author":[{"family":"Chao","given":"Shih-Chun"},{"family":"Yang","given":"Shang-Jung"},{"family":"Chen","given":"Hung-Chi"},{"family":"Sun","given":"Chi-Chin"},{"family":"Liu","given":"Chin-Hsin"},{"family":"Lee","given":"Chia-Yi"}],"issued":{"date-parts":[["2019",1,15]]}}}],"schema":"https://github.com/citation-style-language/schema/raw/master/csl-citation.json"} </w:instrText>
      </w:r>
      <w:r>
        <w:rPr>
          <w:rFonts w:eastAsia="Times New Roman" w:cs="Times New Roman"/>
          <w:bCs/>
          <w:szCs w:val="24"/>
        </w:rPr>
        <w:fldChar w:fldCharType="separate"/>
      </w:r>
      <w:r w:rsidRPr="00811715">
        <w:rPr>
          <w:rFonts w:cs="Times New Roman"/>
        </w:rPr>
        <w:t>(48)</w:t>
      </w:r>
      <w:r>
        <w:rPr>
          <w:rFonts w:eastAsia="Times New Roman" w:cs="Times New Roman"/>
          <w:bCs/>
          <w:szCs w:val="24"/>
        </w:rPr>
        <w:fldChar w:fldCharType="end"/>
      </w:r>
      <w:r w:rsidRPr="00FD735E">
        <w:rPr>
          <w:rFonts w:eastAsia="Times New Roman" w:cs="Times New Roman"/>
          <w:bCs/>
          <w:szCs w:val="24"/>
        </w:rPr>
        <w:t xml:space="preserve"> is a quantitative OCTA derived metric defined as the ratio of blood vessel area to the total imaged area, offering an objective indicator of retinal vascular health. BVD has been effectively utilized to identify early signs of retinal pathologies such as DR and AMD</w:t>
      </w:r>
      <w:r>
        <w:rPr>
          <w:rFonts w:eastAsia="Times New Roman" w:cs="Times New Roman"/>
          <w:bCs/>
          <w:szCs w:val="24"/>
        </w:rPr>
        <w:t xml:space="preserve"> </w:t>
      </w:r>
      <w:r>
        <w:rPr>
          <w:rFonts w:eastAsia="Times New Roman" w:cs="Times New Roman"/>
          <w:bCs/>
          <w:szCs w:val="24"/>
        </w:rPr>
        <w:fldChar w:fldCharType="begin"/>
      </w:r>
      <w:r>
        <w:rPr>
          <w:rFonts w:eastAsia="Times New Roman" w:cs="Times New Roman"/>
          <w:bCs/>
          <w:szCs w:val="24"/>
        </w:rPr>
        <w:instrText xml:space="preserve"> ADDIN ZOTERO_ITEM CSL_CITATION {"citationID":"U8mUD7o4","properties":{"formattedCitation":"(49,50)","plainCitation":"(49,50)","noteIndex":0},"citationItems":[{"id":217,"uris":["http://zotero.org/users/local/R9sILXe7/items/ZFVRHLD2"],"itemData":{"id":217,"type":"article-journal","abstract":"BACKGROUND AND OBJECTIVE:\n              To compare capillary density (CD) changes assessed by optical coherence tomography angiography (OCTA) during diabetic retinopathy (DR) progression using three previously published methods: binarization, skeletonization, and automated flow density (AFD).\n            \n            \n              PATIENTS AND METHODS:\n              Retrospective study of 98 eyes of 74 patients with diabetes and 18 control eyes imaged using OCTA. The macular CD at each stage of DR was assessed using the three methods and were compared to control eyes.\n            \n            \n              RESULTS:\n              AFD was the only method that detected differences between controls and severe nonproliferative DR eyes. The three methods showed a significant difference in CD between controls and eyes with proliferative DR, except for the “fovea” area.\n            \n            \n              CONCLUSION:\n              Only one of the three methods allowed for the detection of changes from the normal capillary density as early as at the “severe nonproliferative DR” stage due to several refinements from the basic technique.\n              \n                \n                  [\n                  Ophthalmic Surg Lasers Imaging Retina.\n                  2017;48:378–384.]","container-title":"Ophthalmic Surgery, Lasers and Imaging Retina","DOI":"10.3928/23258160-20170428-03","ISSN":"2325-8160, 2325-8179","issue":"5","journalAbbreviation":"Ophthalmic Surg Lasers Imaging Retina","language":"en","page":"378-384","source":"DOI.org (Crossref)","title":"Three Different Optical Coherence Tomography Angiography Measurement Methods for Assessing Capillary Density Changes in Diabetic Retinopathy","volume":"48","author":[{"family":"Pedinielli","given":"Alexandre"},{"family":"Bonnin","given":"Sophie"},{"family":"Sanharawi","given":"Mohamed El"},{"family":"Mané","given":"Valérie"},{"family":"Erginay","given":"Ali"},{"family":"Couturier","given":"Aude"},{"family":"Tadayoni","given":"Ramin"}],"issued":{"date-parts":[["2017",5]]}}},{"id":96,"uris":["http://zotero.org/users/local/R9sILXe7/items/5D4R4SEK"],"itemData":{"id":96,"type":"article-journal","container-title":"International Journal of Ophthalmology","DOI":"10.18240/ijo.2017.10.11","ISSN":"22223959, 22274898","journalAbbreviation":"Int J Ophthalmol","source":"DOI.org (Crossref)","title":"Foveal avascular zone area and parafoveal vessel density measurements in different stages of diabetic retinopathy by optical coherence tomography angiography","URL":"http://www.ijo.cn/gjyken/ch/reader/view_abstract.aspx?file_no=20171011&amp;flag=1","accessed":{"date-parts":[["2024",2,20]]},"issued":{"date-parts":[["2017",10,18]]}}}],"schema":"https://github.com/citation-style-language/schema/raw/master/csl-citation.json"} </w:instrText>
      </w:r>
      <w:r>
        <w:rPr>
          <w:rFonts w:eastAsia="Times New Roman" w:cs="Times New Roman"/>
          <w:bCs/>
          <w:szCs w:val="24"/>
        </w:rPr>
        <w:fldChar w:fldCharType="separate"/>
      </w:r>
      <w:r w:rsidRPr="008E732E">
        <w:rPr>
          <w:rFonts w:cs="Times New Roman"/>
        </w:rPr>
        <w:t>(49,50)</w:t>
      </w:r>
      <w:r>
        <w:rPr>
          <w:rFonts w:eastAsia="Times New Roman" w:cs="Times New Roman"/>
          <w:bCs/>
          <w:szCs w:val="24"/>
        </w:rPr>
        <w:fldChar w:fldCharType="end"/>
      </w:r>
      <w:r w:rsidRPr="00FD735E">
        <w:rPr>
          <w:rFonts w:eastAsia="Times New Roman" w:cs="Times New Roman"/>
          <w:bCs/>
          <w:szCs w:val="24"/>
        </w:rPr>
        <w:t xml:space="preserve">. In OCTA imaging, BVD quantifies the extent of perfused capillaries and is sensitive to local vascular changes, making it a valuable parameter for detecting subtle microvascular abnormalities. </w:t>
      </w:r>
    </w:p>
    <w:p w14:paraId="1BA9551A" w14:textId="77777777" w:rsidR="00531B8D" w:rsidRPr="00FD735E" w:rsidRDefault="00531B8D" w:rsidP="00531B8D">
      <w:pPr>
        <w:rPr>
          <w:rFonts w:eastAsia="Times New Roman" w:cs="Times New Roman"/>
          <w:bCs/>
          <w:szCs w:val="24"/>
        </w:rPr>
      </w:pPr>
      <w:r w:rsidRPr="00FD735E">
        <w:rPr>
          <w:rFonts w:eastAsia="Times New Roman" w:cs="Times New Roman"/>
          <w:b/>
          <w:szCs w:val="24"/>
        </w:rPr>
        <w:t>BVC</w:t>
      </w:r>
      <w:r w:rsidRPr="00FD735E">
        <w:rPr>
          <w:rFonts w:eastAsia="Times New Roman" w:cs="Times New Roman"/>
          <w:bCs/>
          <w:szCs w:val="24"/>
        </w:rPr>
        <w:t xml:space="preserve"> Blood vessel caliber, another feature used for this study, calculates the ratio of vessel area to the vessel length</w:t>
      </w:r>
      <w:r w:rsidRPr="00786646">
        <w:rPr>
          <w:rFonts w:eastAsia="Times New Roman" w:cs="Times New Roman"/>
          <w:bCs/>
          <w:color w:val="EE0000"/>
          <w:szCs w:val="24"/>
        </w:rPr>
        <w:t xml:space="preserve"> </w:t>
      </w:r>
      <w:r>
        <w:rPr>
          <w:rFonts w:eastAsia="Times New Roman" w:cs="Times New Roman"/>
          <w:bCs/>
          <w:color w:val="EE0000"/>
          <w:szCs w:val="24"/>
        </w:rPr>
        <w:fldChar w:fldCharType="begin"/>
      </w:r>
      <w:r>
        <w:rPr>
          <w:rFonts w:eastAsia="Times New Roman" w:cs="Times New Roman"/>
          <w:bCs/>
          <w:color w:val="EE0000"/>
          <w:szCs w:val="24"/>
        </w:rPr>
        <w:instrText xml:space="preserve"> ADDIN ZOTERO_ITEM CSL_CITATION {"citationID":"YYgo5VZ2","properties":{"formattedCitation":"(29)","plainCitation":"(29)","noteIndex":0},"citationItems":[{"id":120,"uris":["http://zotero.org/users/local/R9sILXe7/items/NTMYTC4R"],"itemData":{"id":120,"type":"article-journal","abstract":"Purpose:\n              This study aims to characterize quantitative optical coherence tomography angiography (OCTA) features of nonproliferative diabetic retinopathy (NPDR) and to validate them for computer-aided NPDR staging.\n            \n            \n              Methods:\n              One hundred and twenty OCTA images from 60 NPDR (mild, moderate, and severe stages) patients and 40 images from 20 control subjects were used for this study conducted in a tertiary, subspecialty, academic practice. Both eyes were photographed and all the OCTAs were 6 mm × 6 mm macular scans. Six quantitative features, that is, blood vessel tortuosity, blood vascular caliber, vessel perimeter index, blood vessel density, foveal avascular zone area, and foveal avascular zone contour irregularity (FAZ-CI) were derived from each OCTA image. A support vector machine classification model was trained and tested for computer-aided classification of NPDR stages. Sensitivity, specificity, and accuracy were used as performance metrics of computer-aided classification, and receiver operation characteristics curve was plotted to measure the sensitivity–specificity tradeoff of the classification algorithm.\n            \n            \n              Results:\n              Among 6 individual OCTA features, blood vessel density shows the best classification accuracies, 93.89% and 90.89% for control versus disease and control versus mild NPDR, respectively. Combined feature classification achieved improved accuracies, 94.41% and 92.96%, respectively. Moreover, the temporal-perifoveal region was the most sensitive region for early detection of DR. For multiclass classification, support vector machine algorithm achieved 84% accuracy.\n            \n            \n              Conclusion:\n              Blood vessel density was observed as the most sensitive feature, and temporal-perifoveal region was the most sensitive region for early detection of DR. Quantitative OCTA analysis enabled computer-aided identification and staging of NPDR.","container-title":"Retina","DOI":"10.1097/IAE.0000000000002373","ISSN":"0275-004X","issue":"2","language":"en","page":"322-332","source":"DOI.org (Crossref)","title":"QUANTITATIVE OPTICAL COHERENCE TOMOGRAPHY ANGIOGRAPHY FEATURES FOR OBJECTIVE CLASSIFICATION AND STAGING OF DIABETIC RETINOPATHY","volume":"40","author":[{"family":"Alam","given":"Minhaj"},{"family":"Zhang","given":"Yue"},{"family":"Lim","given":"Jennifer I."},{"family":"Chan","given":"Robison V.P."},{"family":"Yang","given":"Min"},{"family":"Yao","given":"Xincheng"}],"issued":{"date-parts":[["2020",2]]}}}],"schema":"https://github.com/citation-style-language/schema/raw/master/csl-citation.json"} </w:instrText>
      </w:r>
      <w:r>
        <w:rPr>
          <w:rFonts w:eastAsia="Times New Roman" w:cs="Times New Roman"/>
          <w:bCs/>
          <w:color w:val="EE0000"/>
          <w:szCs w:val="24"/>
        </w:rPr>
        <w:fldChar w:fldCharType="separate"/>
      </w:r>
      <w:r w:rsidRPr="003B3640">
        <w:rPr>
          <w:rFonts w:cs="Times New Roman"/>
        </w:rPr>
        <w:t>(29)</w:t>
      </w:r>
      <w:r>
        <w:rPr>
          <w:rFonts w:eastAsia="Times New Roman" w:cs="Times New Roman"/>
          <w:bCs/>
          <w:color w:val="EE0000"/>
          <w:szCs w:val="24"/>
        </w:rPr>
        <w:fldChar w:fldCharType="end"/>
      </w:r>
      <w:r>
        <w:rPr>
          <w:rFonts w:eastAsia="Times New Roman" w:cs="Times New Roman"/>
          <w:bCs/>
          <w:color w:val="EE0000"/>
          <w:szCs w:val="24"/>
        </w:rPr>
        <w:t xml:space="preserve"> </w:t>
      </w:r>
      <w:r w:rsidRPr="00FD735E">
        <w:rPr>
          <w:rFonts w:eastAsia="Times New Roman" w:cs="Times New Roman"/>
          <w:bCs/>
          <w:szCs w:val="24"/>
        </w:rPr>
        <w:t>and is a critical quantitative vascular biomarker. It is typically assessed by identifying vessel centerlines and measuring cross-sectional widths on enface or phase resolved OCT/OCTA images. In ophthalmic imaging, BVC provides insight into vascular adaptations or pathologies: for example, arterial narrowing may indicate systemic hypertension, while venous dilation could suggest retinal ischemia or compromised perfusion</w:t>
      </w:r>
      <w:r>
        <w:rPr>
          <w:rFonts w:eastAsia="Times New Roman" w:cs="Times New Roman"/>
          <w:bCs/>
          <w:szCs w:val="24"/>
        </w:rPr>
        <w:t xml:space="preserve"> </w:t>
      </w:r>
      <w:r>
        <w:rPr>
          <w:rFonts w:eastAsia="Times New Roman" w:cs="Times New Roman"/>
          <w:bCs/>
          <w:szCs w:val="24"/>
        </w:rPr>
        <w:fldChar w:fldCharType="begin"/>
      </w:r>
      <w:r>
        <w:rPr>
          <w:rFonts w:eastAsia="Times New Roman" w:cs="Times New Roman"/>
          <w:bCs/>
          <w:szCs w:val="24"/>
        </w:rPr>
        <w:instrText xml:space="preserve"> ADDIN ZOTERO_ITEM CSL_CITATION {"citationID":"kUaB8ToR","properties":{"formattedCitation":"(51)","plainCitation":"(51)","noteIndex":0},"citationItems":[{"id":220,"uris":["http://zotero.org/users/local/R9sILXe7/items/JMU4Z8Y4"],"itemData":{"id":220,"type":"article-journal","abstract":"Background: To investigate the repeatability in vessel caliber measurements by optical coherence tomography angiography (OCTA). Methods: In this prospective study, 28 patients (47 eyes) underwent sequential OCTA imaging of the optic nerve head and macula. Two independent masked graders measured vessel caliber for sequential images of the optic nerve head and macula. The average vessel width was determined and variability between graders and images. Results: A total of 8400 measurements of 420 vessels from 84 OCTA images were included in the analysis. Overall, inter-grader agreement was excellent (ICC 0.90). The coefficient of variation (CoV) for all repeated OCTA images was 0.10. Greater glaucoma severity, older age, macular location, and diagnosis of diabetes were associated with thinner vessels (p &lt; 0.05). CoV was higher in the peripapillary region (0.07) as compared to the macula (0.15). ICC was high for all subgroups except for the macula (ICC = 0.72). Conclusions: Overall, the repeatability of vessel caliber measurements by OCTA was high and variability low. There was greater variability in the measurement of macular vessels, possibly due to technical limitations in acquiring accurate vessel widths for smaller macular vessels.","container-title":"Vision","DOI":"10.3390/vision7030048","ISSN":"2411-5150","issue":"3","journalAbbreviation":"Vision","language":"en","license":"https://creativecommons.org/licenses/by/4.0/","page":"48","source":"DOI.org (Crossref)","title":"Repeatability and Comparability of Retinal Blood Vessel Caliber Measurements by OCTA","volume":"7","author":[{"family":"Tsai","given":"Joby"},{"family":"Asanad","given":"Samuel"},{"family":"Whiting","given":"Martha"},{"family":"Zhang","given":"Xuemin"},{"family":"Magder","given":"Laurence"},{"family":"Saeedi","given":"Osamah"}],"issued":{"date-parts":[["2023",7,3]]}}}],"schema":"https://github.com/citation-style-language/schema/raw/master/csl-citation.json"} </w:instrText>
      </w:r>
      <w:r>
        <w:rPr>
          <w:rFonts w:eastAsia="Times New Roman" w:cs="Times New Roman"/>
          <w:bCs/>
          <w:szCs w:val="24"/>
        </w:rPr>
        <w:fldChar w:fldCharType="separate"/>
      </w:r>
      <w:r w:rsidRPr="00786646">
        <w:rPr>
          <w:rFonts w:cs="Times New Roman"/>
        </w:rPr>
        <w:t>(51)</w:t>
      </w:r>
      <w:r>
        <w:rPr>
          <w:rFonts w:eastAsia="Times New Roman" w:cs="Times New Roman"/>
          <w:bCs/>
          <w:szCs w:val="24"/>
        </w:rPr>
        <w:fldChar w:fldCharType="end"/>
      </w:r>
      <w:r w:rsidRPr="00FD735E">
        <w:rPr>
          <w:rFonts w:eastAsia="Times New Roman" w:cs="Times New Roman"/>
          <w:bCs/>
          <w:szCs w:val="24"/>
        </w:rPr>
        <w:t xml:space="preserve">. Accurate quantification of vessel caliber on OCTA supports evaluation of physiological and pathological hemodynamic </w:t>
      </w:r>
      <w:r w:rsidRPr="00FD735E">
        <w:rPr>
          <w:rFonts w:eastAsia="Times New Roman" w:cs="Times New Roman"/>
          <w:bCs/>
          <w:szCs w:val="24"/>
        </w:rPr>
        <w:lastRenderedPageBreak/>
        <w:t>changes, making BVC a valuable parameter for early detection and monitoring of retinal and systemic vascular diseases.</w:t>
      </w:r>
    </w:p>
    <w:p w14:paraId="4A3285E9" w14:textId="77777777" w:rsidR="00531B8D" w:rsidRPr="00FD735E" w:rsidRDefault="00531B8D" w:rsidP="00531B8D">
      <w:pPr>
        <w:rPr>
          <w:rFonts w:eastAsia="Times New Roman" w:cs="Times New Roman"/>
          <w:bCs/>
          <w:szCs w:val="24"/>
        </w:rPr>
      </w:pPr>
      <w:r w:rsidRPr="00FD735E">
        <w:rPr>
          <w:rFonts w:eastAsia="Times New Roman" w:cs="Times New Roman"/>
          <w:b/>
          <w:szCs w:val="24"/>
        </w:rPr>
        <w:t>BVT</w:t>
      </w:r>
      <w:r w:rsidRPr="00FD735E">
        <w:rPr>
          <w:rFonts w:eastAsia="Times New Roman" w:cs="Times New Roman"/>
          <w:bCs/>
          <w:szCs w:val="24"/>
        </w:rPr>
        <w:t xml:space="preserve"> </w:t>
      </w:r>
      <w:r>
        <w:rPr>
          <w:rFonts w:eastAsia="Times New Roman" w:cs="Times New Roman"/>
          <w:bCs/>
          <w:szCs w:val="24"/>
        </w:rPr>
        <w:t>It</w:t>
      </w:r>
      <w:r>
        <w:rPr>
          <w:rFonts w:eastAsia="Times New Roman" w:cs="Times New Roman"/>
          <w:bCs/>
          <w:color w:val="EE0000"/>
          <w:szCs w:val="24"/>
        </w:rPr>
        <w:t xml:space="preserve"> </w:t>
      </w:r>
      <w:r>
        <w:rPr>
          <w:rFonts w:eastAsia="Times New Roman" w:cs="Times New Roman"/>
          <w:bCs/>
          <w:color w:val="EE0000"/>
          <w:szCs w:val="24"/>
        </w:rPr>
        <w:fldChar w:fldCharType="begin"/>
      </w:r>
      <w:r>
        <w:rPr>
          <w:rFonts w:eastAsia="Times New Roman" w:cs="Times New Roman"/>
          <w:bCs/>
          <w:color w:val="EE0000"/>
          <w:szCs w:val="24"/>
        </w:rPr>
        <w:instrText xml:space="preserve"> ADDIN ZOTERO_ITEM CSL_CITATION {"citationID":"Ho807tvW","properties":{"formattedCitation":"(18)","plainCitation":"(18)","noteIndex":0},"citationItems":[{"id":46,"uris":["http://zotero.org/users/local/R9sILXe7/items/BG2DY7BV"],"itemData":{"id":46,"type":"article-journal","container-title":"Biomedical Optics Express","DOI":"10.1364/BOE.8.004206","ISSN":"2156-7085, 2156-7085","issue":"9","journalAbbreviation":"Biomed. Opt. Express","language":"en","page":"4206","source":"DOI.org (Crossref)","title":"Computer-aided classification of sickle cell retinopathy using quantitative features in optical coherence tomography angiography","volume":"8","author":[{"family":"Alam","given":"Minhaj"},{"family":"Thapa","given":"Damber"},{"family":"Lim","given":"Jennifer I."},{"family":"Cao","given":"Dingcai"},{"family":"Yao","given":"Xincheng"}],"issued":{"date-parts":[["2017",9,1]]}}}],"schema":"https://github.com/citation-style-language/schema/raw/master/csl-citation.json"} </w:instrText>
      </w:r>
      <w:r>
        <w:rPr>
          <w:rFonts w:eastAsia="Times New Roman" w:cs="Times New Roman"/>
          <w:bCs/>
          <w:color w:val="EE0000"/>
          <w:szCs w:val="24"/>
        </w:rPr>
        <w:fldChar w:fldCharType="separate"/>
      </w:r>
      <w:r w:rsidRPr="00010C5B">
        <w:rPr>
          <w:rFonts w:cs="Times New Roman"/>
        </w:rPr>
        <w:t>(18)</w:t>
      </w:r>
      <w:r>
        <w:rPr>
          <w:rFonts w:eastAsia="Times New Roman" w:cs="Times New Roman"/>
          <w:bCs/>
          <w:color w:val="EE0000"/>
          <w:szCs w:val="24"/>
        </w:rPr>
        <w:fldChar w:fldCharType="end"/>
      </w:r>
      <w:r w:rsidRPr="00786646">
        <w:rPr>
          <w:rFonts w:eastAsia="Times New Roman" w:cs="Times New Roman"/>
          <w:bCs/>
          <w:color w:val="EE0000"/>
          <w:szCs w:val="24"/>
        </w:rPr>
        <w:t xml:space="preserve"> </w:t>
      </w:r>
      <w:r w:rsidRPr="00FD735E">
        <w:rPr>
          <w:rFonts w:eastAsia="Times New Roman" w:cs="Times New Roman"/>
          <w:bCs/>
          <w:szCs w:val="24"/>
        </w:rPr>
        <w:t>quantifies the degree of bending and twisting along a vessel’s path, serving as a key biomarker for vascular abnormalities in both ocular and systemic diseases. BVT can be described as the integration of several geometric features: the variability in vessel direction along its length (measured by standard deviation of tangent angles), the count of points where the vessel changes curvature direction (inflection points), the actual length of the vessel (arc length) and the straight-line distance between its endpoints (chord length). Its application in OCTA has reliably detected elevated tortuosity in conditions like sickle cell retinopathy and Fabry disease, confirming BVT as a sensitive and reproducible marker of microvascular remodeling</w:t>
      </w:r>
      <w:r>
        <w:rPr>
          <w:rFonts w:eastAsia="Times New Roman" w:cs="Times New Roman"/>
          <w:bCs/>
          <w:szCs w:val="24"/>
        </w:rPr>
        <w:t xml:space="preserve"> </w:t>
      </w:r>
      <w:r>
        <w:rPr>
          <w:rFonts w:eastAsia="Times New Roman" w:cs="Times New Roman"/>
          <w:bCs/>
          <w:szCs w:val="24"/>
        </w:rPr>
        <w:fldChar w:fldCharType="begin"/>
      </w:r>
      <w:r>
        <w:rPr>
          <w:rFonts w:eastAsia="Times New Roman" w:cs="Times New Roman"/>
          <w:bCs/>
          <w:szCs w:val="24"/>
        </w:rPr>
        <w:instrText xml:space="preserve"> ADDIN ZOTERO_ITEM CSL_CITATION {"citationID":"99J36jFz","properties":{"formattedCitation":"(52,53)","plainCitation":"(52,53)","noteIndex":0},"citationItems":[{"id":222,"uris":["http://zotero.org/users/local/R9sILXe7/items/8CV5ZUR4"],"itemData":{"id":222,"type":"article-journal","container-title":"Biomedical Optics Express","DOI":"10.1364/BOE.8.003796","ISSN":"2156-7085, 2156-7085","issue":"8","journalAbbreviation":"Biomed. Opt. Express","language":"en","page":"3796","source":"DOI.org (Crossref)","title":"Method for quantitative assessment of retinal vessel tortuosity in optical coherence tomography angiography applied to sickle cell retinopathy","volume":"8","author":[{"family":"Khansari","given":"Maziyar M."},{"family":"O’Neill","given":"William"},{"family":"Lim","given":"Jennifer"},{"family":"Shahidi","given":"Mahnaz"}],"issued":{"date-parts":[["2017",8,1]]}}},{"id":107,"uris":["http://zotero.org/users/local/R9sILXe7/items/42WHM4LN"],"itemData":{"id":107,"type":"article-journal","container-title":"Journal of Biomedical Optics","DOI":"10.1117/1.JBO.21.6.066008","ISSN":"1083-3668","issue":"6","journalAbbreviation":"J. Biomed. Opt","language":"en","page":"066008","source":"DOI.org (Crossref)","title":"Quantitative assessment of the retinal microvasculature using optical coherence tomography angiography","volume":"21","author":[{"family":"Chu","given":"Zhongdi"},{"family":"Lin","given":"Jason"},{"family":"Gao","given":"Chen"},{"family":"Xin","given":"Chen"},{"family":"Zhang","given":"Qinqin"},{"family":"Chen","given":"Chieh-Li"},{"family":"Roisman","given":"Luis"},{"family":"Gregori","given":"Giovanni"},{"family":"Rosenfeld","given":"Philip J."},{"family":"Wang","given":"Ruikang K."}],"issued":{"date-parts":[["2016",6,10]]}}}],"schema":"https://github.com/citation-style-language/schema/raw/master/csl-citation.json"} </w:instrText>
      </w:r>
      <w:r>
        <w:rPr>
          <w:rFonts w:eastAsia="Times New Roman" w:cs="Times New Roman"/>
          <w:bCs/>
          <w:szCs w:val="24"/>
        </w:rPr>
        <w:fldChar w:fldCharType="separate"/>
      </w:r>
      <w:r w:rsidRPr="00786646">
        <w:rPr>
          <w:rFonts w:cs="Times New Roman"/>
        </w:rPr>
        <w:t>(52,53)</w:t>
      </w:r>
      <w:r>
        <w:rPr>
          <w:rFonts w:eastAsia="Times New Roman" w:cs="Times New Roman"/>
          <w:bCs/>
          <w:szCs w:val="24"/>
        </w:rPr>
        <w:fldChar w:fldCharType="end"/>
      </w:r>
      <w:r w:rsidRPr="00FD735E">
        <w:rPr>
          <w:rFonts w:eastAsia="Times New Roman" w:cs="Times New Roman"/>
          <w:bCs/>
          <w:szCs w:val="24"/>
        </w:rPr>
        <w:t>.</w:t>
      </w:r>
    </w:p>
    <w:p w14:paraId="0F480FB8" w14:textId="77777777" w:rsidR="00531B8D" w:rsidRPr="00FD735E" w:rsidRDefault="00531B8D" w:rsidP="00531B8D">
      <w:pPr>
        <w:rPr>
          <w:rFonts w:eastAsia="Times New Roman" w:cs="Times New Roman"/>
          <w:bCs/>
          <w:szCs w:val="24"/>
        </w:rPr>
      </w:pPr>
      <w:r w:rsidRPr="00FD735E">
        <w:rPr>
          <w:rFonts w:eastAsia="Times New Roman" w:cs="Times New Roman"/>
          <w:b/>
          <w:szCs w:val="24"/>
        </w:rPr>
        <w:t>VPI</w:t>
      </w:r>
      <w:r w:rsidRPr="00FD735E">
        <w:rPr>
          <w:rFonts w:eastAsia="Times New Roman" w:cs="Times New Roman"/>
          <w:bCs/>
          <w:szCs w:val="24"/>
        </w:rPr>
        <w:t xml:space="preserve"> VPI </w:t>
      </w:r>
      <w:r>
        <w:rPr>
          <w:rFonts w:eastAsia="Times New Roman" w:cs="Times New Roman"/>
          <w:bCs/>
          <w:szCs w:val="24"/>
        </w:rPr>
        <w:fldChar w:fldCharType="begin"/>
      </w:r>
      <w:r>
        <w:rPr>
          <w:rFonts w:eastAsia="Times New Roman" w:cs="Times New Roman"/>
          <w:bCs/>
          <w:szCs w:val="24"/>
        </w:rPr>
        <w:instrText xml:space="preserve"> ADDIN ZOTERO_ITEM CSL_CITATION {"citationID":"naRYXny7","properties":{"formattedCitation":"(50)","plainCitation":"(50)","noteIndex":0},"citationItems":[{"id":96,"uris":["http://zotero.org/users/local/R9sILXe7/items/5D4R4SEK"],"itemData":{"id":96,"type":"article-journal","container-title":"International Journal of Ophthalmology","DOI":"10.18240/ijo.2017.10.11","ISSN":"22223959, 22274898","journalAbbreviation":"Int J Ophthalmol","source":"DOI.org (Crossref)","title":"Foveal avascular zone area and parafoveal vessel density measurements in different stages of diabetic retinopathy by optical coherence tomography angiography","URL":"http://www.ijo.cn/gjyken/ch/reader/view_abstract.aspx?file_no=20171011&amp;flag=1","accessed":{"date-parts":[["2024",2,20]]},"issued":{"date-parts":[["2017",10,18]]}}}],"schema":"https://github.com/citation-style-language/schema/raw/master/csl-citation.json"} </w:instrText>
      </w:r>
      <w:r>
        <w:rPr>
          <w:rFonts w:eastAsia="Times New Roman" w:cs="Times New Roman"/>
          <w:bCs/>
          <w:szCs w:val="24"/>
        </w:rPr>
        <w:fldChar w:fldCharType="separate"/>
      </w:r>
      <w:r w:rsidRPr="00786646">
        <w:rPr>
          <w:rFonts w:cs="Times New Roman"/>
        </w:rPr>
        <w:t>(50)</w:t>
      </w:r>
      <w:r>
        <w:rPr>
          <w:rFonts w:eastAsia="Times New Roman" w:cs="Times New Roman"/>
          <w:bCs/>
          <w:szCs w:val="24"/>
        </w:rPr>
        <w:fldChar w:fldCharType="end"/>
      </w:r>
      <w:r>
        <w:rPr>
          <w:rFonts w:eastAsia="Times New Roman" w:cs="Times New Roman"/>
          <w:bCs/>
          <w:szCs w:val="24"/>
        </w:rPr>
        <w:t xml:space="preserve"> </w:t>
      </w:r>
      <w:r w:rsidRPr="00FD735E">
        <w:rPr>
          <w:rFonts w:eastAsia="Times New Roman" w:cs="Times New Roman"/>
          <w:bCs/>
          <w:szCs w:val="24"/>
        </w:rPr>
        <w:t>quantifies the total length of vessel boundaries normalized to the image area, providing a sensitive measure of vascular boundary complexity beyond mere vessel presence. It is calculated by dividing the sum of the perimeters of all detected vessel segments (i.e., the contour pixel length) by the total imaged area. VPI has been shown to significantly increase in retinal conditions characterized by microvascular remodeling such as non</w:t>
      </w:r>
      <w:r w:rsidRPr="00FD735E">
        <w:rPr>
          <w:rFonts w:eastAsia="Times New Roman" w:cs="Times New Roman"/>
          <w:bCs/>
          <w:szCs w:val="24"/>
        </w:rPr>
        <w:noBreakHyphen/>
        <w:t>proliferative DR and sickle cell retinopathy (SCR) where capillary dilation and branching complexity produce longer vessel boundaries relative to imaged area.</w:t>
      </w:r>
    </w:p>
    <w:p w14:paraId="5A8FB1AD" w14:textId="77777777" w:rsidR="00531B8D" w:rsidRPr="00FD735E" w:rsidRDefault="00531B8D" w:rsidP="00531B8D">
      <w:pPr>
        <w:rPr>
          <w:rFonts w:eastAsia="Times New Roman" w:cs="Times New Roman"/>
          <w:bCs/>
          <w:szCs w:val="24"/>
        </w:rPr>
      </w:pPr>
      <w:r w:rsidRPr="00FD735E">
        <w:rPr>
          <w:rFonts w:eastAsia="Times New Roman" w:cs="Times New Roman"/>
          <w:bCs/>
          <w:szCs w:val="24"/>
        </w:rPr>
        <w:t>To draw the comparison between GAN model and DM we also performed the same statistical analysis based on these features to quantify the TR OCTA. This will provide a clear distinction for the DM as a translation algorithm for medical imaging.</w:t>
      </w:r>
    </w:p>
    <w:p w14:paraId="3B020E77" w14:textId="15A1ED5B" w:rsidR="00994A3D" w:rsidRPr="00256681" w:rsidRDefault="00994A3D" w:rsidP="00256681">
      <w:pPr>
        <w:spacing w:before="100" w:beforeAutospacing="1" w:after="100" w:afterAutospacing="1"/>
        <w:jc w:val="both"/>
        <w:rPr>
          <w:rFonts w:eastAsia="Times New Roman" w:cs="Times New Roman"/>
          <w:szCs w:val="24"/>
          <w:lang w:val="en-GB" w:eastAsia="en-GB"/>
        </w:rPr>
      </w:pPr>
      <w:r w:rsidRPr="00994A3D">
        <w:rPr>
          <w:rFonts w:eastAsia="Times New Roman" w:cs="Times New Roman"/>
          <w:szCs w:val="24"/>
          <w:lang w:val="en-GB" w:eastAsia="en-GB"/>
        </w:rPr>
        <w:t xml:space="preserve">Supplementary material is not typeset so please ensure that all information is clearly presented, the appropriate caption is included in the file and not in the manuscript, and that the style conforms to the rest of the article. </w:t>
      </w:r>
      <w:r w:rsidRPr="001549D3">
        <w:rPr>
          <w:rFonts w:cs="Times New Roman"/>
          <w:szCs w:val="24"/>
        </w:rPr>
        <w:t xml:space="preserve"> </w:t>
      </w:r>
    </w:p>
    <w:p w14:paraId="58F1AED1" w14:textId="77777777" w:rsidR="00DE23E8" w:rsidRPr="001549D3" w:rsidRDefault="00DE23E8" w:rsidP="00654E8F">
      <w:pPr>
        <w:spacing w:before="240"/>
      </w:pPr>
    </w:p>
    <w:sectPr w:rsidR="00DE23E8" w:rsidRPr="001549D3" w:rsidSect="0093429D">
      <w:headerReference w:type="even" r:id="rId12"/>
      <w:footerReference w:type="even" r:id="rId13"/>
      <w:footerReference w:type="default" r:id="rId14"/>
      <w:headerReference w:type="first" r:id="rId15"/>
      <w:pgSz w:w="12240" w:h="15840"/>
      <w:pgMar w:top="1138" w:right="1181" w:bottom="1138" w:left="128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9DE30" w14:textId="77777777" w:rsidR="00F02B71" w:rsidRDefault="00F02B71" w:rsidP="00117666">
      <w:pPr>
        <w:spacing w:after="0"/>
      </w:pPr>
      <w:r>
        <w:separator/>
      </w:r>
    </w:p>
  </w:endnote>
  <w:endnote w:type="continuationSeparator" w:id="0">
    <w:p w14:paraId="2EA03FE1" w14:textId="77777777" w:rsidR="00F02B71" w:rsidRDefault="00F02B71"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AB28" w14:textId="77777777" w:rsidR="00425102" w:rsidRPr="00577C4C" w:rsidRDefault="00C52A7B">
    <w:pPr>
      <w:rPr>
        <w:color w:val="C00000"/>
        <w:szCs w:val="24"/>
      </w:rPr>
    </w:pPr>
    <w:r>
      <w:rPr>
        <w:noProof/>
        <w:lang w:val="en-GB" w:eastAsia="en-GB"/>
      </w:rPr>
      <mc:AlternateContent>
        <mc:Choice Requires="wps">
          <w:drawing>
            <wp:anchor distT="0" distB="0" distL="114300" distR="114300" simplePos="0" relativeHeight="251659264" behindDoc="0" locked="0" layoutInCell="1" allowOverlap="1" wp14:anchorId="00A152CD" wp14:editId="47F23114">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4D054D26" w14:textId="77777777" w:rsidR="00425102"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0A152CD" id="_x0000_t202" coordsize="21600,21600" o:spt="202" path="m,l,21600r21600,l21600,xe">
              <v:stroke joinstyle="miter"/>
              <v:path gradientshapeok="t" o:connecttype="rect"/>
            </v:shapetype>
            <v:shape id="Text Box 1"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4D054D26" w14:textId="77777777" w:rsidR="00425102"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FF27" w14:textId="77777777" w:rsidR="00425102" w:rsidRPr="00577C4C" w:rsidRDefault="00C52A7B">
    <w:pP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3151A55C" wp14:editId="2441783D">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85E15EB" w14:textId="77777777" w:rsidR="00425102"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151A55C"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085E15EB" w14:textId="77777777" w:rsidR="00425102"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55646" w14:textId="77777777" w:rsidR="00F02B71" w:rsidRDefault="00F02B71" w:rsidP="00117666">
      <w:pPr>
        <w:spacing w:after="0"/>
      </w:pPr>
      <w:r>
        <w:separator/>
      </w:r>
    </w:p>
  </w:footnote>
  <w:footnote w:type="continuationSeparator" w:id="0">
    <w:p w14:paraId="54B3552D" w14:textId="77777777" w:rsidR="00F02B71" w:rsidRDefault="00F02B71"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EDBA" w14:textId="77777777" w:rsidR="00425102" w:rsidRPr="009151AA" w:rsidRDefault="00C52A7B">
    <w:pPr>
      <w:rPr>
        <w:rFonts w:cs="Times New Roman"/>
      </w:rPr>
    </w:pPr>
    <w:r w:rsidRPr="009151AA">
      <w:rPr>
        <w:rFonts w:cs="Times New Roman"/>
      </w:rPr>
      <w:ptab w:relativeTo="margin" w:alignment="center" w:leader="none"/>
    </w:r>
    <w:r w:rsidRPr="009151AA">
      <w:rPr>
        <w:rFonts w:cs="Times New Roman"/>
      </w:rPr>
      <w:ptab w:relativeTo="margin" w:alignment="right" w:leader="none"/>
    </w:r>
    <w:r w:rsidR="001549D3" w:rsidRPr="009151AA">
      <w:rPr>
        <w:rFonts w:cs="Times New Roman"/>
      </w:rPr>
      <w:t>Supplementary Material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1A5B" w14:textId="77777777" w:rsidR="00425102" w:rsidRDefault="0093429D" w:rsidP="0093429D">
    <w:r w:rsidRPr="005A1D84">
      <w:rPr>
        <w:b/>
        <w:noProof/>
        <w:color w:val="A6A6A6" w:themeColor="background1" w:themeShade="A6"/>
        <w:lang w:val="en-GB" w:eastAsia="en-GB"/>
      </w:rPr>
      <w:drawing>
        <wp:inline distT="0" distB="0" distL="0" distR="0" wp14:anchorId="7EAE9060" wp14:editId="09E5B960">
          <wp:extent cx="1382534" cy="497091"/>
          <wp:effectExtent l="0" t="0" r="0" b="0"/>
          <wp:docPr id="7"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rsidRPr="007E3148">
      <w:rPr>
        <w:b/>
      </w:rPr>
      <w:ptab w:relativeTo="margin" w:alignment="center" w:leader="none"/>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666"/>
    <w:multiLevelType w:val="multilevel"/>
    <w:tmpl w:val="615EAD26"/>
    <w:lvl w:ilvl="0">
      <w:start w:val="1"/>
      <w:numFmt w:val="decimal"/>
      <w:lvlText w:val="%1."/>
      <w:lvlJc w:val="left"/>
      <w:pPr>
        <w:ind w:left="0" w:firstLine="0"/>
      </w:pPr>
      <w:rPr>
        <w:rFonts w:hint="default"/>
        <w:b/>
        <w:lang w:val="en-G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0601A"/>
    <w:multiLevelType w:val="multilevel"/>
    <w:tmpl w:val="2D740DB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3"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73C1D"/>
    <w:multiLevelType w:val="multilevel"/>
    <w:tmpl w:val="61DCC3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16cid:durableId="1821115517">
    <w:abstractNumId w:val="0"/>
  </w:num>
  <w:num w:numId="2" w16cid:durableId="1683165481">
    <w:abstractNumId w:val="4"/>
  </w:num>
  <w:num w:numId="3" w16cid:durableId="615480040">
    <w:abstractNumId w:val="1"/>
  </w:num>
  <w:num w:numId="4" w16cid:durableId="1566183234">
    <w:abstractNumId w:val="5"/>
  </w:num>
  <w:num w:numId="5" w16cid:durableId="18077027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9223692">
    <w:abstractNumId w:val="3"/>
  </w:num>
  <w:num w:numId="7" w16cid:durableId="1359550598">
    <w:abstractNumId w:val="6"/>
  </w:num>
  <w:num w:numId="8" w16cid:durableId="1559510671">
    <w:abstractNumId w:val="6"/>
  </w:num>
  <w:num w:numId="9" w16cid:durableId="1734543462">
    <w:abstractNumId w:val="6"/>
  </w:num>
  <w:num w:numId="10" w16cid:durableId="708839681">
    <w:abstractNumId w:val="6"/>
  </w:num>
  <w:num w:numId="11" w16cid:durableId="2046978920">
    <w:abstractNumId w:val="6"/>
  </w:num>
  <w:num w:numId="12" w16cid:durableId="2124614653">
    <w:abstractNumId w:val="6"/>
  </w:num>
  <w:num w:numId="13" w16cid:durableId="150105246">
    <w:abstractNumId w:val="3"/>
  </w:num>
  <w:num w:numId="14" w16cid:durableId="515769853">
    <w:abstractNumId w:val="2"/>
  </w:num>
  <w:num w:numId="15" w16cid:durableId="1753046014">
    <w:abstractNumId w:val="2"/>
  </w:num>
  <w:num w:numId="16" w16cid:durableId="665939894">
    <w:abstractNumId w:val="2"/>
  </w:num>
  <w:num w:numId="17" w16cid:durableId="2078749421">
    <w:abstractNumId w:val="2"/>
  </w:num>
  <w:num w:numId="18" w16cid:durableId="825047625">
    <w:abstractNumId w:val="2"/>
  </w:num>
  <w:num w:numId="19" w16cid:durableId="803810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24"/>
    <w:rsid w:val="0001436A"/>
    <w:rsid w:val="00034304"/>
    <w:rsid w:val="00035434"/>
    <w:rsid w:val="00052A14"/>
    <w:rsid w:val="00077D53"/>
    <w:rsid w:val="00105FD9"/>
    <w:rsid w:val="001154F5"/>
    <w:rsid w:val="00117666"/>
    <w:rsid w:val="001549D3"/>
    <w:rsid w:val="00160065"/>
    <w:rsid w:val="00177D84"/>
    <w:rsid w:val="001D3363"/>
    <w:rsid w:val="00256681"/>
    <w:rsid w:val="00267D18"/>
    <w:rsid w:val="002868E2"/>
    <w:rsid w:val="002869C3"/>
    <w:rsid w:val="002936E4"/>
    <w:rsid w:val="002B4A57"/>
    <w:rsid w:val="002C74CA"/>
    <w:rsid w:val="003207AB"/>
    <w:rsid w:val="003544FB"/>
    <w:rsid w:val="003B217E"/>
    <w:rsid w:val="003C3D3B"/>
    <w:rsid w:val="003D2F2D"/>
    <w:rsid w:val="00401590"/>
    <w:rsid w:val="00425102"/>
    <w:rsid w:val="00447801"/>
    <w:rsid w:val="00452E9C"/>
    <w:rsid w:val="004735C8"/>
    <w:rsid w:val="004961FF"/>
    <w:rsid w:val="00517A89"/>
    <w:rsid w:val="005250F2"/>
    <w:rsid w:val="00531B8D"/>
    <w:rsid w:val="005721CC"/>
    <w:rsid w:val="00593EEA"/>
    <w:rsid w:val="005A5EEE"/>
    <w:rsid w:val="006375C7"/>
    <w:rsid w:val="00654E8F"/>
    <w:rsid w:val="00660D05"/>
    <w:rsid w:val="006820B1"/>
    <w:rsid w:val="006B7D14"/>
    <w:rsid w:val="00701727"/>
    <w:rsid w:val="0070566C"/>
    <w:rsid w:val="00714C50"/>
    <w:rsid w:val="00725A7D"/>
    <w:rsid w:val="007501BE"/>
    <w:rsid w:val="00790BB3"/>
    <w:rsid w:val="007C206C"/>
    <w:rsid w:val="00803D24"/>
    <w:rsid w:val="00817DD6"/>
    <w:rsid w:val="00885156"/>
    <w:rsid w:val="009151AA"/>
    <w:rsid w:val="0093429D"/>
    <w:rsid w:val="00943573"/>
    <w:rsid w:val="00970F7D"/>
    <w:rsid w:val="00994A3D"/>
    <w:rsid w:val="009C2B12"/>
    <w:rsid w:val="009C70F3"/>
    <w:rsid w:val="009D2003"/>
    <w:rsid w:val="00A174D9"/>
    <w:rsid w:val="00A569CD"/>
    <w:rsid w:val="00AB6715"/>
    <w:rsid w:val="00B1671E"/>
    <w:rsid w:val="00B25EB8"/>
    <w:rsid w:val="00B354E1"/>
    <w:rsid w:val="00B37F4D"/>
    <w:rsid w:val="00C52A7B"/>
    <w:rsid w:val="00C56BAF"/>
    <w:rsid w:val="00C679AA"/>
    <w:rsid w:val="00C75972"/>
    <w:rsid w:val="00CC0A3A"/>
    <w:rsid w:val="00CD066B"/>
    <w:rsid w:val="00CE4FEE"/>
    <w:rsid w:val="00DB59C3"/>
    <w:rsid w:val="00DC259A"/>
    <w:rsid w:val="00DE23E8"/>
    <w:rsid w:val="00E52377"/>
    <w:rsid w:val="00E64E17"/>
    <w:rsid w:val="00E866C9"/>
    <w:rsid w:val="00EA3D3C"/>
    <w:rsid w:val="00F02B71"/>
    <w:rsid w:val="00F46900"/>
    <w:rsid w:val="00F61D89"/>
    <w:rsid w:val="00FD3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487BD"/>
  <w15:docId w15:val="{133E554D-C33E-435D-A5BC-605DF70A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715"/>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AB6715"/>
    <w:pPr>
      <w:numPr>
        <w:numId w:val="19"/>
      </w:numPr>
      <w:spacing w:before="240"/>
      <w:contextualSpacing w:val="0"/>
      <w:outlineLvl w:val="0"/>
    </w:pPr>
    <w:rPr>
      <w:b/>
    </w:rPr>
  </w:style>
  <w:style w:type="paragraph" w:styleId="Heading2">
    <w:name w:val="heading 2"/>
    <w:basedOn w:val="Heading1"/>
    <w:next w:val="Normal"/>
    <w:link w:val="Heading2Char"/>
    <w:uiPriority w:val="2"/>
    <w:qFormat/>
    <w:rsid w:val="00AB6715"/>
    <w:pPr>
      <w:numPr>
        <w:ilvl w:val="1"/>
      </w:numPr>
      <w:spacing w:after="200"/>
      <w:outlineLvl w:val="1"/>
    </w:pPr>
  </w:style>
  <w:style w:type="paragraph" w:styleId="Heading3">
    <w:name w:val="heading 3"/>
    <w:basedOn w:val="Normal"/>
    <w:next w:val="Normal"/>
    <w:link w:val="Heading3Char"/>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AB6715"/>
    <w:pPr>
      <w:numPr>
        <w:ilvl w:val="3"/>
      </w:numPr>
      <w:outlineLvl w:val="3"/>
    </w:pPr>
    <w:rPr>
      <w:iCs/>
    </w:rPr>
  </w:style>
  <w:style w:type="paragraph" w:styleId="Heading5">
    <w:name w:val="heading 5"/>
    <w:basedOn w:val="Heading4"/>
    <w:next w:val="Normal"/>
    <w:link w:val="Heading5Char"/>
    <w:uiPriority w:val="2"/>
    <w:qFormat/>
    <w:rsid w:val="00AB6715"/>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AB671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AB6715"/>
    <w:rPr>
      <w:rFonts w:ascii="Times New Roman" w:eastAsia="Cambria" w:hAnsi="Times New Roman" w:cs="Times New Roman"/>
      <w:b/>
      <w:sz w:val="24"/>
      <w:szCs w:val="24"/>
    </w:rPr>
  </w:style>
  <w:style w:type="paragraph" w:styleId="Subtitle">
    <w:name w:val="Subtitle"/>
    <w:basedOn w:val="Normal"/>
    <w:next w:val="Normal"/>
    <w:link w:val="SubtitleChar"/>
    <w:uiPriority w:val="99"/>
    <w:unhideWhenUsed/>
    <w:qFormat/>
    <w:rsid w:val="00AB6715"/>
    <w:pPr>
      <w:spacing w:before="240"/>
    </w:pPr>
    <w:rPr>
      <w:rFonts w:cs="Times New Roman"/>
      <w:b/>
      <w:szCs w:val="24"/>
    </w:rPr>
  </w:style>
  <w:style w:type="character" w:customStyle="1" w:styleId="SubtitleChar">
    <w:name w:val="Subtitle Char"/>
    <w:basedOn w:val="DefaultParagraphFont"/>
    <w:link w:val="Subtitle"/>
    <w:uiPriority w:val="99"/>
    <w:rsid w:val="00AB6715"/>
    <w:rPr>
      <w:rFonts w:ascii="Times New Roman" w:hAnsi="Times New Roman" w:cs="Times New Roman"/>
      <w:b/>
      <w:sz w:val="24"/>
      <w:szCs w:val="24"/>
    </w:rPr>
  </w:style>
  <w:style w:type="paragraph" w:customStyle="1" w:styleId="AuthorList">
    <w:name w:val="Author List"/>
    <w:aliases w:val="Keywords,Abstract"/>
    <w:basedOn w:val="Subtitle"/>
    <w:next w:val="Normal"/>
    <w:uiPriority w:val="1"/>
    <w:qFormat/>
    <w:rsid w:val="00AB6715"/>
  </w:style>
  <w:style w:type="paragraph" w:styleId="BalloonText">
    <w:name w:val="Balloon Text"/>
    <w:basedOn w:val="Normal"/>
    <w:link w:val="BalloonTextChar"/>
    <w:uiPriority w:val="99"/>
    <w:semiHidden/>
    <w:unhideWhenUsed/>
    <w:rsid w:val="00AB671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715"/>
    <w:rPr>
      <w:rFonts w:ascii="Tahoma" w:hAnsi="Tahoma" w:cs="Tahoma"/>
      <w:sz w:val="16"/>
      <w:szCs w:val="16"/>
    </w:rPr>
  </w:style>
  <w:style w:type="character" w:styleId="BookTitle">
    <w:name w:val="Book Title"/>
    <w:basedOn w:val="DefaultParagraphFont"/>
    <w:uiPriority w:val="33"/>
    <w:qFormat/>
    <w:rsid w:val="00AB6715"/>
    <w:rPr>
      <w:rFonts w:ascii="Times New Roman" w:hAnsi="Times New Roman"/>
      <w:b/>
      <w:bCs/>
      <w:i/>
      <w:iCs/>
      <w:spacing w:val="5"/>
    </w:rPr>
  </w:style>
  <w:style w:type="paragraph" w:styleId="Caption">
    <w:name w:val="caption"/>
    <w:basedOn w:val="Normal"/>
    <w:next w:val="NoSpacing"/>
    <w:uiPriority w:val="35"/>
    <w:unhideWhenUsed/>
    <w:qFormat/>
    <w:rsid w:val="00AB6715"/>
    <w:pPr>
      <w:keepNext/>
    </w:pPr>
    <w:rPr>
      <w:rFonts w:cs="Times New Roman"/>
      <w:b/>
      <w:bCs/>
      <w:szCs w:val="24"/>
    </w:rPr>
  </w:style>
  <w:style w:type="paragraph" w:styleId="NoSpacing">
    <w:name w:val="No Spacing"/>
    <w:uiPriority w:val="99"/>
    <w:unhideWhenUsed/>
    <w:qFormat/>
    <w:rsid w:val="00AB6715"/>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B6715"/>
    <w:rPr>
      <w:sz w:val="16"/>
      <w:szCs w:val="16"/>
    </w:rPr>
  </w:style>
  <w:style w:type="paragraph" w:styleId="CommentText">
    <w:name w:val="annotation text"/>
    <w:basedOn w:val="Normal"/>
    <w:link w:val="CommentTextChar"/>
    <w:uiPriority w:val="99"/>
    <w:semiHidden/>
    <w:unhideWhenUsed/>
    <w:rsid w:val="00AB6715"/>
    <w:rPr>
      <w:sz w:val="20"/>
      <w:szCs w:val="20"/>
    </w:rPr>
  </w:style>
  <w:style w:type="character" w:customStyle="1" w:styleId="CommentTextChar">
    <w:name w:val="Comment Text Char"/>
    <w:basedOn w:val="DefaultParagraphFont"/>
    <w:link w:val="CommentText"/>
    <w:uiPriority w:val="99"/>
    <w:semiHidden/>
    <w:rsid w:val="00AB67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6715"/>
    <w:rPr>
      <w:b/>
      <w:bCs/>
    </w:rPr>
  </w:style>
  <w:style w:type="character" w:customStyle="1" w:styleId="CommentSubjectChar">
    <w:name w:val="Comment Subject Char"/>
    <w:basedOn w:val="CommentTextChar"/>
    <w:link w:val="CommentSubject"/>
    <w:uiPriority w:val="99"/>
    <w:semiHidden/>
    <w:rsid w:val="00AB6715"/>
    <w:rPr>
      <w:rFonts w:ascii="Times New Roman" w:hAnsi="Times New Roman"/>
      <w:b/>
      <w:bCs/>
      <w:sz w:val="20"/>
      <w:szCs w:val="20"/>
    </w:rPr>
  </w:style>
  <w:style w:type="character" w:styleId="Emphasis">
    <w:name w:val="Emphasis"/>
    <w:basedOn w:val="DefaultParagraphFont"/>
    <w:uiPriority w:val="20"/>
    <w:qFormat/>
    <w:rsid w:val="00AB6715"/>
    <w:rPr>
      <w:rFonts w:ascii="Times New Roman" w:hAnsi="Times New Roman"/>
      <w:i/>
      <w:iCs/>
    </w:rPr>
  </w:style>
  <w:style w:type="character" w:styleId="EndnoteReference">
    <w:name w:val="endnote reference"/>
    <w:basedOn w:val="DefaultParagraphFont"/>
    <w:uiPriority w:val="99"/>
    <w:semiHidden/>
    <w:unhideWhenUsed/>
    <w:rsid w:val="00AB6715"/>
    <w:rPr>
      <w:vertAlign w:val="superscript"/>
    </w:rPr>
  </w:style>
  <w:style w:type="paragraph" w:styleId="EndnoteText">
    <w:name w:val="endnote text"/>
    <w:basedOn w:val="Normal"/>
    <w:link w:val="EndnoteTextChar"/>
    <w:uiPriority w:val="99"/>
    <w:semiHidden/>
    <w:unhideWhenUsed/>
    <w:rsid w:val="00AB6715"/>
    <w:pPr>
      <w:spacing w:after="0"/>
    </w:pPr>
    <w:rPr>
      <w:sz w:val="20"/>
      <w:szCs w:val="20"/>
    </w:rPr>
  </w:style>
  <w:style w:type="character" w:customStyle="1" w:styleId="EndnoteTextChar">
    <w:name w:val="Endnote Text Char"/>
    <w:basedOn w:val="DefaultParagraphFont"/>
    <w:link w:val="EndnoteText"/>
    <w:uiPriority w:val="99"/>
    <w:semiHidden/>
    <w:rsid w:val="00AB6715"/>
    <w:rPr>
      <w:rFonts w:ascii="Times New Roman" w:hAnsi="Times New Roman"/>
      <w:sz w:val="20"/>
      <w:szCs w:val="20"/>
    </w:rPr>
  </w:style>
  <w:style w:type="character" w:styleId="FollowedHyperlink">
    <w:name w:val="FollowedHyperlink"/>
    <w:basedOn w:val="DefaultParagraphFont"/>
    <w:uiPriority w:val="99"/>
    <w:semiHidden/>
    <w:unhideWhenUsed/>
    <w:rsid w:val="00AB6715"/>
    <w:rPr>
      <w:color w:val="800080" w:themeColor="followedHyperlink"/>
      <w:u w:val="single"/>
    </w:rPr>
  </w:style>
  <w:style w:type="paragraph" w:styleId="Footer">
    <w:name w:val="footer"/>
    <w:basedOn w:val="Normal"/>
    <w:link w:val="FooterChar"/>
    <w:uiPriority w:val="99"/>
    <w:unhideWhenUsed/>
    <w:rsid w:val="00AB6715"/>
    <w:pPr>
      <w:tabs>
        <w:tab w:val="center" w:pos="4844"/>
        <w:tab w:val="right" w:pos="9689"/>
      </w:tabs>
      <w:spacing w:after="0"/>
    </w:pPr>
  </w:style>
  <w:style w:type="character" w:customStyle="1" w:styleId="FooterChar">
    <w:name w:val="Footer Char"/>
    <w:basedOn w:val="DefaultParagraphFont"/>
    <w:link w:val="Footer"/>
    <w:uiPriority w:val="99"/>
    <w:rsid w:val="00AB6715"/>
    <w:rPr>
      <w:rFonts w:ascii="Times New Roman" w:hAnsi="Times New Roman"/>
      <w:sz w:val="24"/>
    </w:rPr>
  </w:style>
  <w:style w:type="character" w:styleId="FootnoteReference">
    <w:name w:val="footnote reference"/>
    <w:basedOn w:val="DefaultParagraphFont"/>
    <w:uiPriority w:val="99"/>
    <w:semiHidden/>
    <w:unhideWhenUsed/>
    <w:rsid w:val="00AB6715"/>
    <w:rPr>
      <w:vertAlign w:val="superscript"/>
    </w:rPr>
  </w:style>
  <w:style w:type="paragraph" w:styleId="FootnoteText">
    <w:name w:val="footnote text"/>
    <w:basedOn w:val="Normal"/>
    <w:link w:val="FootnoteTextChar"/>
    <w:uiPriority w:val="99"/>
    <w:semiHidden/>
    <w:unhideWhenUsed/>
    <w:rsid w:val="00AB6715"/>
    <w:pPr>
      <w:spacing w:after="0"/>
    </w:pPr>
    <w:rPr>
      <w:sz w:val="20"/>
      <w:szCs w:val="20"/>
    </w:rPr>
  </w:style>
  <w:style w:type="character" w:customStyle="1" w:styleId="FootnoteTextChar">
    <w:name w:val="Footnote Text Char"/>
    <w:basedOn w:val="DefaultParagraphFont"/>
    <w:link w:val="FootnoteText"/>
    <w:uiPriority w:val="99"/>
    <w:semiHidden/>
    <w:rsid w:val="00AB6715"/>
    <w:rPr>
      <w:rFonts w:ascii="Times New Roman" w:hAnsi="Times New Roman"/>
      <w:sz w:val="20"/>
      <w:szCs w:val="20"/>
    </w:rPr>
  </w:style>
  <w:style w:type="paragraph" w:styleId="Header">
    <w:name w:val="header"/>
    <w:basedOn w:val="Normal"/>
    <w:link w:val="HeaderChar"/>
    <w:uiPriority w:val="99"/>
    <w:unhideWhenUsed/>
    <w:rsid w:val="00AB6715"/>
    <w:pPr>
      <w:tabs>
        <w:tab w:val="center" w:pos="4844"/>
        <w:tab w:val="right" w:pos="9689"/>
      </w:tabs>
    </w:pPr>
    <w:rPr>
      <w:b/>
    </w:rPr>
  </w:style>
  <w:style w:type="character" w:customStyle="1" w:styleId="HeaderChar">
    <w:name w:val="Header Char"/>
    <w:basedOn w:val="DefaultParagraphFont"/>
    <w:link w:val="Header"/>
    <w:uiPriority w:val="99"/>
    <w:rsid w:val="00AB6715"/>
    <w:rPr>
      <w:rFonts w:ascii="Times New Roman" w:hAnsi="Times New Roman"/>
      <w:b/>
      <w:sz w:val="24"/>
    </w:rPr>
  </w:style>
  <w:style w:type="paragraph" w:styleId="ListParagraph">
    <w:name w:val="List Paragraph"/>
    <w:basedOn w:val="Normal"/>
    <w:uiPriority w:val="3"/>
    <w:qFormat/>
    <w:rsid w:val="00AB6715"/>
    <w:pPr>
      <w:numPr>
        <w:numId w:val="13"/>
      </w:numPr>
      <w:contextualSpacing/>
    </w:pPr>
    <w:rPr>
      <w:rFonts w:eastAsia="Cambria" w:cs="Times New Roman"/>
      <w:szCs w:val="24"/>
    </w:rPr>
  </w:style>
  <w:style w:type="numbering" w:customStyle="1" w:styleId="Headings">
    <w:name w:val="Headings"/>
    <w:uiPriority w:val="99"/>
    <w:rsid w:val="00AB6715"/>
    <w:pPr>
      <w:numPr>
        <w:numId w:val="14"/>
      </w:numPr>
    </w:pPr>
  </w:style>
  <w:style w:type="character" w:styleId="Hyperlink">
    <w:name w:val="Hyperlink"/>
    <w:basedOn w:val="DefaultParagraphFont"/>
    <w:uiPriority w:val="99"/>
    <w:unhideWhenUsed/>
    <w:rsid w:val="00AB6715"/>
    <w:rPr>
      <w:color w:val="0000FF"/>
      <w:u w:val="single"/>
    </w:rPr>
  </w:style>
  <w:style w:type="character" w:styleId="IntenseEmphasis">
    <w:name w:val="Intense Emphasis"/>
    <w:basedOn w:val="DefaultParagraphFont"/>
    <w:uiPriority w:val="21"/>
    <w:unhideWhenUsed/>
    <w:rsid w:val="00AB6715"/>
    <w:rPr>
      <w:rFonts w:ascii="Times New Roman" w:hAnsi="Times New Roman"/>
      <w:i/>
      <w:iCs/>
      <w:color w:val="auto"/>
    </w:rPr>
  </w:style>
  <w:style w:type="character" w:styleId="IntenseReference">
    <w:name w:val="Intense Reference"/>
    <w:basedOn w:val="DefaultParagraphFont"/>
    <w:uiPriority w:val="32"/>
    <w:qFormat/>
    <w:rsid w:val="00AB6715"/>
    <w:rPr>
      <w:b/>
      <w:bCs/>
      <w:smallCaps/>
      <w:color w:val="auto"/>
      <w:spacing w:val="5"/>
    </w:rPr>
  </w:style>
  <w:style w:type="character" w:styleId="LineNumber">
    <w:name w:val="line number"/>
    <w:basedOn w:val="DefaultParagraphFont"/>
    <w:uiPriority w:val="99"/>
    <w:semiHidden/>
    <w:unhideWhenUsed/>
    <w:rsid w:val="00AB6715"/>
  </w:style>
  <w:style w:type="character" w:customStyle="1" w:styleId="Heading3Char">
    <w:name w:val="Heading 3 Char"/>
    <w:basedOn w:val="DefaultParagraphFont"/>
    <w:link w:val="Heading3"/>
    <w:uiPriority w:val="2"/>
    <w:rsid w:val="00AB671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rsid w:val="00AB6715"/>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AB6715"/>
    <w:rPr>
      <w:rFonts w:ascii="Times New Roman" w:eastAsiaTheme="majorEastAsia" w:hAnsi="Times New Roman" w:cstheme="majorBidi"/>
      <w:b/>
      <w:iCs/>
      <w:sz w:val="24"/>
      <w:szCs w:val="24"/>
    </w:rPr>
  </w:style>
  <w:style w:type="paragraph" w:styleId="NormalWeb">
    <w:name w:val="Normal (Web)"/>
    <w:basedOn w:val="Normal"/>
    <w:uiPriority w:val="99"/>
    <w:unhideWhenUsed/>
    <w:rsid w:val="00AB6715"/>
    <w:pPr>
      <w:spacing w:before="100" w:beforeAutospacing="1" w:after="100" w:afterAutospacing="1"/>
    </w:pPr>
    <w:rPr>
      <w:rFonts w:eastAsia="Times New Roman" w:cs="Times New Roman"/>
      <w:szCs w:val="24"/>
    </w:rPr>
  </w:style>
  <w:style w:type="paragraph" w:styleId="Quote">
    <w:name w:val="Quote"/>
    <w:basedOn w:val="Normal"/>
    <w:next w:val="Normal"/>
    <w:link w:val="QuoteChar"/>
    <w:uiPriority w:val="29"/>
    <w:qFormat/>
    <w:rsid w:val="00AB67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6715"/>
    <w:rPr>
      <w:rFonts w:ascii="Times New Roman" w:hAnsi="Times New Roman"/>
      <w:i/>
      <w:iCs/>
      <w:color w:val="404040" w:themeColor="text1" w:themeTint="BF"/>
      <w:sz w:val="24"/>
    </w:rPr>
  </w:style>
  <w:style w:type="character" w:styleId="Strong">
    <w:name w:val="Strong"/>
    <w:basedOn w:val="DefaultParagraphFont"/>
    <w:uiPriority w:val="22"/>
    <w:qFormat/>
    <w:rsid w:val="00AB6715"/>
    <w:rPr>
      <w:rFonts w:ascii="Times New Roman" w:hAnsi="Times New Roman"/>
      <w:b/>
      <w:bCs/>
    </w:rPr>
  </w:style>
  <w:style w:type="character" w:styleId="SubtleEmphasis">
    <w:name w:val="Subtle Emphasis"/>
    <w:basedOn w:val="DefaultParagraphFont"/>
    <w:uiPriority w:val="19"/>
    <w:qFormat/>
    <w:rsid w:val="00AB6715"/>
    <w:rPr>
      <w:rFonts w:ascii="Times New Roman" w:hAnsi="Times New Roman"/>
      <w:i/>
      <w:iCs/>
      <w:color w:val="404040" w:themeColor="text1" w:themeTint="BF"/>
    </w:rPr>
  </w:style>
  <w:style w:type="table" w:styleId="TableGrid">
    <w:name w:val="Table Grid"/>
    <w:basedOn w:val="TableNormal"/>
    <w:uiPriority w:val="59"/>
    <w:rsid w:val="00AB6715"/>
    <w:pPr>
      <w:spacing w:after="0" w:line="240" w:lineRule="auto"/>
    </w:pPr>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B6715"/>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AB6715"/>
    <w:rPr>
      <w:rFonts w:ascii="Times New Roman" w:hAnsi="Times New Roman" w:cs="Times New Roman"/>
      <w:b/>
      <w:sz w:val="32"/>
      <w:szCs w:val="32"/>
    </w:rPr>
  </w:style>
  <w:style w:type="paragraph" w:customStyle="1" w:styleId="SupplementaryMaterial">
    <w:name w:val="Supplementary Material"/>
    <w:basedOn w:val="Title"/>
    <w:next w:val="Title"/>
    <w:qFormat/>
    <w:rsid w:val="0001436A"/>
    <w:pPr>
      <w:spacing w:after="120"/>
    </w:pPr>
    <w:rPr>
      <w:i/>
    </w:rPr>
  </w:style>
  <w:style w:type="paragraph" w:styleId="Revision">
    <w:name w:val="Revision"/>
    <w:hidden/>
    <w:uiPriority w:val="99"/>
    <w:semiHidden/>
    <w:rsid w:val="00803D24"/>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66873">
      <w:bodyDiv w:val="1"/>
      <w:marLeft w:val="0"/>
      <w:marRight w:val="0"/>
      <w:marTop w:val="0"/>
      <w:marBottom w:val="0"/>
      <w:divBdr>
        <w:top w:val="none" w:sz="0" w:space="0" w:color="auto"/>
        <w:left w:val="none" w:sz="0" w:space="0" w:color="auto"/>
        <w:bottom w:val="none" w:sz="0" w:space="0" w:color="auto"/>
        <w:right w:val="none" w:sz="0" w:space="0" w:color="auto"/>
      </w:divBdr>
    </w:div>
    <w:div w:id="151391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885ac53139f20652f850277d10459b85">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b20dbcea35cbef169bcf39aab5233ab6"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FRONDOC-1086935359-10119</_dlc_DocId>
    <_dlc_DocIdUrl xmlns="26005759-6815-4540-b8ea-913958d74f23">
      <Url>https://frontiersin.sharepoint.com/Publishing/PubOps/Production/_layouts/15/DocIdRedir.aspx?ID=FRONDOC-1086935359-10119</Url>
      <Description>FRONDOC-1086935359-10119</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14314AF-3C36-4C2C-B599-40A76C6FFFC1}">
  <ds:schemaRefs>
    <ds:schemaRef ds:uri="http://schemas.openxmlformats.org/officeDocument/2006/bibliography"/>
  </ds:schemaRefs>
</ds:datastoreItem>
</file>

<file path=customXml/itemProps2.xml><?xml version="1.0" encoding="utf-8"?>
<ds:datastoreItem xmlns:ds="http://schemas.openxmlformats.org/officeDocument/2006/customXml" ds:itemID="{DFF441E3-103C-4487-877D-08CD22337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D4929F-83D0-432F-8F82-6D4423C25F5E}">
  <ds:schemaRefs>
    <ds:schemaRef ds:uri="http://schemas.microsoft.com/sharepoint/v3/contenttype/forms"/>
  </ds:schemaRefs>
</ds:datastoreItem>
</file>

<file path=customXml/itemProps4.xml><?xml version="1.0" encoding="utf-8"?>
<ds:datastoreItem xmlns:ds="http://schemas.openxmlformats.org/officeDocument/2006/customXml" ds:itemID="{4B2E0E22-D442-4EBE-AAA2-EDC8871E7B41}">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5.xml><?xml version="1.0" encoding="utf-8"?>
<ds:datastoreItem xmlns:ds="http://schemas.openxmlformats.org/officeDocument/2006/customXml" ds:itemID="{2558679B-78FB-42CD-A1EA-A99096AF5568}">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Supplementary_Material</Template>
  <TotalTime>1</TotalTime>
  <Pages>2</Pages>
  <Words>3012</Words>
  <Characters>17175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Frontiers</dc:creator>
  <cp:lastModifiedBy>Sandhya Patel</cp:lastModifiedBy>
  <cp:revision>2</cp:revision>
  <cp:lastPrinted>2013-10-03T12:51:00Z</cp:lastPrinted>
  <dcterms:created xsi:type="dcterms:W3CDTF">2025-11-18T10:39:00Z</dcterms:created>
  <dcterms:modified xsi:type="dcterms:W3CDTF">2025-11-18T10:39:00Z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f82bb101-9b00-462e-af01-9a0e7ec06274</vt:lpwstr>
  </property>
  <property fmtid="{D5CDD505-2E9C-101B-9397-08002B2CF9AE}" pid="4" name="Order">
    <vt:r8>1011900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