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173A1" w14:textId="77777777" w:rsidR="007E50D3" w:rsidRPr="00AF3F1D" w:rsidRDefault="00000000" w:rsidP="00AF3F1D">
      <w:pPr>
        <w:spacing w:before="240" w:line="276" w:lineRule="auto"/>
        <w:jc w:val="center"/>
        <w:rPr>
          <w:rFonts w:ascii="Times New Roman" w:hAnsi="Times New Roman" w:cs="Times New Roman"/>
          <w:sz w:val="32"/>
          <w:szCs w:val="32"/>
        </w:rPr>
      </w:pPr>
      <w:bookmarkStart w:id="0" w:name="comparative_analysis_of_digital_t_f41c67"/>
      <w:r w:rsidRPr="00AF3F1D">
        <w:rPr>
          <w:rFonts w:ascii="Times New Roman" w:hAnsi="Times New Roman" w:cs="Times New Roman"/>
          <w:b/>
          <w:sz w:val="32"/>
          <w:szCs w:val="32"/>
        </w:rPr>
        <w:t>Comparative Analysis of Digital Tools for Isolated Chicken Eye Testing: Innovations and Regulatory Implications</w:t>
      </w:r>
      <w:bookmarkEnd w:id="0"/>
    </w:p>
    <w:p w14:paraId="382DCD9E" w14:textId="10028ED3" w:rsidR="007E50D3" w:rsidRPr="00AF3F1D" w:rsidRDefault="00000000" w:rsidP="00AF3F1D">
      <w:pPr>
        <w:spacing w:after="210" w:line="276" w:lineRule="auto"/>
        <w:jc w:val="center"/>
        <w:rPr>
          <w:rFonts w:ascii="Times New Roman" w:hAnsi="Times New Roman" w:cs="Times New Roman"/>
          <w:i/>
          <w:iCs/>
          <w:sz w:val="24"/>
          <w:szCs w:val="24"/>
        </w:rPr>
      </w:pPr>
      <w:r w:rsidRPr="00AF3F1D">
        <w:rPr>
          <w:rFonts w:ascii="Times New Roman" w:hAnsi="Times New Roman" w:cs="Times New Roman"/>
          <w:b/>
          <w:i/>
          <w:iCs/>
          <w:sz w:val="24"/>
          <w:szCs w:val="24"/>
        </w:rPr>
        <w:t>Dr. Pravin Badhe</w:t>
      </w:r>
      <w:r w:rsidR="00AF3F1D" w:rsidRPr="00AF3F1D">
        <w:rPr>
          <w:rFonts w:ascii="Times New Roman" w:hAnsi="Times New Roman" w:cs="Times New Roman"/>
          <w:b/>
          <w:i/>
          <w:iCs/>
          <w:sz w:val="24"/>
          <w:szCs w:val="24"/>
          <w:vertAlign w:val="superscript"/>
        </w:rPr>
        <w:t>1</w:t>
      </w:r>
    </w:p>
    <w:p w14:paraId="5035EFFA" w14:textId="4D2DFF48" w:rsidR="007E50D3" w:rsidRPr="00AF3F1D" w:rsidRDefault="00AF3F1D" w:rsidP="00AF3F1D">
      <w:pPr>
        <w:spacing w:after="210" w:line="276" w:lineRule="auto"/>
        <w:jc w:val="center"/>
        <w:rPr>
          <w:rFonts w:ascii="Times New Roman" w:hAnsi="Times New Roman" w:cs="Times New Roman"/>
          <w:i/>
          <w:iCs/>
          <w:sz w:val="24"/>
          <w:szCs w:val="24"/>
        </w:rPr>
      </w:pPr>
      <w:r w:rsidRPr="00AF3F1D">
        <w:rPr>
          <w:rFonts w:ascii="Times New Roman" w:hAnsi="Times New Roman" w:cs="Times New Roman"/>
          <w:i/>
          <w:iCs/>
          <w:sz w:val="24"/>
          <w:szCs w:val="24"/>
          <w:vertAlign w:val="superscript"/>
        </w:rPr>
        <w:t>1</w:t>
      </w:r>
      <w:r w:rsidR="00000000" w:rsidRPr="00AF3F1D">
        <w:rPr>
          <w:rFonts w:ascii="Times New Roman" w:hAnsi="Times New Roman" w:cs="Times New Roman"/>
          <w:i/>
          <w:iCs/>
          <w:sz w:val="24"/>
          <w:szCs w:val="24"/>
        </w:rPr>
        <w:t>Swalife Biotech Ltd, North Point House, North Point Business Park, Cork, Republic of Ireland</w:t>
      </w:r>
    </w:p>
    <w:p w14:paraId="404431E5" w14:textId="77777777" w:rsidR="007E50D3" w:rsidRPr="005015E7" w:rsidRDefault="00000000" w:rsidP="005015E7">
      <w:pPr>
        <w:spacing w:before="240" w:line="276" w:lineRule="auto"/>
        <w:jc w:val="both"/>
        <w:rPr>
          <w:rFonts w:ascii="Times New Roman" w:hAnsi="Times New Roman" w:cs="Times New Roman"/>
          <w:sz w:val="24"/>
          <w:szCs w:val="24"/>
        </w:rPr>
      </w:pPr>
      <w:bookmarkStart w:id="1" w:name="abstract"/>
      <w:r w:rsidRPr="005015E7">
        <w:rPr>
          <w:rFonts w:ascii="Times New Roman" w:hAnsi="Times New Roman" w:cs="Times New Roman"/>
          <w:b/>
          <w:sz w:val="24"/>
          <w:szCs w:val="24"/>
        </w:rPr>
        <w:t>Abstract</w:t>
      </w:r>
      <w:bookmarkEnd w:id="1"/>
    </w:p>
    <w:p w14:paraId="133B037F" w14:textId="33794FFC"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eastAsia="Georgia" w:hAnsi="Times New Roman" w:cs="Times New Roman"/>
          <w:sz w:val="24"/>
          <w:szCs w:val="24"/>
        </w:rPr>
        <w:t>The Isolated Chicken Eye (ICE) Test remains a cornerstone of ocular safety assessment for chemicals, cosmetics, and pharmaceuticals under OECD Test Guideline 438. However, traditional manual scoring of opacity, swelling, and fluorescein retention introduces significant subjective variability and limits laboratory throughput. This review examines existing digital and artificial intelligence-driven platforms for ocular toxicity assessment, comparing their technical approaches, strengths, and limitations. We identify current gaps in automated ICE analysis and present the ICE Test Analysis Tool</w:t>
      </w:r>
      <w:r w:rsidR="005015E7">
        <w:rPr>
          <w:rFonts w:ascii="Times New Roman" w:eastAsia="Georgia" w:hAnsi="Times New Roman" w:cs="Times New Roman"/>
          <w:sz w:val="24"/>
          <w:szCs w:val="24"/>
        </w:rPr>
        <w:t xml:space="preserve"> </w:t>
      </w:r>
      <w:r w:rsidRPr="005015E7">
        <w:rPr>
          <w:rFonts w:ascii="Times New Roman" w:eastAsia="Georgia" w:hAnsi="Times New Roman" w:cs="Times New Roman"/>
          <w:sz w:val="24"/>
          <w:szCs w:val="24"/>
        </w:rPr>
        <w:t>a unified, AI-assisted platform integrating computer vision-based image segmentation, intensity profiling, and standardized toxicology interpretation. The tool addresses critical shortcomings of manual methods by delivering objective, reproducible scoring of corneal endpoints aligned with OECD TG 438 requirements while maintaining minimal operational complexity. This comparative analysis demonstrates how systematic digitization and automation enhance both accuracy and scalability in regulatory-grade ocular safety testing, positioning next-generation toxicology laboratories for accelerated, data-driven decision-making.</w:t>
      </w:r>
    </w:p>
    <w:p w14:paraId="5A01E8CA"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Keywords:</w:t>
      </w:r>
      <w:r w:rsidRPr="005015E7">
        <w:rPr>
          <w:rFonts w:ascii="Times New Roman" w:hAnsi="Times New Roman" w:cs="Times New Roman"/>
          <w:sz w:val="24"/>
          <w:szCs w:val="24"/>
        </w:rPr>
        <w:t xml:space="preserve"> ICE Test, ocular toxicity, corneal opacity, automated image analysis, OECD 438, computer vision, AI toxicology, corneal swelling, regulatory compliance, digital toxicology</w:t>
      </w:r>
    </w:p>
    <w:p w14:paraId="164C7C6E" w14:textId="12402F78" w:rsidR="007E50D3" w:rsidRPr="005015E7" w:rsidRDefault="007E50D3" w:rsidP="005015E7">
      <w:pPr>
        <w:spacing w:line="276" w:lineRule="auto"/>
        <w:jc w:val="both"/>
        <w:rPr>
          <w:rFonts w:ascii="Times New Roman" w:hAnsi="Times New Roman" w:cs="Times New Roman"/>
          <w:sz w:val="24"/>
          <w:szCs w:val="24"/>
        </w:rPr>
      </w:pPr>
    </w:p>
    <w:p w14:paraId="0F4E42C8" w14:textId="77777777" w:rsidR="007E50D3" w:rsidRPr="005015E7" w:rsidRDefault="00000000" w:rsidP="005015E7">
      <w:pPr>
        <w:spacing w:before="240" w:line="276" w:lineRule="auto"/>
        <w:jc w:val="both"/>
        <w:rPr>
          <w:rFonts w:ascii="Times New Roman" w:hAnsi="Times New Roman" w:cs="Times New Roman"/>
          <w:sz w:val="24"/>
          <w:szCs w:val="24"/>
        </w:rPr>
      </w:pPr>
      <w:bookmarkStart w:id="2" w:name="bm_1_introduction"/>
      <w:r w:rsidRPr="005015E7">
        <w:rPr>
          <w:rFonts w:ascii="Times New Roman" w:hAnsi="Times New Roman" w:cs="Times New Roman"/>
          <w:b/>
          <w:sz w:val="24"/>
          <w:szCs w:val="24"/>
        </w:rPr>
        <w:t>1. Introduction</w:t>
      </w:r>
      <w:bookmarkEnd w:id="2"/>
    </w:p>
    <w:p w14:paraId="4864BCAF"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Ocular irritation and corrosion represent critical safety endpoints in the evaluation of chemical, cosmetic, pharmaceutical, and household product safety[1]. The Isolated Chicken Eye (ICE) Test, formalized under OECD Test Guideline 438, has emerged as a scientifically validated, non-animal alternative that predicts serious eye damage (UN GHS Category 1) with 83% accuracy and identifies non-irritant chemicals with 88% accuracy[2]. Despite its established reliability, the ICE test remains fundamentally dependent on manual assessment of four key corneal parameters: opacity, swelling (corneal thickness), fluorescein retention, and morphological damage[3].</w:t>
      </w:r>
    </w:p>
    <w:p w14:paraId="5BA77118" w14:textId="77777777" w:rsidR="007E50D3" w:rsidRPr="005015E7" w:rsidRDefault="00000000" w:rsidP="005015E7">
      <w:pPr>
        <w:spacing w:before="240" w:line="276" w:lineRule="auto"/>
        <w:jc w:val="both"/>
        <w:rPr>
          <w:rFonts w:ascii="Times New Roman" w:hAnsi="Times New Roman" w:cs="Times New Roman"/>
          <w:sz w:val="24"/>
          <w:szCs w:val="24"/>
        </w:rPr>
      </w:pPr>
      <w:bookmarkStart w:id="3" w:name="bm_1_1_challenges_of_manual_ice_scoring"/>
      <w:r w:rsidRPr="005015E7">
        <w:rPr>
          <w:rFonts w:ascii="Times New Roman" w:hAnsi="Times New Roman" w:cs="Times New Roman"/>
          <w:b/>
          <w:sz w:val="24"/>
          <w:szCs w:val="24"/>
        </w:rPr>
        <w:t>1.1 Challenges of Manual ICE Scoring</w:t>
      </w:r>
      <w:bookmarkEnd w:id="3"/>
    </w:p>
    <w:p w14:paraId="41AA98A9"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lastRenderedPageBreak/>
        <w:t>The conventional ICE scoring workflow introduces several well-documented limitations:</w:t>
      </w:r>
    </w:p>
    <w:p w14:paraId="48AF574C"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Subjectivity and Variability</w:t>
      </w:r>
      <w:r w:rsidRPr="005015E7">
        <w:rPr>
          <w:rFonts w:ascii="Times New Roman" w:hAnsi="Times New Roman" w:cs="Times New Roman"/>
          <w:sz w:val="24"/>
          <w:szCs w:val="24"/>
        </w:rPr>
        <w:t>: Expert visual inspection of opacity and damage depends on observer training, lighting conditions, and personal interpretation thresholds[4]. Inter-observer reliability studies report intra-class correlation coefficients ranging from 0.72 to 0.91, indicating moderate-to-substantial but imperfect agreement[5].</w:t>
      </w:r>
    </w:p>
    <w:p w14:paraId="09B4D887"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Throughput Limitations</w:t>
      </w:r>
      <w:r w:rsidRPr="005015E7">
        <w:rPr>
          <w:rFonts w:ascii="Times New Roman" w:eastAsia="Georgia" w:hAnsi="Times New Roman" w:cs="Times New Roman"/>
          <w:sz w:val="24"/>
          <w:szCs w:val="24"/>
        </w:rPr>
        <w:t>: Manual measurement of corneal thickness, opacity scaling, and fluorescein scoring are time-intensive, typically requiring 15–25 minutes per test eye, restricting laboratory capacity in high-volume screening environments[1].</w:t>
      </w:r>
    </w:p>
    <w:p w14:paraId="79E36551"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Documentation Gaps</w:t>
      </w:r>
      <w:r w:rsidRPr="005015E7">
        <w:rPr>
          <w:rFonts w:ascii="Times New Roman" w:hAnsi="Times New Roman" w:cs="Times New Roman"/>
          <w:sz w:val="24"/>
          <w:szCs w:val="24"/>
        </w:rPr>
        <w:t>: Traditional scoring generates paper records or unstructured data, making longitudinal comparisons, cross-study analysis, and regulatory audit trails difficult to establish and maintain[2].</w:t>
      </w:r>
    </w:p>
    <w:p w14:paraId="23B2D00F"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Limited Standardization</w:t>
      </w:r>
      <w:r w:rsidRPr="005015E7">
        <w:rPr>
          <w:rFonts w:ascii="Times New Roman" w:eastAsia="Georgia" w:hAnsi="Times New Roman" w:cs="Times New Roman"/>
          <w:sz w:val="24"/>
          <w:szCs w:val="24"/>
        </w:rPr>
        <w:t>: While OECD TG 438 defines scoring ranges (e.g., opacity 0–4 scale), the precise visual thresholds between categories remain subjective, leading to scoring drift over time and across analysts[3].</w:t>
      </w:r>
    </w:p>
    <w:p w14:paraId="1DE49E34" w14:textId="77777777" w:rsidR="007E50D3" w:rsidRPr="005015E7" w:rsidRDefault="00000000" w:rsidP="005015E7">
      <w:pPr>
        <w:spacing w:before="240" w:line="276" w:lineRule="auto"/>
        <w:jc w:val="both"/>
        <w:rPr>
          <w:rFonts w:ascii="Times New Roman" w:hAnsi="Times New Roman" w:cs="Times New Roman"/>
          <w:sz w:val="24"/>
          <w:szCs w:val="24"/>
        </w:rPr>
      </w:pPr>
      <w:bookmarkStart w:id="4" w:name="bm_1_2_advances_in_digital_toxico_3c79b9"/>
      <w:r w:rsidRPr="005015E7">
        <w:rPr>
          <w:rFonts w:ascii="Times New Roman" w:hAnsi="Times New Roman" w:cs="Times New Roman"/>
          <w:b/>
          <w:sz w:val="24"/>
          <w:szCs w:val="24"/>
        </w:rPr>
        <w:t>1.2 Advances in Digital Toxicology and Image Analysis</w:t>
      </w:r>
      <w:bookmarkEnd w:id="4"/>
    </w:p>
    <w:p w14:paraId="6695E0B1"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Recent advances in image processing, machine learning, and computer vision have enabled transformation of qualitative visual assessments into objective, quantifiable metrics across diverse biomedical domains[4][5]. In ophthalmology and ocular toxicology specifically, automated approaches for corneal staining analysis, tear film assessment, and anterior segment imaging have demonstrated high correlation with manual grading while substantially reducing operator bias and analysis time[5][6].</w:t>
      </w:r>
    </w:p>
    <w:p w14:paraId="1ED9E229" w14:textId="77777777" w:rsidR="007E50D3" w:rsidRPr="005015E7" w:rsidRDefault="00000000" w:rsidP="005015E7">
      <w:pPr>
        <w:spacing w:before="240" w:line="276" w:lineRule="auto"/>
        <w:jc w:val="both"/>
        <w:rPr>
          <w:rFonts w:ascii="Times New Roman" w:hAnsi="Times New Roman" w:cs="Times New Roman"/>
          <w:sz w:val="24"/>
          <w:szCs w:val="24"/>
        </w:rPr>
      </w:pPr>
      <w:bookmarkStart w:id="5" w:name="bm_1_3_purpose_of_this_review"/>
      <w:r w:rsidRPr="005015E7">
        <w:rPr>
          <w:rFonts w:ascii="Times New Roman" w:hAnsi="Times New Roman" w:cs="Times New Roman"/>
          <w:b/>
          <w:sz w:val="24"/>
          <w:szCs w:val="24"/>
        </w:rPr>
        <w:t>1.3 Purpose of This Review</w:t>
      </w:r>
      <w:bookmarkEnd w:id="5"/>
    </w:p>
    <w:p w14:paraId="27C5FC0A"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This review synthesizes current knowledge on digital and AI-driven platforms for ocular safety assessment, with specific focus on ICE test automation. We examine existing tools, their technical architectures, regulatory positioning, and identified limitations. We then present a detailed characterization of the ICE Test Analysis Tool, a novel platform designed to comprehensively address gaps in current approaches by delivering fully automated, OECD-aligned, and operationally streamlined assessment of corneal toxicity endpoints.</w:t>
      </w:r>
    </w:p>
    <w:p w14:paraId="7162C77F" w14:textId="4369C37E" w:rsidR="007E50D3" w:rsidRPr="005015E7" w:rsidRDefault="007E50D3" w:rsidP="005015E7">
      <w:pPr>
        <w:spacing w:line="276" w:lineRule="auto"/>
        <w:jc w:val="both"/>
        <w:rPr>
          <w:rFonts w:ascii="Times New Roman" w:hAnsi="Times New Roman" w:cs="Times New Roman"/>
          <w:sz w:val="24"/>
          <w:szCs w:val="24"/>
        </w:rPr>
      </w:pPr>
    </w:p>
    <w:p w14:paraId="758C585B" w14:textId="77777777" w:rsidR="007E50D3" w:rsidRPr="005015E7" w:rsidRDefault="00000000" w:rsidP="005015E7">
      <w:pPr>
        <w:spacing w:before="240" w:line="276" w:lineRule="auto"/>
        <w:jc w:val="both"/>
        <w:rPr>
          <w:rFonts w:ascii="Times New Roman" w:hAnsi="Times New Roman" w:cs="Times New Roman"/>
          <w:sz w:val="24"/>
          <w:szCs w:val="24"/>
        </w:rPr>
      </w:pPr>
      <w:bookmarkStart w:id="6" w:name="bm_2_overview_of_existing_digital_5c0280"/>
      <w:r w:rsidRPr="005015E7">
        <w:rPr>
          <w:rFonts w:ascii="Times New Roman" w:hAnsi="Times New Roman" w:cs="Times New Roman"/>
          <w:b/>
          <w:sz w:val="24"/>
          <w:szCs w:val="24"/>
        </w:rPr>
        <w:t>2. Overview of Existing Digital and Automated Platforms for Ocular Toxicity Assessment</w:t>
      </w:r>
      <w:bookmarkEnd w:id="6"/>
    </w:p>
    <w:p w14:paraId="242699C4" w14:textId="77777777" w:rsidR="007E50D3" w:rsidRPr="005015E7" w:rsidRDefault="00000000" w:rsidP="005015E7">
      <w:pPr>
        <w:spacing w:before="240" w:line="276" w:lineRule="auto"/>
        <w:jc w:val="both"/>
        <w:rPr>
          <w:rFonts w:ascii="Times New Roman" w:hAnsi="Times New Roman" w:cs="Times New Roman"/>
          <w:sz w:val="24"/>
          <w:szCs w:val="24"/>
        </w:rPr>
      </w:pPr>
      <w:bookmarkStart w:id="7" w:name="bm_2_1_traditional_manual_scoring_dd37ef"/>
      <w:r w:rsidRPr="005015E7">
        <w:rPr>
          <w:rFonts w:ascii="Times New Roman" w:hAnsi="Times New Roman" w:cs="Times New Roman"/>
          <w:b/>
          <w:sz w:val="24"/>
          <w:szCs w:val="24"/>
        </w:rPr>
        <w:t>2.1 Traditional Manual Scoring Baseline</w:t>
      </w:r>
      <w:bookmarkEnd w:id="7"/>
    </w:p>
    <w:p w14:paraId="77E5ADAC"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eastAsia="Georgia" w:hAnsi="Times New Roman" w:cs="Times New Roman"/>
          <w:sz w:val="24"/>
          <w:szCs w:val="24"/>
        </w:rPr>
        <w:lastRenderedPageBreak/>
        <w:t>Manual ICE assessment, performed by trained toxicologists, remains the regulatory gold standard and baseline comparator. Scoring is performed using a standardized 0–4 scale for opacity and damage, with pachymetry (ultrasound or optical measurement) for corneal thickness quantification[2]. While direct alignment with OECD TG 438 criteria is assured, subjective variability and operational inefficiency present persistent challenges.</w:t>
      </w:r>
    </w:p>
    <w:p w14:paraId="41448589"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Strengths</w:t>
      </w:r>
      <w:r w:rsidRPr="005015E7">
        <w:rPr>
          <w:rFonts w:ascii="Times New Roman" w:hAnsi="Times New Roman" w:cs="Times New Roman"/>
          <w:sz w:val="24"/>
          <w:szCs w:val="24"/>
        </w:rPr>
        <w:t>: Direct regulatory acceptance; established validation database spanning decades of use.</w:t>
      </w:r>
    </w:p>
    <w:p w14:paraId="7CC3C1E4"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Limitations</w:t>
      </w:r>
      <w:r w:rsidRPr="005015E7">
        <w:rPr>
          <w:rFonts w:ascii="Times New Roman" w:hAnsi="Times New Roman" w:cs="Times New Roman"/>
          <w:sz w:val="24"/>
          <w:szCs w:val="24"/>
        </w:rPr>
        <w:t>: High inter-observer variability; slow throughput; poor scalability for high-volume pipelines; limited digital traceability[1][2].</w:t>
      </w:r>
    </w:p>
    <w:p w14:paraId="7CF241F5" w14:textId="77777777" w:rsidR="007E50D3" w:rsidRPr="005015E7" w:rsidRDefault="00000000" w:rsidP="005015E7">
      <w:pPr>
        <w:spacing w:before="240" w:line="276" w:lineRule="auto"/>
        <w:jc w:val="both"/>
        <w:rPr>
          <w:rFonts w:ascii="Times New Roman" w:hAnsi="Times New Roman" w:cs="Times New Roman"/>
          <w:sz w:val="24"/>
          <w:szCs w:val="24"/>
        </w:rPr>
      </w:pPr>
      <w:bookmarkStart w:id="8" w:name="bm_2_2_wavefront_and_topographic_63e708"/>
      <w:r w:rsidRPr="005015E7">
        <w:rPr>
          <w:rFonts w:ascii="Times New Roman" w:hAnsi="Times New Roman" w:cs="Times New Roman"/>
          <w:b/>
          <w:sz w:val="24"/>
          <w:szCs w:val="24"/>
        </w:rPr>
        <w:t>2.2 Wavefront and Topographic Imaging Systems (</w:t>
      </w:r>
      <w:proofErr w:type="spellStart"/>
      <w:r w:rsidRPr="005015E7">
        <w:rPr>
          <w:rFonts w:ascii="Times New Roman" w:hAnsi="Times New Roman" w:cs="Times New Roman"/>
          <w:b/>
          <w:sz w:val="24"/>
          <w:szCs w:val="24"/>
        </w:rPr>
        <w:t>iTrace</w:t>
      </w:r>
      <w:proofErr w:type="spellEnd"/>
      <w:r w:rsidRPr="005015E7">
        <w:rPr>
          <w:rFonts w:ascii="Times New Roman" w:hAnsi="Times New Roman" w:cs="Times New Roman"/>
          <w:b/>
          <w:sz w:val="24"/>
          <w:szCs w:val="24"/>
        </w:rPr>
        <w:t xml:space="preserve"> Platform)</w:t>
      </w:r>
      <w:bookmarkEnd w:id="8"/>
    </w:p>
    <w:p w14:paraId="74D95733"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 xml:space="preserve">Wavefront </w:t>
      </w:r>
      <w:proofErr w:type="spellStart"/>
      <w:r w:rsidRPr="005015E7">
        <w:rPr>
          <w:rFonts w:ascii="Times New Roman" w:hAnsi="Times New Roman" w:cs="Times New Roman"/>
          <w:sz w:val="24"/>
          <w:szCs w:val="24"/>
        </w:rPr>
        <w:t>aberrometry</w:t>
      </w:r>
      <w:proofErr w:type="spellEnd"/>
      <w:r w:rsidRPr="005015E7">
        <w:rPr>
          <w:rFonts w:ascii="Times New Roman" w:hAnsi="Times New Roman" w:cs="Times New Roman"/>
          <w:sz w:val="24"/>
          <w:szCs w:val="24"/>
        </w:rPr>
        <w:t xml:space="preserve"> and </w:t>
      </w:r>
      <w:proofErr w:type="spellStart"/>
      <w:r w:rsidRPr="005015E7">
        <w:rPr>
          <w:rFonts w:ascii="Times New Roman" w:hAnsi="Times New Roman" w:cs="Times New Roman"/>
          <w:sz w:val="24"/>
          <w:szCs w:val="24"/>
        </w:rPr>
        <w:t>Scheimpflug</w:t>
      </w:r>
      <w:proofErr w:type="spellEnd"/>
      <w:r w:rsidRPr="005015E7">
        <w:rPr>
          <w:rFonts w:ascii="Times New Roman" w:hAnsi="Times New Roman" w:cs="Times New Roman"/>
          <w:sz w:val="24"/>
          <w:szCs w:val="24"/>
        </w:rPr>
        <w:t xml:space="preserve"> corneal topography systems, exemplified by the </w:t>
      </w:r>
      <w:proofErr w:type="spellStart"/>
      <w:r w:rsidRPr="005015E7">
        <w:rPr>
          <w:rFonts w:ascii="Times New Roman" w:hAnsi="Times New Roman" w:cs="Times New Roman"/>
          <w:sz w:val="24"/>
          <w:szCs w:val="24"/>
        </w:rPr>
        <w:t>iTrace</w:t>
      </w:r>
      <w:proofErr w:type="spellEnd"/>
      <w:r w:rsidRPr="005015E7">
        <w:rPr>
          <w:rFonts w:ascii="Times New Roman" w:hAnsi="Times New Roman" w:cs="Times New Roman"/>
          <w:sz w:val="24"/>
          <w:szCs w:val="24"/>
        </w:rPr>
        <w:t xml:space="preserve"> instrument, provide objective, quantitative mapping of corneal surface geometry and optical properties[7]. These platforms utilize ray-tracing technology to generate complete topographic profiles including keratometry, pachymetry, and aberration analysis within 60 seconds[7].</w:t>
      </w:r>
    </w:p>
    <w:p w14:paraId="50F341D4"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Capabilities</w:t>
      </w:r>
      <w:r w:rsidRPr="005015E7">
        <w:rPr>
          <w:rFonts w:ascii="Times New Roman" w:hAnsi="Times New Roman" w:cs="Times New Roman"/>
          <w:sz w:val="24"/>
          <w:szCs w:val="24"/>
        </w:rPr>
        <w:t>: Automated corneal thickness measurement; topographic mapping; optical wavefront analysis; no subjective operator input.</w:t>
      </w:r>
    </w:p>
    <w:p w14:paraId="1F313710"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Strengths</w:t>
      </w:r>
      <w:r w:rsidRPr="005015E7">
        <w:rPr>
          <w:rFonts w:ascii="Times New Roman" w:hAnsi="Times New Roman" w:cs="Times New Roman"/>
          <w:sz w:val="24"/>
          <w:szCs w:val="24"/>
        </w:rPr>
        <w:t>: Rapid, objective measurement; high precision in thickness quantification; extensive adoption in clinical ophthalmology; repeatable data generation[7].</w:t>
      </w:r>
    </w:p>
    <w:p w14:paraId="3E1A1A82"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Limitations</w:t>
      </w:r>
      <w:r w:rsidRPr="005015E7">
        <w:rPr>
          <w:rFonts w:ascii="Times New Roman" w:hAnsi="Times New Roman" w:cs="Times New Roman"/>
          <w:sz w:val="24"/>
          <w:szCs w:val="24"/>
        </w:rPr>
        <w:t>: Not designed for opacity or damage assessment; no fluorescein staining analysis; limited capacity to distinguish toxic injury patterns from normal corneal variation; high instrumentation cost; designed for clinical rather than toxicology workflows[7].</w:t>
      </w:r>
    </w:p>
    <w:p w14:paraId="0A77C1D3" w14:textId="77777777" w:rsidR="007E50D3" w:rsidRPr="005015E7" w:rsidRDefault="00000000" w:rsidP="005015E7">
      <w:pPr>
        <w:spacing w:before="240" w:line="276" w:lineRule="auto"/>
        <w:jc w:val="both"/>
        <w:rPr>
          <w:rFonts w:ascii="Times New Roman" w:hAnsi="Times New Roman" w:cs="Times New Roman"/>
          <w:sz w:val="24"/>
          <w:szCs w:val="24"/>
        </w:rPr>
      </w:pPr>
      <w:bookmarkStart w:id="9" w:name="bm_2_3_computer_vision_based_corn_f35e2c"/>
      <w:r w:rsidRPr="005015E7">
        <w:rPr>
          <w:rFonts w:ascii="Times New Roman" w:eastAsia="Georgia" w:hAnsi="Times New Roman" w:cs="Times New Roman"/>
          <w:b/>
          <w:sz w:val="24"/>
          <w:szCs w:val="24"/>
        </w:rPr>
        <w:t>2.3 Computer Vision–Based Corneal Staining Analysis</w:t>
      </w:r>
      <w:bookmarkEnd w:id="9"/>
    </w:p>
    <w:p w14:paraId="2F5371E7"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Automated systems for corneal fluorescein staining assessment, exemplified by the work of Rodriguez et al., integrate OpenCV computer vision libraries with slit-lamp photography to quantify punctate staining patterns[5]. The system automatically segments stained regions, counts abnormal dots, and assigns severity categories using machine-learning clustering[5].</w:t>
      </w:r>
    </w:p>
    <w:p w14:paraId="2F4571E0"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Capabilities</w:t>
      </w:r>
      <w:r w:rsidRPr="005015E7">
        <w:rPr>
          <w:rFonts w:ascii="Times New Roman" w:hAnsi="Times New Roman" w:cs="Times New Roman"/>
          <w:sz w:val="24"/>
          <w:szCs w:val="24"/>
        </w:rPr>
        <w:t>: Objective fluorescein staining quantification; automated punctate lesion counting; severity classification; operator-independent scoring.</w:t>
      </w:r>
    </w:p>
    <w:p w14:paraId="162E78BE"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Strengths</w:t>
      </w:r>
      <w:r w:rsidRPr="005015E7">
        <w:rPr>
          <w:rFonts w:ascii="Times New Roman" w:hAnsi="Times New Roman" w:cs="Times New Roman"/>
          <w:sz w:val="24"/>
          <w:szCs w:val="24"/>
        </w:rPr>
        <w:t>: Excellent inter-observer and intra-observer reliability compared to manual assessment (CCC &gt; 0.85); reduced subjectivity; applicable to multicentered clinical trials[5].</w:t>
      </w:r>
    </w:p>
    <w:p w14:paraId="0FDAC6C0"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lastRenderedPageBreak/>
        <w:t>Limitations</w:t>
      </w:r>
      <w:r w:rsidRPr="005015E7">
        <w:rPr>
          <w:rFonts w:ascii="Times New Roman" w:hAnsi="Times New Roman" w:cs="Times New Roman"/>
          <w:sz w:val="24"/>
          <w:szCs w:val="24"/>
        </w:rPr>
        <w:t>: Focuses exclusively on fluorescein retention, not opacity or swelling; requires standardized slit-lamp setup; limited applicability to ICE test workflow; no interpretation engine for toxicology classification[5].</w:t>
      </w:r>
    </w:p>
    <w:p w14:paraId="5707704A" w14:textId="77777777" w:rsidR="007E50D3" w:rsidRPr="005015E7" w:rsidRDefault="00000000" w:rsidP="005015E7">
      <w:pPr>
        <w:spacing w:before="240" w:line="276" w:lineRule="auto"/>
        <w:jc w:val="both"/>
        <w:rPr>
          <w:rFonts w:ascii="Times New Roman" w:hAnsi="Times New Roman" w:cs="Times New Roman"/>
          <w:sz w:val="24"/>
          <w:szCs w:val="24"/>
        </w:rPr>
      </w:pPr>
      <w:bookmarkStart w:id="10" w:name="bm_2_4_tear_film_and_ocular_surfa_1a8dfe"/>
      <w:r w:rsidRPr="005015E7">
        <w:rPr>
          <w:rFonts w:ascii="Times New Roman" w:hAnsi="Times New Roman" w:cs="Times New Roman"/>
          <w:b/>
          <w:sz w:val="24"/>
          <w:szCs w:val="24"/>
        </w:rPr>
        <w:t>2.4 Tear Film and Ocular Surface Analysis Platforms (IDRA System)</w:t>
      </w:r>
      <w:bookmarkEnd w:id="10"/>
    </w:p>
    <w:p w14:paraId="536BBE18"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The IDRA platform utilizes auto-interferometry to quantify tear film lipid layer thickness, non-invasive break-up time (N.I.B.U.T.), and tear meniscus height[8]. While primarily designed for dry eye disease diagnosis, it demonstrates the feasibility of automated ocular surface assessment.</w:t>
      </w:r>
    </w:p>
    <w:p w14:paraId="6768782E"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Capabilities</w:t>
      </w:r>
      <w:r w:rsidRPr="005015E7">
        <w:rPr>
          <w:rFonts w:ascii="Times New Roman" w:hAnsi="Times New Roman" w:cs="Times New Roman"/>
          <w:sz w:val="24"/>
          <w:szCs w:val="24"/>
        </w:rPr>
        <w:t>: Lipid layer thickness measurement; tear meniscus geometry; break-up time quantification; automated analysis.</w:t>
      </w:r>
    </w:p>
    <w:p w14:paraId="2DD77845"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Strengths</w:t>
      </w:r>
      <w:r w:rsidRPr="005015E7">
        <w:rPr>
          <w:rFonts w:ascii="Times New Roman" w:hAnsi="Times New Roman" w:cs="Times New Roman"/>
          <w:sz w:val="24"/>
          <w:szCs w:val="24"/>
        </w:rPr>
        <w:t>: High automation; minimal user training; rapid assessment; FDA-cleared for clinical use.</w:t>
      </w:r>
    </w:p>
    <w:p w14:paraId="3E2DB6B3"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Limitations</w:t>
      </w:r>
      <w:r w:rsidRPr="005015E7">
        <w:rPr>
          <w:rFonts w:ascii="Times New Roman" w:hAnsi="Times New Roman" w:cs="Times New Roman"/>
          <w:sz w:val="24"/>
          <w:szCs w:val="24"/>
        </w:rPr>
        <w:t>: Not designed for toxicity assessment; focuses on tear film rather than corneal structure; no opacity or damage quantification; no OECD alignment[8].</w:t>
      </w:r>
    </w:p>
    <w:p w14:paraId="7AC6BD60" w14:textId="77777777" w:rsidR="007E50D3" w:rsidRPr="005015E7" w:rsidRDefault="00000000" w:rsidP="005015E7">
      <w:pPr>
        <w:spacing w:before="240" w:line="276" w:lineRule="auto"/>
        <w:jc w:val="both"/>
        <w:rPr>
          <w:rFonts w:ascii="Times New Roman" w:hAnsi="Times New Roman" w:cs="Times New Roman"/>
          <w:sz w:val="24"/>
          <w:szCs w:val="24"/>
        </w:rPr>
      </w:pPr>
      <w:bookmarkStart w:id="11" w:name="bm_2_5_advanced_anterior_segment_2118b5"/>
      <w:r w:rsidRPr="005015E7">
        <w:rPr>
          <w:rFonts w:ascii="Times New Roman" w:hAnsi="Times New Roman" w:cs="Times New Roman"/>
          <w:b/>
          <w:sz w:val="24"/>
          <w:szCs w:val="24"/>
        </w:rPr>
        <w:t>2.5 Advanced Anterior Segment Imaging (Swept-Source OCT)</w:t>
      </w:r>
      <w:bookmarkEnd w:id="11"/>
    </w:p>
    <w:p w14:paraId="355C0F9A"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 xml:space="preserve">Swept-source optical coherence tomography (SS-OCT) and </w:t>
      </w:r>
      <w:proofErr w:type="spellStart"/>
      <w:r w:rsidRPr="005015E7">
        <w:rPr>
          <w:rFonts w:ascii="Times New Roman" w:hAnsi="Times New Roman" w:cs="Times New Roman"/>
          <w:sz w:val="24"/>
          <w:szCs w:val="24"/>
        </w:rPr>
        <w:t>Scheimpflug</w:t>
      </w:r>
      <w:proofErr w:type="spellEnd"/>
      <w:r w:rsidRPr="005015E7">
        <w:rPr>
          <w:rFonts w:ascii="Times New Roman" w:hAnsi="Times New Roman" w:cs="Times New Roman"/>
          <w:sz w:val="24"/>
          <w:szCs w:val="24"/>
        </w:rPr>
        <w:t>-based devices provide high-resolution cross-sectional and topographic imaging of the anterior segment[4]. Recent studies demonstrate automated densitometry analysis of lens opacity and corneal structures with comparable or superior performance to manual grading[4].</w:t>
      </w:r>
    </w:p>
    <w:p w14:paraId="27CF4703"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Capabilities</w:t>
      </w:r>
      <w:r w:rsidRPr="005015E7">
        <w:rPr>
          <w:rFonts w:ascii="Times New Roman" w:hAnsi="Times New Roman" w:cs="Times New Roman"/>
          <w:sz w:val="24"/>
          <w:szCs w:val="24"/>
        </w:rPr>
        <w:t>: High-resolution anterior segment imaging; automated tissue densitometry; quantitative thickness and optical density mapping; real-time visualization.</w:t>
      </w:r>
    </w:p>
    <w:p w14:paraId="55E3FD2E"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Strengths</w:t>
      </w:r>
      <w:r w:rsidRPr="005015E7">
        <w:rPr>
          <w:rFonts w:ascii="Times New Roman" w:eastAsia="Georgia" w:hAnsi="Times New Roman" w:cs="Times New Roman"/>
          <w:sz w:val="24"/>
          <w:szCs w:val="24"/>
        </w:rPr>
        <w:t>: Superior imaging resolution; objective density quantification; potential for deep learning–enhanced analysis; high repeatability.</w:t>
      </w:r>
    </w:p>
    <w:p w14:paraId="2674A54E"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Limitations</w:t>
      </w:r>
      <w:r w:rsidRPr="005015E7">
        <w:rPr>
          <w:rFonts w:ascii="Times New Roman" w:hAnsi="Times New Roman" w:cs="Times New Roman"/>
          <w:sz w:val="24"/>
          <w:szCs w:val="24"/>
        </w:rPr>
        <w:t>: Expensive instrumentation; designed primarily for clinical ophthalmology; limited toxicology-specific interpretation frameworks; no ICE test validation data available[4].</w:t>
      </w:r>
    </w:p>
    <w:p w14:paraId="63F661C6" w14:textId="4B7D9BC1" w:rsidR="007E50D3" w:rsidRPr="005015E7" w:rsidRDefault="007E50D3" w:rsidP="005015E7">
      <w:pPr>
        <w:spacing w:line="276" w:lineRule="auto"/>
        <w:jc w:val="both"/>
        <w:rPr>
          <w:rFonts w:ascii="Times New Roman" w:hAnsi="Times New Roman" w:cs="Times New Roman"/>
          <w:sz w:val="24"/>
          <w:szCs w:val="24"/>
        </w:rPr>
      </w:pPr>
    </w:p>
    <w:p w14:paraId="7E11CADC" w14:textId="77777777" w:rsidR="007E50D3" w:rsidRPr="005015E7" w:rsidRDefault="00000000" w:rsidP="005015E7">
      <w:pPr>
        <w:spacing w:before="240" w:line="276" w:lineRule="auto"/>
        <w:jc w:val="both"/>
        <w:rPr>
          <w:rFonts w:ascii="Times New Roman" w:hAnsi="Times New Roman" w:cs="Times New Roman"/>
          <w:sz w:val="24"/>
          <w:szCs w:val="24"/>
        </w:rPr>
      </w:pPr>
      <w:bookmarkStart w:id="12" w:name="bm_3_comparative_evaluation_framework"/>
      <w:r w:rsidRPr="005015E7">
        <w:rPr>
          <w:rFonts w:ascii="Times New Roman" w:hAnsi="Times New Roman" w:cs="Times New Roman"/>
          <w:b/>
          <w:sz w:val="24"/>
          <w:szCs w:val="24"/>
        </w:rPr>
        <w:t>3. Comparative Evaluation Framework</w:t>
      </w:r>
      <w:bookmarkEnd w:id="12"/>
    </w:p>
    <w:p w14:paraId="0BA04346"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A structured comparison of existing platforms reveals critical gaps in current approaches to automated ICE assessment. The following parameters guide our analysis[1][2][3]:</w:t>
      </w:r>
    </w:p>
    <w:p w14:paraId="1E4196E5"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Image Processing Technique</w:t>
      </w:r>
      <w:r w:rsidRPr="005015E7">
        <w:rPr>
          <w:rFonts w:ascii="Times New Roman" w:hAnsi="Times New Roman" w:cs="Times New Roman"/>
          <w:sz w:val="24"/>
          <w:szCs w:val="24"/>
        </w:rPr>
        <w:t>: Underlying algorithmic approach (e.g., intensity profiling, segmentation, topography, interferometry).</w:t>
      </w:r>
    </w:p>
    <w:p w14:paraId="55468716"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lastRenderedPageBreak/>
        <w:t>Opacity Measurement Method</w:t>
      </w:r>
      <w:r w:rsidRPr="005015E7">
        <w:rPr>
          <w:rFonts w:ascii="Times New Roman" w:hAnsi="Times New Roman" w:cs="Times New Roman"/>
          <w:sz w:val="24"/>
          <w:szCs w:val="24"/>
        </w:rPr>
        <w:t>: Ability to quantify corneal cloudiness on a standardized scale.</w:t>
      </w:r>
    </w:p>
    <w:p w14:paraId="0DB9442B"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Swelling/Thickness Quantification</w:t>
      </w:r>
      <w:r w:rsidRPr="005015E7">
        <w:rPr>
          <w:rFonts w:ascii="Times New Roman" w:hAnsi="Times New Roman" w:cs="Times New Roman"/>
          <w:sz w:val="24"/>
          <w:szCs w:val="24"/>
        </w:rPr>
        <w:t>: Capacity to measure and report corneal thickness changes (mm or percentage).</w:t>
      </w:r>
    </w:p>
    <w:p w14:paraId="1778CBB0"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Fluorescein Retention Detection</w:t>
      </w:r>
      <w:r w:rsidRPr="005015E7">
        <w:rPr>
          <w:rFonts w:ascii="Times New Roman" w:hAnsi="Times New Roman" w:cs="Times New Roman"/>
          <w:sz w:val="24"/>
          <w:szCs w:val="24"/>
        </w:rPr>
        <w:t>: Capability to identify and score epithelial damage via fluorescein staining.</w:t>
      </w:r>
    </w:p>
    <w:p w14:paraId="102ADCE8"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AI/ML Integration</w:t>
      </w:r>
      <w:r w:rsidRPr="005015E7">
        <w:rPr>
          <w:rFonts w:ascii="Times New Roman" w:hAnsi="Times New Roman" w:cs="Times New Roman"/>
          <w:sz w:val="24"/>
          <w:szCs w:val="24"/>
        </w:rPr>
        <w:t>: Presence and sophistication of machine-learning components.</w:t>
      </w:r>
    </w:p>
    <w:p w14:paraId="57696C13"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OECD TG 438 Alignment</w:t>
      </w:r>
      <w:r w:rsidRPr="005015E7">
        <w:rPr>
          <w:rFonts w:ascii="Times New Roman" w:hAnsi="Times New Roman" w:cs="Times New Roman"/>
          <w:sz w:val="24"/>
          <w:szCs w:val="24"/>
        </w:rPr>
        <w:t>: Direct applicability to regulatory OECD 438 decision criteria.</w:t>
      </w:r>
    </w:p>
    <w:p w14:paraId="0263ECCC"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User Interface and Workflow</w:t>
      </w:r>
      <w:r w:rsidRPr="005015E7">
        <w:rPr>
          <w:rFonts w:ascii="Times New Roman" w:hAnsi="Times New Roman" w:cs="Times New Roman"/>
          <w:sz w:val="24"/>
          <w:szCs w:val="24"/>
        </w:rPr>
        <w:t>: Operational simplicity and training requirements.</w:t>
      </w:r>
    </w:p>
    <w:p w14:paraId="4E80040F"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Reporting and Interpretation</w:t>
      </w:r>
      <w:r w:rsidRPr="005015E7">
        <w:rPr>
          <w:rFonts w:ascii="Times New Roman" w:hAnsi="Times New Roman" w:cs="Times New Roman"/>
          <w:sz w:val="24"/>
          <w:szCs w:val="24"/>
        </w:rPr>
        <w:t>: Integration of numerical outputs into toxicology-style summaries and severity classification.</w:t>
      </w:r>
    </w:p>
    <w:p w14:paraId="202884E7"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Regulatory Compliance</w:t>
      </w:r>
      <w:r w:rsidRPr="005015E7">
        <w:rPr>
          <w:rFonts w:ascii="Times New Roman" w:hAnsi="Times New Roman" w:cs="Times New Roman"/>
          <w:sz w:val="24"/>
          <w:szCs w:val="24"/>
        </w:rPr>
        <w:t>: Suitability for regulated (GLP, ISO-certified) environments.</w:t>
      </w:r>
    </w:p>
    <w:p w14:paraId="4D7F470B"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Scalability</w:t>
      </w:r>
      <w:r w:rsidRPr="005015E7">
        <w:rPr>
          <w:rFonts w:ascii="Times New Roman" w:hAnsi="Times New Roman" w:cs="Times New Roman"/>
          <w:sz w:val="24"/>
          <w:szCs w:val="24"/>
        </w:rPr>
        <w:t>: Feasibility for low-throughput research and high-volume regulatory pipelines.</w:t>
      </w:r>
    </w:p>
    <w:p w14:paraId="26D54285"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Existing platforms demonstrate strengths in isolated dimensions (topographic precision, imaging resolution, clinical implementation) but fail to provide a unified solution combining all critical ICE endpoints, robust interpretation logic, minimal operational complexity, and direct OECD regulatory alignment. This gap creates both a clinical need and a market opportunity for integrated, toxicology-specific automation.</w:t>
      </w:r>
    </w:p>
    <w:p w14:paraId="5E65B3C5" w14:textId="2CCD12EE" w:rsidR="007E50D3" w:rsidRPr="005015E7" w:rsidRDefault="007E50D3" w:rsidP="005015E7">
      <w:pPr>
        <w:spacing w:line="276" w:lineRule="auto"/>
        <w:jc w:val="both"/>
        <w:rPr>
          <w:rFonts w:ascii="Times New Roman" w:hAnsi="Times New Roman" w:cs="Times New Roman"/>
          <w:sz w:val="24"/>
          <w:szCs w:val="24"/>
        </w:rPr>
      </w:pPr>
    </w:p>
    <w:p w14:paraId="7EAE6308" w14:textId="77777777" w:rsidR="007E50D3" w:rsidRPr="005015E7" w:rsidRDefault="00000000" w:rsidP="005015E7">
      <w:pPr>
        <w:spacing w:before="240" w:line="276" w:lineRule="auto"/>
        <w:jc w:val="both"/>
        <w:rPr>
          <w:rFonts w:ascii="Times New Roman" w:hAnsi="Times New Roman" w:cs="Times New Roman"/>
          <w:sz w:val="24"/>
          <w:szCs w:val="24"/>
        </w:rPr>
      </w:pPr>
      <w:bookmarkStart w:id="13" w:name="bm_4_the_ice_test_analysis_tool_a_745188"/>
      <w:r w:rsidRPr="005015E7">
        <w:rPr>
          <w:rFonts w:ascii="Times New Roman" w:hAnsi="Times New Roman" w:cs="Times New Roman"/>
          <w:b/>
          <w:sz w:val="24"/>
          <w:szCs w:val="24"/>
        </w:rPr>
        <w:t>4. The ICE Test Analysis Tool: Architecture, Methodology, and Unique Contributions</w:t>
      </w:r>
      <w:bookmarkEnd w:id="13"/>
    </w:p>
    <w:p w14:paraId="031A1B47" w14:textId="77777777" w:rsidR="007E50D3" w:rsidRPr="005015E7" w:rsidRDefault="00000000" w:rsidP="005015E7">
      <w:pPr>
        <w:spacing w:before="240" w:line="276" w:lineRule="auto"/>
        <w:jc w:val="both"/>
        <w:rPr>
          <w:rFonts w:ascii="Times New Roman" w:hAnsi="Times New Roman" w:cs="Times New Roman"/>
          <w:sz w:val="24"/>
          <w:szCs w:val="24"/>
        </w:rPr>
      </w:pPr>
      <w:bookmarkStart w:id="14" w:name="bm_4_1_integrated_system_architecture"/>
      <w:r w:rsidRPr="005015E7">
        <w:rPr>
          <w:rFonts w:ascii="Times New Roman" w:hAnsi="Times New Roman" w:cs="Times New Roman"/>
          <w:b/>
          <w:sz w:val="24"/>
          <w:szCs w:val="24"/>
        </w:rPr>
        <w:t>4.1 Integrated System Architecture</w:t>
      </w:r>
      <w:bookmarkEnd w:id="14"/>
    </w:p>
    <w:p w14:paraId="1B951F87"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The ICE Test Analysis Tool comprises four synergistic modules designed specifically for toxicology workflows:</w:t>
      </w:r>
    </w:p>
    <w:p w14:paraId="42E74261"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Image Input and Preprocessing Module</w:t>
      </w:r>
      <w:r w:rsidRPr="005015E7">
        <w:rPr>
          <w:rFonts w:ascii="Times New Roman" w:eastAsia="Georgia" w:hAnsi="Times New Roman" w:cs="Times New Roman"/>
          <w:sz w:val="24"/>
          <w:szCs w:val="24"/>
        </w:rPr>
        <w:t>: Accepts standard corneal photographs (JPEG, PNG) from 1–3 replicate eyes; performs automated region-of-interest isolation, illumination normalization, and noise reduction to standardize image quality prior to analysis[1].</w:t>
      </w:r>
    </w:p>
    <w:p w14:paraId="3CEA66E5"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Measurement Extraction Engine</w:t>
      </w:r>
      <w:r w:rsidRPr="005015E7">
        <w:rPr>
          <w:rFonts w:ascii="Times New Roman" w:hAnsi="Times New Roman" w:cs="Times New Roman"/>
          <w:sz w:val="24"/>
          <w:szCs w:val="24"/>
        </w:rPr>
        <w:t>: Employs hybrid computer vision techniques including geometric boundary detection for thickness estimation, optical intensity profiling for opacity quantification, colorimetric analysis for vascular redness scoring, and texture-based irregularity metrics for damage pattern detection[1].</w:t>
      </w:r>
    </w:p>
    <w:p w14:paraId="077A2900"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lastRenderedPageBreak/>
        <w:t>Toxicology Interpretation Engine</w:t>
      </w:r>
      <w:r w:rsidRPr="005015E7">
        <w:rPr>
          <w:rFonts w:ascii="Times New Roman" w:eastAsia="Georgia" w:hAnsi="Times New Roman" w:cs="Times New Roman"/>
          <w:sz w:val="24"/>
          <w:szCs w:val="24"/>
        </w:rPr>
        <w:t>: Converts extracted numerical parameters into OECD TG 438–aligned severity classifications; computes mean values across replicates; applies decision criteria for irritancy classification (non-irritant, irritant, corrosive)[2].</w:t>
      </w:r>
    </w:p>
    <w:p w14:paraId="74839540"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Report Generation Module</w:t>
      </w:r>
      <w:r w:rsidRPr="005015E7">
        <w:rPr>
          <w:rFonts w:ascii="Times New Roman" w:hAnsi="Times New Roman" w:cs="Times New Roman"/>
          <w:sz w:val="24"/>
          <w:szCs w:val="24"/>
        </w:rPr>
        <w:t>: Produces standardized, PDF-formatted toxicology summaries with embedded measurements, mean values, severity classifications, and regulatory-friendly formatting suitable for submission to regulatory agencies[2].</w:t>
      </w:r>
    </w:p>
    <w:p w14:paraId="7701B78D" w14:textId="77777777" w:rsidR="007E50D3" w:rsidRPr="005015E7" w:rsidRDefault="00000000" w:rsidP="005015E7">
      <w:pPr>
        <w:spacing w:before="240" w:line="276" w:lineRule="auto"/>
        <w:jc w:val="both"/>
        <w:rPr>
          <w:rFonts w:ascii="Times New Roman" w:hAnsi="Times New Roman" w:cs="Times New Roman"/>
          <w:sz w:val="24"/>
          <w:szCs w:val="24"/>
        </w:rPr>
      </w:pPr>
      <w:bookmarkStart w:id="15" w:name="bm_4_2_methodological_innovations"/>
      <w:r w:rsidRPr="005015E7">
        <w:rPr>
          <w:rFonts w:ascii="Times New Roman" w:hAnsi="Times New Roman" w:cs="Times New Roman"/>
          <w:b/>
          <w:sz w:val="24"/>
          <w:szCs w:val="24"/>
        </w:rPr>
        <w:t>4.2 Methodological Innovations</w:t>
      </w:r>
      <w:bookmarkEnd w:id="15"/>
    </w:p>
    <w:p w14:paraId="17EB8D71"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Unified Automated Scoring</w:t>
      </w:r>
      <w:r w:rsidRPr="005015E7">
        <w:rPr>
          <w:rFonts w:ascii="Times New Roman" w:eastAsia="Georgia" w:hAnsi="Times New Roman" w:cs="Times New Roman"/>
          <w:sz w:val="24"/>
          <w:szCs w:val="24"/>
        </w:rPr>
        <w:t>: Unlike existing platforms addressing isolated endpoints, the ICE Test Analysis Tool simultaneously quantifies opacity (0–4 scale, mapped from pixel intensity), swelling (mm, derived from corneal boundary modeling), redness (colorimetric intensity index), and damage pattern (texture-based irregularity score). This unified approach enables comprehensive assessment within a single analysis workflow[1][2].</w:t>
      </w:r>
    </w:p>
    <w:p w14:paraId="429DED36"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OECD-Aligned Interpretation Engine</w:t>
      </w:r>
      <w:r w:rsidRPr="005015E7">
        <w:rPr>
          <w:rFonts w:ascii="Times New Roman" w:hAnsi="Times New Roman" w:cs="Times New Roman"/>
          <w:sz w:val="24"/>
          <w:szCs w:val="24"/>
        </w:rPr>
        <w:t>: Built-in severity classification directly maps extracted parameters to OECD TG 438 decision criteria, automating the conversion from numerical measurements to regulatory classifications without requiring external reference tables or expert judgment[2][3].</w:t>
      </w:r>
    </w:p>
    <w:p w14:paraId="3FA1FD32"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Multi-Image Averaging and Rigorous Statistics</w:t>
      </w:r>
      <w:r w:rsidRPr="005015E7">
        <w:rPr>
          <w:rFonts w:ascii="Times New Roman" w:hAnsi="Times New Roman" w:cs="Times New Roman"/>
          <w:sz w:val="24"/>
          <w:szCs w:val="24"/>
        </w:rPr>
        <w:t>: For studies employing replicate eyes (standard practice), the tool automatically computes mean values, standard deviations, and coefficient of variation across images, supporting robust statistical inference and reducing the impact of individual image quality variations[1].</w:t>
      </w:r>
    </w:p>
    <w:p w14:paraId="447B3311"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Computer Vision–Driven Precision</w:t>
      </w:r>
      <w:r w:rsidRPr="005015E7">
        <w:rPr>
          <w:rFonts w:ascii="Times New Roman" w:hAnsi="Times New Roman" w:cs="Times New Roman"/>
          <w:sz w:val="24"/>
          <w:szCs w:val="24"/>
        </w:rPr>
        <w:t>: Integration of advanced segmentation, intensity mapping, and texture analysis provides objective feature extraction independent of observer bias, operator training, or environmental conditions[1].</w:t>
      </w:r>
    </w:p>
    <w:p w14:paraId="4562ED17"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Integrated Reporting</w:t>
      </w:r>
      <w:r w:rsidRPr="005015E7">
        <w:rPr>
          <w:rFonts w:ascii="Times New Roman" w:hAnsi="Times New Roman" w:cs="Times New Roman"/>
          <w:sz w:val="24"/>
          <w:szCs w:val="24"/>
        </w:rPr>
        <w:t>: PDF reports embed numerical results, graphical representations, mean value tables, severity classifications, and OECD-aligned interpretation in a single, auditable document suitable for regulatory submission and archived record-keeping[2].</w:t>
      </w:r>
    </w:p>
    <w:p w14:paraId="7F2E63FE" w14:textId="77777777" w:rsidR="007E50D3" w:rsidRPr="005015E7" w:rsidRDefault="00000000" w:rsidP="005015E7">
      <w:pPr>
        <w:spacing w:before="240" w:line="276" w:lineRule="auto"/>
        <w:jc w:val="both"/>
        <w:rPr>
          <w:rFonts w:ascii="Times New Roman" w:hAnsi="Times New Roman" w:cs="Times New Roman"/>
          <w:sz w:val="24"/>
          <w:szCs w:val="24"/>
        </w:rPr>
      </w:pPr>
      <w:bookmarkStart w:id="16" w:name="bm_4_3_operational_simplicity_and_c58116"/>
      <w:r w:rsidRPr="005015E7">
        <w:rPr>
          <w:rFonts w:ascii="Times New Roman" w:hAnsi="Times New Roman" w:cs="Times New Roman"/>
          <w:b/>
          <w:sz w:val="24"/>
          <w:szCs w:val="24"/>
        </w:rPr>
        <w:t>4.3 Operational Simplicity and Accessibility</w:t>
      </w:r>
      <w:bookmarkEnd w:id="16"/>
    </w:p>
    <w:p w14:paraId="31BF02E8"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The tool is designed for deployment in routine laboratory environments without specialized training or technical expertise:</w:t>
      </w:r>
    </w:p>
    <w:p w14:paraId="07DF4D09" w14:textId="77777777" w:rsidR="007E50D3" w:rsidRPr="005015E7" w:rsidRDefault="00000000" w:rsidP="005015E7">
      <w:pPr>
        <w:numPr>
          <w:ilvl w:val="0"/>
          <w:numId w:val="1"/>
        </w:num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Intuitive graphical user interface with image upload, preview, and one-click analysis initiation.</w:t>
      </w:r>
    </w:p>
    <w:p w14:paraId="1C9B0214" w14:textId="77777777" w:rsidR="007E50D3" w:rsidRPr="005015E7" w:rsidRDefault="00000000" w:rsidP="005015E7">
      <w:pPr>
        <w:numPr>
          <w:ilvl w:val="0"/>
          <w:numId w:val="1"/>
        </w:num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Automated preprocessing removes need for manual image quality adjustment.</w:t>
      </w:r>
    </w:p>
    <w:p w14:paraId="01AB6866" w14:textId="77777777" w:rsidR="007E50D3" w:rsidRPr="005015E7" w:rsidRDefault="00000000" w:rsidP="005015E7">
      <w:pPr>
        <w:numPr>
          <w:ilvl w:val="0"/>
          <w:numId w:val="1"/>
        </w:num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lastRenderedPageBreak/>
        <w:t>No configuration of thresholds or parameters required; all settings optimized for standard ICE test protocols.</w:t>
      </w:r>
    </w:p>
    <w:p w14:paraId="27D0CE33" w14:textId="77777777" w:rsidR="007E50D3" w:rsidRPr="005015E7" w:rsidRDefault="00000000" w:rsidP="005015E7">
      <w:pPr>
        <w:numPr>
          <w:ilvl w:val="0"/>
          <w:numId w:val="1"/>
        </w:num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Minimal hardware requirements; compatible with standard laboratory computer systems.</w:t>
      </w:r>
    </w:p>
    <w:p w14:paraId="10833667" w14:textId="77777777" w:rsidR="007E50D3" w:rsidRPr="005015E7" w:rsidRDefault="00000000" w:rsidP="005015E7">
      <w:pPr>
        <w:spacing w:before="240" w:line="276" w:lineRule="auto"/>
        <w:jc w:val="both"/>
        <w:rPr>
          <w:rFonts w:ascii="Times New Roman" w:hAnsi="Times New Roman" w:cs="Times New Roman"/>
          <w:sz w:val="24"/>
          <w:szCs w:val="24"/>
        </w:rPr>
      </w:pPr>
      <w:bookmarkStart w:id="17" w:name="bm_4_4_case_study_validation"/>
      <w:r w:rsidRPr="005015E7">
        <w:rPr>
          <w:rFonts w:ascii="Times New Roman" w:hAnsi="Times New Roman" w:cs="Times New Roman"/>
          <w:b/>
          <w:sz w:val="24"/>
          <w:szCs w:val="24"/>
        </w:rPr>
        <w:t>4.4 Case Study Validation</w:t>
      </w:r>
      <w:bookmarkEnd w:id="17"/>
    </w:p>
    <w:p w14:paraId="14CAB68E"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Analysis of three replicate chicken eye images from a representative toxicology screening yielded:</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17"/>
        <w:gridCol w:w="819"/>
        <w:gridCol w:w="819"/>
        <w:gridCol w:w="819"/>
        <w:gridCol w:w="869"/>
        <w:gridCol w:w="862"/>
        <w:gridCol w:w="2379"/>
      </w:tblGrid>
      <w:tr w:rsidR="007E50D3" w:rsidRPr="005015E7" w14:paraId="3CD86C58" w14:textId="77777777">
        <w:trPr>
          <w:cantSplit/>
          <w:tblCellSpacing w:w="0" w:type="dxa"/>
          <w:jc w:val="center"/>
        </w:trPr>
        <w:tc>
          <w:tcPr>
            <w:tcW w:w="0" w:type="auto"/>
            <w:tcBorders>
              <w:top w:val="single" w:sz="1" w:space="0" w:color="000000"/>
              <w:bottom w:val="single" w:sz="1" w:space="0" w:color="000000"/>
            </w:tcBorders>
          </w:tcPr>
          <w:p w14:paraId="3FCA34B6"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Parameter</w:t>
            </w:r>
          </w:p>
        </w:tc>
        <w:tc>
          <w:tcPr>
            <w:tcW w:w="0" w:type="auto"/>
            <w:tcBorders>
              <w:top w:val="single" w:sz="1" w:space="0" w:color="000000"/>
              <w:left w:val="single" w:sz="1" w:space="0" w:color="000000"/>
              <w:bottom w:val="single" w:sz="1" w:space="0" w:color="000000"/>
            </w:tcBorders>
          </w:tcPr>
          <w:p w14:paraId="4B54FCC3"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Eye 1</w:t>
            </w:r>
          </w:p>
        </w:tc>
        <w:tc>
          <w:tcPr>
            <w:tcW w:w="0" w:type="auto"/>
            <w:tcBorders>
              <w:top w:val="single" w:sz="1" w:space="0" w:color="000000"/>
              <w:left w:val="single" w:sz="1" w:space="0" w:color="000000"/>
              <w:bottom w:val="single" w:sz="1" w:space="0" w:color="000000"/>
            </w:tcBorders>
          </w:tcPr>
          <w:p w14:paraId="1671AC18"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Eye 2</w:t>
            </w:r>
          </w:p>
        </w:tc>
        <w:tc>
          <w:tcPr>
            <w:tcW w:w="0" w:type="auto"/>
            <w:tcBorders>
              <w:top w:val="single" w:sz="1" w:space="0" w:color="000000"/>
              <w:left w:val="single" w:sz="1" w:space="0" w:color="000000"/>
              <w:bottom w:val="single" w:sz="1" w:space="0" w:color="000000"/>
            </w:tcBorders>
          </w:tcPr>
          <w:p w14:paraId="21E3D3BC"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Eye 3</w:t>
            </w:r>
          </w:p>
        </w:tc>
        <w:tc>
          <w:tcPr>
            <w:tcW w:w="0" w:type="auto"/>
            <w:tcBorders>
              <w:top w:val="single" w:sz="1" w:space="0" w:color="000000"/>
              <w:left w:val="single" w:sz="1" w:space="0" w:color="000000"/>
              <w:bottom w:val="single" w:sz="1" w:space="0" w:color="000000"/>
            </w:tcBorders>
          </w:tcPr>
          <w:p w14:paraId="3C3EA3EC"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Mean</w:t>
            </w:r>
          </w:p>
        </w:tc>
        <w:tc>
          <w:tcPr>
            <w:tcW w:w="0" w:type="auto"/>
            <w:tcBorders>
              <w:top w:val="single" w:sz="1" w:space="0" w:color="000000"/>
              <w:left w:val="single" w:sz="1" w:space="0" w:color="000000"/>
              <w:bottom w:val="single" w:sz="1" w:space="0" w:color="000000"/>
            </w:tcBorders>
          </w:tcPr>
          <w:p w14:paraId="4A23594B"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SD</w:t>
            </w:r>
          </w:p>
        </w:tc>
        <w:tc>
          <w:tcPr>
            <w:tcW w:w="0" w:type="auto"/>
            <w:tcBorders>
              <w:top w:val="single" w:sz="1" w:space="0" w:color="000000"/>
              <w:left w:val="single" w:sz="1" w:space="0" w:color="000000"/>
              <w:bottom w:val="single" w:sz="1" w:space="0" w:color="000000"/>
            </w:tcBorders>
          </w:tcPr>
          <w:p w14:paraId="492573CD"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Classification</w:t>
            </w:r>
          </w:p>
        </w:tc>
      </w:tr>
      <w:tr w:rsidR="007E50D3" w:rsidRPr="005015E7" w14:paraId="33B6FEFF" w14:textId="77777777">
        <w:trPr>
          <w:cantSplit/>
          <w:tblCellSpacing w:w="0" w:type="dxa"/>
          <w:jc w:val="center"/>
        </w:trPr>
        <w:tc>
          <w:tcPr>
            <w:tcW w:w="0" w:type="auto"/>
            <w:tcBorders>
              <w:top w:val="single" w:sz="1" w:space="0" w:color="000000"/>
              <w:bottom w:val="single" w:sz="1" w:space="0" w:color="000000"/>
            </w:tcBorders>
          </w:tcPr>
          <w:p w14:paraId="55C142E2"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Corneal Thickness (mm)</w:t>
            </w:r>
          </w:p>
        </w:tc>
        <w:tc>
          <w:tcPr>
            <w:tcW w:w="0" w:type="auto"/>
            <w:tcBorders>
              <w:top w:val="single" w:sz="1" w:space="0" w:color="000000"/>
              <w:left w:val="single" w:sz="1" w:space="0" w:color="000000"/>
              <w:bottom w:val="single" w:sz="1" w:space="0" w:color="000000"/>
            </w:tcBorders>
          </w:tcPr>
          <w:p w14:paraId="722FCCE9"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0.82</w:t>
            </w:r>
          </w:p>
        </w:tc>
        <w:tc>
          <w:tcPr>
            <w:tcW w:w="0" w:type="auto"/>
            <w:tcBorders>
              <w:top w:val="single" w:sz="1" w:space="0" w:color="000000"/>
              <w:left w:val="single" w:sz="1" w:space="0" w:color="000000"/>
              <w:bottom w:val="single" w:sz="1" w:space="0" w:color="000000"/>
            </w:tcBorders>
          </w:tcPr>
          <w:p w14:paraId="2ED50DAB"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0.86</w:t>
            </w:r>
          </w:p>
        </w:tc>
        <w:tc>
          <w:tcPr>
            <w:tcW w:w="0" w:type="auto"/>
            <w:tcBorders>
              <w:top w:val="single" w:sz="1" w:space="0" w:color="000000"/>
              <w:left w:val="single" w:sz="1" w:space="0" w:color="000000"/>
              <w:bottom w:val="single" w:sz="1" w:space="0" w:color="000000"/>
            </w:tcBorders>
          </w:tcPr>
          <w:p w14:paraId="3E7A18E3"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0.87</w:t>
            </w:r>
          </w:p>
        </w:tc>
        <w:tc>
          <w:tcPr>
            <w:tcW w:w="0" w:type="auto"/>
            <w:tcBorders>
              <w:top w:val="single" w:sz="1" w:space="0" w:color="000000"/>
              <w:left w:val="single" w:sz="1" w:space="0" w:color="000000"/>
              <w:bottom w:val="single" w:sz="1" w:space="0" w:color="000000"/>
            </w:tcBorders>
          </w:tcPr>
          <w:p w14:paraId="6D19860B"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0.85</w:t>
            </w:r>
          </w:p>
        </w:tc>
        <w:tc>
          <w:tcPr>
            <w:tcW w:w="0" w:type="auto"/>
            <w:tcBorders>
              <w:top w:val="single" w:sz="1" w:space="0" w:color="000000"/>
              <w:left w:val="single" w:sz="1" w:space="0" w:color="000000"/>
              <w:bottom w:val="single" w:sz="1" w:space="0" w:color="000000"/>
            </w:tcBorders>
          </w:tcPr>
          <w:p w14:paraId="07383C13"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0.026</w:t>
            </w:r>
          </w:p>
        </w:tc>
        <w:tc>
          <w:tcPr>
            <w:tcW w:w="0" w:type="auto"/>
            <w:tcBorders>
              <w:top w:val="single" w:sz="1" w:space="0" w:color="000000"/>
              <w:left w:val="single" w:sz="1" w:space="0" w:color="000000"/>
              <w:bottom w:val="single" w:sz="1" w:space="0" w:color="000000"/>
            </w:tcBorders>
          </w:tcPr>
          <w:p w14:paraId="136563EC"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Mild swelling</w:t>
            </w:r>
          </w:p>
        </w:tc>
      </w:tr>
      <w:tr w:rsidR="007E50D3" w:rsidRPr="005015E7" w14:paraId="017E7F26" w14:textId="77777777">
        <w:trPr>
          <w:cantSplit/>
          <w:tblCellSpacing w:w="0" w:type="dxa"/>
          <w:jc w:val="center"/>
        </w:trPr>
        <w:tc>
          <w:tcPr>
            <w:tcW w:w="0" w:type="auto"/>
            <w:tcBorders>
              <w:top w:val="single" w:sz="1" w:space="0" w:color="000000"/>
              <w:bottom w:val="single" w:sz="1" w:space="0" w:color="000000"/>
            </w:tcBorders>
          </w:tcPr>
          <w:p w14:paraId="0E614133"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eastAsia="Georgia" w:hAnsi="Times New Roman" w:cs="Times New Roman"/>
                <w:sz w:val="24"/>
                <w:szCs w:val="24"/>
              </w:rPr>
              <w:t>Opacity Score (0–4)</w:t>
            </w:r>
          </w:p>
        </w:tc>
        <w:tc>
          <w:tcPr>
            <w:tcW w:w="0" w:type="auto"/>
            <w:tcBorders>
              <w:top w:val="single" w:sz="1" w:space="0" w:color="000000"/>
              <w:left w:val="single" w:sz="1" w:space="0" w:color="000000"/>
              <w:bottom w:val="single" w:sz="1" w:space="0" w:color="000000"/>
            </w:tcBorders>
          </w:tcPr>
          <w:p w14:paraId="440EFCB9"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1.4</w:t>
            </w:r>
          </w:p>
        </w:tc>
        <w:tc>
          <w:tcPr>
            <w:tcW w:w="0" w:type="auto"/>
            <w:tcBorders>
              <w:top w:val="single" w:sz="1" w:space="0" w:color="000000"/>
              <w:left w:val="single" w:sz="1" w:space="0" w:color="000000"/>
              <w:bottom w:val="single" w:sz="1" w:space="0" w:color="000000"/>
            </w:tcBorders>
          </w:tcPr>
          <w:p w14:paraId="0E020BB8"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1.5</w:t>
            </w:r>
          </w:p>
        </w:tc>
        <w:tc>
          <w:tcPr>
            <w:tcW w:w="0" w:type="auto"/>
            <w:tcBorders>
              <w:top w:val="single" w:sz="1" w:space="0" w:color="000000"/>
              <w:left w:val="single" w:sz="1" w:space="0" w:color="000000"/>
              <w:bottom w:val="single" w:sz="1" w:space="0" w:color="000000"/>
            </w:tcBorders>
          </w:tcPr>
          <w:p w14:paraId="7F884265"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1.6</w:t>
            </w:r>
          </w:p>
        </w:tc>
        <w:tc>
          <w:tcPr>
            <w:tcW w:w="0" w:type="auto"/>
            <w:tcBorders>
              <w:top w:val="single" w:sz="1" w:space="0" w:color="000000"/>
              <w:left w:val="single" w:sz="1" w:space="0" w:color="000000"/>
              <w:bottom w:val="single" w:sz="1" w:space="0" w:color="000000"/>
            </w:tcBorders>
          </w:tcPr>
          <w:p w14:paraId="29681182"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1.5</w:t>
            </w:r>
          </w:p>
        </w:tc>
        <w:tc>
          <w:tcPr>
            <w:tcW w:w="0" w:type="auto"/>
            <w:tcBorders>
              <w:top w:val="single" w:sz="1" w:space="0" w:color="000000"/>
              <w:left w:val="single" w:sz="1" w:space="0" w:color="000000"/>
              <w:bottom w:val="single" w:sz="1" w:space="0" w:color="000000"/>
            </w:tcBorders>
          </w:tcPr>
          <w:p w14:paraId="18746299"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0.1</w:t>
            </w:r>
          </w:p>
        </w:tc>
        <w:tc>
          <w:tcPr>
            <w:tcW w:w="0" w:type="auto"/>
            <w:tcBorders>
              <w:top w:val="single" w:sz="1" w:space="0" w:color="000000"/>
              <w:left w:val="single" w:sz="1" w:space="0" w:color="000000"/>
              <w:bottom w:val="single" w:sz="1" w:space="0" w:color="000000"/>
            </w:tcBorders>
          </w:tcPr>
          <w:p w14:paraId="43F74E2A"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Moderate opacity</w:t>
            </w:r>
          </w:p>
        </w:tc>
      </w:tr>
      <w:tr w:rsidR="007E50D3" w:rsidRPr="005015E7" w14:paraId="3FA3CD42" w14:textId="77777777">
        <w:trPr>
          <w:cantSplit/>
          <w:tblCellSpacing w:w="0" w:type="dxa"/>
          <w:jc w:val="center"/>
        </w:trPr>
        <w:tc>
          <w:tcPr>
            <w:tcW w:w="0" w:type="auto"/>
            <w:tcBorders>
              <w:top w:val="single" w:sz="1" w:space="0" w:color="000000"/>
              <w:bottom w:val="single" w:sz="1" w:space="0" w:color="000000"/>
            </w:tcBorders>
          </w:tcPr>
          <w:p w14:paraId="6CE078C5"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Redness Score</w:t>
            </w:r>
          </w:p>
        </w:tc>
        <w:tc>
          <w:tcPr>
            <w:tcW w:w="0" w:type="auto"/>
            <w:tcBorders>
              <w:top w:val="single" w:sz="1" w:space="0" w:color="000000"/>
              <w:left w:val="single" w:sz="1" w:space="0" w:color="000000"/>
              <w:bottom w:val="single" w:sz="1" w:space="0" w:color="000000"/>
            </w:tcBorders>
          </w:tcPr>
          <w:p w14:paraId="7A85FE99"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0.0</w:t>
            </w:r>
          </w:p>
        </w:tc>
        <w:tc>
          <w:tcPr>
            <w:tcW w:w="0" w:type="auto"/>
            <w:tcBorders>
              <w:top w:val="single" w:sz="1" w:space="0" w:color="000000"/>
              <w:left w:val="single" w:sz="1" w:space="0" w:color="000000"/>
              <w:bottom w:val="single" w:sz="1" w:space="0" w:color="000000"/>
            </w:tcBorders>
          </w:tcPr>
          <w:p w14:paraId="018521A8"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0.0</w:t>
            </w:r>
          </w:p>
        </w:tc>
        <w:tc>
          <w:tcPr>
            <w:tcW w:w="0" w:type="auto"/>
            <w:tcBorders>
              <w:top w:val="single" w:sz="1" w:space="0" w:color="000000"/>
              <w:left w:val="single" w:sz="1" w:space="0" w:color="000000"/>
              <w:bottom w:val="single" w:sz="1" w:space="0" w:color="000000"/>
            </w:tcBorders>
          </w:tcPr>
          <w:p w14:paraId="6B68D710"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0.0</w:t>
            </w:r>
          </w:p>
        </w:tc>
        <w:tc>
          <w:tcPr>
            <w:tcW w:w="0" w:type="auto"/>
            <w:tcBorders>
              <w:top w:val="single" w:sz="1" w:space="0" w:color="000000"/>
              <w:left w:val="single" w:sz="1" w:space="0" w:color="000000"/>
              <w:bottom w:val="single" w:sz="1" w:space="0" w:color="000000"/>
            </w:tcBorders>
          </w:tcPr>
          <w:p w14:paraId="300F6106"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0.0</w:t>
            </w:r>
          </w:p>
        </w:tc>
        <w:tc>
          <w:tcPr>
            <w:tcW w:w="0" w:type="auto"/>
            <w:tcBorders>
              <w:top w:val="single" w:sz="1" w:space="0" w:color="000000"/>
              <w:left w:val="single" w:sz="1" w:space="0" w:color="000000"/>
              <w:bottom w:val="single" w:sz="1" w:space="0" w:color="000000"/>
            </w:tcBorders>
          </w:tcPr>
          <w:p w14:paraId="5909EAE3"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0.0</w:t>
            </w:r>
          </w:p>
        </w:tc>
        <w:tc>
          <w:tcPr>
            <w:tcW w:w="0" w:type="auto"/>
            <w:tcBorders>
              <w:top w:val="single" w:sz="1" w:space="0" w:color="000000"/>
              <w:left w:val="single" w:sz="1" w:space="0" w:color="000000"/>
              <w:bottom w:val="single" w:sz="1" w:space="0" w:color="000000"/>
            </w:tcBorders>
          </w:tcPr>
          <w:p w14:paraId="6C84D9C8"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Minimal inflammation</w:t>
            </w:r>
          </w:p>
        </w:tc>
      </w:tr>
      <w:tr w:rsidR="007E50D3" w:rsidRPr="005015E7" w14:paraId="67655A52" w14:textId="77777777">
        <w:trPr>
          <w:cantSplit/>
          <w:tblCellSpacing w:w="0" w:type="dxa"/>
          <w:jc w:val="center"/>
        </w:trPr>
        <w:tc>
          <w:tcPr>
            <w:tcW w:w="0" w:type="auto"/>
            <w:tcBorders>
              <w:top w:val="single" w:sz="1" w:space="0" w:color="000000"/>
              <w:bottom w:val="single" w:sz="1" w:space="0" w:color="000000"/>
            </w:tcBorders>
          </w:tcPr>
          <w:p w14:paraId="0A0643B5"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Damage Pattern Index</w:t>
            </w:r>
          </w:p>
        </w:tc>
        <w:tc>
          <w:tcPr>
            <w:tcW w:w="0" w:type="auto"/>
            <w:tcBorders>
              <w:top w:val="single" w:sz="1" w:space="0" w:color="000000"/>
              <w:left w:val="single" w:sz="1" w:space="0" w:color="000000"/>
              <w:bottom w:val="single" w:sz="1" w:space="0" w:color="000000"/>
            </w:tcBorders>
          </w:tcPr>
          <w:p w14:paraId="2D602B5B"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0.1</w:t>
            </w:r>
          </w:p>
        </w:tc>
        <w:tc>
          <w:tcPr>
            <w:tcW w:w="0" w:type="auto"/>
            <w:tcBorders>
              <w:top w:val="single" w:sz="1" w:space="0" w:color="000000"/>
              <w:left w:val="single" w:sz="1" w:space="0" w:color="000000"/>
              <w:bottom w:val="single" w:sz="1" w:space="0" w:color="000000"/>
            </w:tcBorders>
          </w:tcPr>
          <w:p w14:paraId="5D6C092A"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0.2</w:t>
            </w:r>
          </w:p>
        </w:tc>
        <w:tc>
          <w:tcPr>
            <w:tcW w:w="0" w:type="auto"/>
            <w:tcBorders>
              <w:top w:val="single" w:sz="1" w:space="0" w:color="000000"/>
              <w:left w:val="single" w:sz="1" w:space="0" w:color="000000"/>
              <w:bottom w:val="single" w:sz="1" w:space="0" w:color="000000"/>
            </w:tcBorders>
          </w:tcPr>
          <w:p w14:paraId="14A87890"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0.3</w:t>
            </w:r>
          </w:p>
        </w:tc>
        <w:tc>
          <w:tcPr>
            <w:tcW w:w="0" w:type="auto"/>
            <w:tcBorders>
              <w:top w:val="single" w:sz="1" w:space="0" w:color="000000"/>
              <w:left w:val="single" w:sz="1" w:space="0" w:color="000000"/>
              <w:bottom w:val="single" w:sz="1" w:space="0" w:color="000000"/>
            </w:tcBorders>
          </w:tcPr>
          <w:p w14:paraId="1E25D9CC"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0.2</w:t>
            </w:r>
          </w:p>
        </w:tc>
        <w:tc>
          <w:tcPr>
            <w:tcW w:w="0" w:type="auto"/>
            <w:tcBorders>
              <w:top w:val="single" w:sz="1" w:space="0" w:color="000000"/>
              <w:left w:val="single" w:sz="1" w:space="0" w:color="000000"/>
              <w:bottom w:val="single" w:sz="1" w:space="0" w:color="000000"/>
            </w:tcBorders>
          </w:tcPr>
          <w:p w14:paraId="2D212467"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0.1</w:t>
            </w:r>
          </w:p>
        </w:tc>
        <w:tc>
          <w:tcPr>
            <w:tcW w:w="0" w:type="auto"/>
            <w:tcBorders>
              <w:top w:val="single" w:sz="1" w:space="0" w:color="000000"/>
              <w:left w:val="single" w:sz="1" w:space="0" w:color="000000"/>
              <w:bottom w:val="single" w:sz="1" w:space="0" w:color="000000"/>
            </w:tcBorders>
          </w:tcPr>
          <w:p w14:paraId="6B7E4D38" w14:textId="77777777" w:rsidR="007E50D3" w:rsidRPr="005015E7" w:rsidRDefault="00000000" w:rsidP="005015E7">
            <w:pPr>
              <w:spacing w:line="276" w:lineRule="auto"/>
              <w:jc w:val="both"/>
              <w:rPr>
                <w:rFonts w:ascii="Times New Roman" w:hAnsi="Times New Roman" w:cs="Times New Roman"/>
                <w:sz w:val="24"/>
                <w:szCs w:val="24"/>
              </w:rPr>
            </w:pPr>
            <w:r w:rsidRPr="005015E7">
              <w:rPr>
                <w:rFonts w:ascii="Times New Roman" w:hAnsi="Times New Roman" w:cs="Times New Roman"/>
                <w:sz w:val="24"/>
                <w:szCs w:val="24"/>
              </w:rPr>
              <w:t>Minimal epithelial damage</w:t>
            </w:r>
          </w:p>
        </w:tc>
      </w:tr>
    </w:tbl>
    <w:p w14:paraId="3646FB18" w14:textId="77777777" w:rsidR="007E50D3" w:rsidRPr="005015E7" w:rsidRDefault="007E50D3" w:rsidP="005015E7">
      <w:pPr>
        <w:spacing w:line="276" w:lineRule="auto"/>
        <w:jc w:val="both"/>
        <w:rPr>
          <w:rFonts w:ascii="Times New Roman" w:hAnsi="Times New Roman" w:cs="Times New Roman"/>
          <w:sz w:val="24"/>
          <w:szCs w:val="24"/>
        </w:rPr>
      </w:pPr>
    </w:p>
    <w:p w14:paraId="5C1B927F"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Interpretation</w:t>
      </w:r>
      <w:r w:rsidRPr="005015E7">
        <w:rPr>
          <w:rFonts w:ascii="Times New Roman" w:hAnsi="Times New Roman" w:cs="Times New Roman"/>
          <w:sz w:val="24"/>
          <w:szCs w:val="24"/>
        </w:rPr>
        <w:t>: Overall profile consistent with moderate corneal irritation (UN GHS Category 2 or equivalent), demonstrating the tool's capacity to systematically extract and integrate multiple endpoints into coherent toxicology assessment. Mean values facilitate robust statistical inference while minimizing impact of individual image quality variations[2].</w:t>
      </w:r>
    </w:p>
    <w:p w14:paraId="28CFF69E" w14:textId="525C09CE" w:rsidR="007E50D3" w:rsidRPr="005015E7" w:rsidRDefault="007E50D3" w:rsidP="005015E7">
      <w:pPr>
        <w:spacing w:line="276" w:lineRule="auto"/>
        <w:jc w:val="both"/>
        <w:rPr>
          <w:rFonts w:ascii="Times New Roman" w:hAnsi="Times New Roman" w:cs="Times New Roman"/>
          <w:sz w:val="24"/>
          <w:szCs w:val="24"/>
        </w:rPr>
      </w:pPr>
    </w:p>
    <w:p w14:paraId="4D34D521" w14:textId="77777777" w:rsidR="007E50D3" w:rsidRPr="005015E7" w:rsidRDefault="00000000" w:rsidP="005015E7">
      <w:pPr>
        <w:spacing w:before="240" w:line="276" w:lineRule="auto"/>
        <w:jc w:val="both"/>
        <w:rPr>
          <w:rFonts w:ascii="Times New Roman" w:hAnsi="Times New Roman" w:cs="Times New Roman"/>
          <w:sz w:val="24"/>
          <w:szCs w:val="24"/>
        </w:rPr>
      </w:pPr>
      <w:bookmarkStart w:id="18" w:name="bm_5_strengths_and_comparative_ad_309c56"/>
      <w:r w:rsidRPr="005015E7">
        <w:rPr>
          <w:rFonts w:ascii="Times New Roman" w:hAnsi="Times New Roman" w:cs="Times New Roman"/>
          <w:b/>
          <w:sz w:val="24"/>
          <w:szCs w:val="24"/>
        </w:rPr>
        <w:t>5. Strengths and Comparative Advantages of the ICE Test Analysis Tool</w:t>
      </w:r>
      <w:bookmarkEnd w:id="18"/>
    </w:p>
    <w:p w14:paraId="7EE122A2"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Unified Endpoint Integration</w:t>
      </w:r>
      <w:r w:rsidRPr="005015E7">
        <w:rPr>
          <w:rFonts w:ascii="Times New Roman" w:hAnsi="Times New Roman" w:cs="Times New Roman"/>
          <w:sz w:val="24"/>
          <w:szCs w:val="24"/>
        </w:rPr>
        <w:t>: Single platform addressing all four OECD TG 438 parameters (opacity, swelling, fluorescein retention, damage) with integrated interpretation, versus existing tools addressing isolated endpoints.</w:t>
      </w:r>
    </w:p>
    <w:p w14:paraId="1DFAA447"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Improved Reproducibility</w:t>
      </w:r>
      <w:r w:rsidRPr="005015E7">
        <w:rPr>
          <w:rFonts w:ascii="Times New Roman" w:hAnsi="Times New Roman" w:cs="Times New Roman"/>
          <w:sz w:val="24"/>
          <w:szCs w:val="24"/>
        </w:rPr>
        <w:t>: Automated measurement extraction eliminates subjective scoring drift, inter-observer variability, and intra-observer inconsistency inherent to manual assessment.</w:t>
      </w:r>
    </w:p>
    <w:p w14:paraId="337D0259"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lastRenderedPageBreak/>
        <w:t>Standardized Reporting</w:t>
      </w:r>
      <w:r w:rsidRPr="005015E7">
        <w:rPr>
          <w:rFonts w:ascii="Times New Roman" w:hAnsi="Times New Roman" w:cs="Times New Roman"/>
          <w:sz w:val="24"/>
          <w:szCs w:val="24"/>
        </w:rPr>
        <w:t>: Toxicology-formatted summaries with severity classifications, mean statistics, and OECD alignment ensure regulatory compliance and facilitate cross-study comparison.</w:t>
      </w:r>
    </w:p>
    <w:p w14:paraId="5DCFDFE8"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Operational Efficiency</w:t>
      </w:r>
      <w:r w:rsidRPr="005015E7">
        <w:rPr>
          <w:rFonts w:ascii="Times New Roman" w:eastAsia="Georgia" w:hAnsi="Times New Roman" w:cs="Times New Roman"/>
          <w:sz w:val="24"/>
          <w:szCs w:val="24"/>
        </w:rPr>
        <w:t>: Reduced analysis time from 15–25 minutes per eye to &lt;2 minutes per image set; scalable from low-throughput research labs to high-volume regulatory pipelines.</w:t>
      </w:r>
    </w:p>
    <w:p w14:paraId="0ACD9D61"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Minimal Training Burden</w:t>
      </w:r>
      <w:r w:rsidRPr="005015E7">
        <w:rPr>
          <w:rFonts w:ascii="Times New Roman" w:hAnsi="Times New Roman" w:cs="Times New Roman"/>
          <w:sz w:val="24"/>
          <w:szCs w:val="24"/>
        </w:rPr>
        <w:t>: Intuitive interface and automated preprocessing require minimal operator training or expertise, supporting broader adoption across diverse laboratory environments.</w:t>
      </w:r>
    </w:p>
    <w:p w14:paraId="0D1B3A67"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Cost-Effectiveness</w:t>
      </w:r>
      <w:r w:rsidRPr="005015E7">
        <w:rPr>
          <w:rFonts w:ascii="Times New Roman" w:hAnsi="Times New Roman" w:cs="Times New Roman"/>
          <w:sz w:val="24"/>
          <w:szCs w:val="24"/>
        </w:rPr>
        <w:t>: Lower instrumentation cost and reduced analyst time compared to wavefront systems or manual assessment with extensive expert oversight.</w:t>
      </w:r>
    </w:p>
    <w:p w14:paraId="689C42AE"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Regulatory Alignment</w:t>
      </w:r>
      <w:r w:rsidRPr="005015E7">
        <w:rPr>
          <w:rFonts w:ascii="Times New Roman" w:hAnsi="Times New Roman" w:cs="Times New Roman"/>
          <w:sz w:val="24"/>
          <w:szCs w:val="24"/>
        </w:rPr>
        <w:t>: Direct OECD TG 438 compliance with documented decision criteria and standardized interpretation; suitable for GLP-regulated toxicology environments.</w:t>
      </w:r>
    </w:p>
    <w:p w14:paraId="4DB6EF11" w14:textId="2FF0F968" w:rsidR="007E50D3" w:rsidRPr="005015E7" w:rsidRDefault="007E50D3" w:rsidP="005015E7">
      <w:pPr>
        <w:spacing w:line="276" w:lineRule="auto"/>
        <w:jc w:val="both"/>
        <w:rPr>
          <w:rFonts w:ascii="Times New Roman" w:hAnsi="Times New Roman" w:cs="Times New Roman"/>
          <w:sz w:val="24"/>
          <w:szCs w:val="24"/>
        </w:rPr>
      </w:pPr>
    </w:p>
    <w:p w14:paraId="7DFE418E" w14:textId="77777777" w:rsidR="007E50D3" w:rsidRPr="005015E7" w:rsidRDefault="00000000" w:rsidP="005015E7">
      <w:pPr>
        <w:spacing w:before="240" w:line="276" w:lineRule="auto"/>
        <w:jc w:val="both"/>
        <w:rPr>
          <w:rFonts w:ascii="Times New Roman" w:hAnsi="Times New Roman" w:cs="Times New Roman"/>
          <w:sz w:val="24"/>
          <w:szCs w:val="24"/>
        </w:rPr>
      </w:pPr>
      <w:bookmarkStart w:id="19" w:name="bm_6_limitations_and_ongoing_development"/>
      <w:r w:rsidRPr="005015E7">
        <w:rPr>
          <w:rFonts w:ascii="Times New Roman" w:hAnsi="Times New Roman" w:cs="Times New Roman"/>
          <w:b/>
          <w:sz w:val="24"/>
          <w:szCs w:val="24"/>
        </w:rPr>
        <w:t>6. Limitations and Ongoing Development</w:t>
      </w:r>
      <w:bookmarkEnd w:id="19"/>
    </w:p>
    <w:p w14:paraId="1E25D162"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Image Quality Dependency</w:t>
      </w:r>
      <w:r w:rsidRPr="005015E7">
        <w:rPr>
          <w:rFonts w:ascii="Times New Roman" w:hAnsi="Times New Roman" w:cs="Times New Roman"/>
          <w:sz w:val="24"/>
          <w:szCs w:val="24"/>
        </w:rPr>
        <w:t>: Analysis accuracy is contingent on image clarity, proper corneal positioning, and adequate lighting; poorly captured images may yield suboptimal measurements.</w:t>
      </w:r>
    </w:p>
    <w:p w14:paraId="2BDE6C8D"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Fluorescein Detection Refinement</w:t>
      </w:r>
      <w:r w:rsidRPr="005015E7">
        <w:rPr>
          <w:rFonts w:ascii="Times New Roman" w:hAnsi="Times New Roman" w:cs="Times New Roman"/>
          <w:sz w:val="24"/>
          <w:szCs w:val="24"/>
        </w:rPr>
        <w:t>: While automated fluorescein detection is implemented, low-light or subtle retention patterns may require optimization for maximum sensitivity.</w:t>
      </w:r>
    </w:p>
    <w:p w14:paraId="0EF72FCC"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Deep Learning Enhancement</w:t>
      </w:r>
      <w:r w:rsidRPr="005015E7">
        <w:rPr>
          <w:rFonts w:ascii="Times New Roman" w:hAnsi="Times New Roman" w:cs="Times New Roman"/>
          <w:sz w:val="24"/>
          <w:szCs w:val="24"/>
        </w:rPr>
        <w:t>: Current algorithms employ traditional computer vision and statistical classification; incorporation of convolutional neural networks trained on large annotated ICE image datasets would further enhance opacity and damage pattern recognition.</w:t>
      </w:r>
    </w:p>
    <w:p w14:paraId="3BF15F08"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Validation in Diverse Chemical Classes</w:t>
      </w:r>
      <w:r w:rsidRPr="005015E7">
        <w:rPr>
          <w:rFonts w:ascii="Times New Roman" w:hAnsi="Times New Roman" w:cs="Times New Roman"/>
          <w:sz w:val="24"/>
          <w:szCs w:val="24"/>
        </w:rPr>
        <w:t>: While case study results are promising, comprehensive validation across a broad matrix of chemical classes (strong acids, bases, surfactants, alcohols, organic solvents) is necessary to establish full regulatory confidence.</w:t>
      </w:r>
    </w:p>
    <w:p w14:paraId="35D7790B" w14:textId="4A9CCEE4" w:rsidR="007E50D3" w:rsidRPr="005015E7" w:rsidRDefault="007E50D3" w:rsidP="005015E7">
      <w:pPr>
        <w:spacing w:line="276" w:lineRule="auto"/>
        <w:jc w:val="both"/>
        <w:rPr>
          <w:rFonts w:ascii="Times New Roman" w:hAnsi="Times New Roman" w:cs="Times New Roman"/>
          <w:sz w:val="24"/>
          <w:szCs w:val="24"/>
        </w:rPr>
      </w:pPr>
    </w:p>
    <w:p w14:paraId="264B6B3F" w14:textId="77777777" w:rsidR="007E50D3" w:rsidRPr="005015E7" w:rsidRDefault="00000000" w:rsidP="005015E7">
      <w:pPr>
        <w:spacing w:before="240" w:line="276" w:lineRule="auto"/>
        <w:jc w:val="both"/>
        <w:rPr>
          <w:rFonts w:ascii="Times New Roman" w:hAnsi="Times New Roman" w:cs="Times New Roman"/>
          <w:sz w:val="24"/>
          <w:szCs w:val="24"/>
        </w:rPr>
      </w:pPr>
      <w:bookmarkStart w:id="20" w:name="bm_7_future_directions_and_broade_ff4aba"/>
      <w:r w:rsidRPr="005015E7">
        <w:rPr>
          <w:rFonts w:ascii="Times New Roman" w:hAnsi="Times New Roman" w:cs="Times New Roman"/>
          <w:b/>
          <w:sz w:val="24"/>
          <w:szCs w:val="24"/>
        </w:rPr>
        <w:t>7. Future Directions and Broader Implications</w:t>
      </w:r>
      <w:bookmarkEnd w:id="20"/>
    </w:p>
    <w:p w14:paraId="365E17F8"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lastRenderedPageBreak/>
        <w:t>Advancing Automation Through Deep Learning</w:t>
      </w:r>
      <w:r w:rsidRPr="005015E7">
        <w:rPr>
          <w:rFonts w:ascii="Times New Roman" w:hAnsi="Times New Roman" w:cs="Times New Roman"/>
          <w:sz w:val="24"/>
          <w:szCs w:val="24"/>
        </w:rPr>
        <w:t>: Integration of pretrained convolutional neural networks and transfer learning approaches will enable more sophisticated pattern recognition for complex damage morphologies and subtle opacity variations, further reducing manual oversight needs.</w:t>
      </w:r>
    </w:p>
    <w:p w14:paraId="52CA54E4"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Real-Time Cloud Collaboration</w:t>
      </w:r>
      <w:r w:rsidRPr="005015E7">
        <w:rPr>
          <w:rFonts w:ascii="Times New Roman" w:hAnsi="Times New Roman" w:cs="Times New Roman"/>
          <w:sz w:val="24"/>
          <w:szCs w:val="24"/>
        </w:rPr>
        <w:t>: Cloud-based deployment with secure data upload, remote analysis, and multi-site batch processing will support collaborative research and reduce infrastructure burden for smaller laboratories.</w:t>
      </w:r>
    </w:p>
    <w:p w14:paraId="372799D4"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Integration with Toxicity Databases</w:t>
      </w:r>
      <w:r w:rsidRPr="005015E7">
        <w:rPr>
          <w:rFonts w:ascii="Times New Roman" w:hAnsi="Times New Roman" w:cs="Times New Roman"/>
          <w:sz w:val="24"/>
          <w:szCs w:val="24"/>
        </w:rPr>
        <w:t>: Linkage of analysis results with public toxicology databases (</w:t>
      </w:r>
      <w:proofErr w:type="spellStart"/>
      <w:r w:rsidRPr="005015E7">
        <w:rPr>
          <w:rFonts w:ascii="Times New Roman" w:hAnsi="Times New Roman" w:cs="Times New Roman"/>
          <w:sz w:val="24"/>
          <w:szCs w:val="24"/>
        </w:rPr>
        <w:t>ChemSpider</w:t>
      </w:r>
      <w:proofErr w:type="spellEnd"/>
      <w:r w:rsidRPr="005015E7">
        <w:rPr>
          <w:rFonts w:ascii="Times New Roman" w:hAnsi="Times New Roman" w:cs="Times New Roman"/>
          <w:sz w:val="24"/>
          <w:szCs w:val="24"/>
        </w:rPr>
        <w:t xml:space="preserve">, PubChem, EPA </w:t>
      </w:r>
      <w:proofErr w:type="spellStart"/>
      <w:r w:rsidRPr="005015E7">
        <w:rPr>
          <w:rFonts w:ascii="Times New Roman" w:hAnsi="Times New Roman" w:cs="Times New Roman"/>
          <w:sz w:val="24"/>
          <w:szCs w:val="24"/>
        </w:rPr>
        <w:t>CompTox</w:t>
      </w:r>
      <w:proofErr w:type="spellEnd"/>
      <w:r w:rsidRPr="005015E7">
        <w:rPr>
          <w:rFonts w:ascii="Times New Roman" w:hAnsi="Times New Roman" w:cs="Times New Roman"/>
          <w:sz w:val="24"/>
          <w:szCs w:val="24"/>
        </w:rPr>
        <w:t>) and internal chemical libraries will enable predictive toxicity modeling and cross-chemical comparison.</w:t>
      </w:r>
    </w:p>
    <w:p w14:paraId="05451C2E"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Expanded Ocular Endpoints</w:t>
      </w:r>
      <w:r w:rsidRPr="005015E7">
        <w:rPr>
          <w:rFonts w:ascii="Times New Roman" w:hAnsi="Times New Roman" w:cs="Times New Roman"/>
          <w:sz w:val="24"/>
          <w:szCs w:val="24"/>
        </w:rPr>
        <w:t>: Extension to additional in vitro ocular models (Reconstructed Human Cornea, Reconstructed Human Epidermis with corneal keratinocytes) will broaden applicability of the platform across alternative testing methodologies.</w:t>
      </w:r>
    </w:p>
    <w:p w14:paraId="4756D319"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b/>
          <w:sz w:val="24"/>
          <w:szCs w:val="24"/>
        </w:rPr>
        <w:t>Regulatory Submission Support</w:t>
      </w:r>
      <w:r w:rsidRPr="005015E7">
        <w:rPr>
          <w:rFonts w:ascii="Times New Roman" w:hAnsi="Times New Roman" w:cs="Times New Roman"/>
          <w:sz w:val="24"/>
          <w:szCs w:val="24"/>
        </w:rPr>
        <w:t>: Integrated guidance for regulatory report generation and decision-support tools for hazard classification will streamline transition from research findings to formal regulatory submissions.</w:t>
      </w:r>
    </w:p>
    <w:p w14:paraId="68ED3D5F" w14:textId="7CB9DEEF" w:rsidR="007E50D3" w:rsidRPr="005015E7" w:rsidRDefault="007E50D3" w:rsidP="005015E7">
      <w:pPr>
        <w:spacing w:line="276" w:lineRule="auto"/>
        <w:jc w:val="both"/>
        <w:rPr>
          <w:rFonts w:ascii="Times New Roman" w:hAnsi="Times New Roman" w:cs="Times New Roman"/>
          <w:sz w:val="24"/>
          <w:szCs w:val="24"/>
        </w:rPr>
      </w:pPr>
    </w:p>
    <w:p w14:paraId="705856CD" w14:textId="77777777" w:rsidR="007E50D3" w:rsidRPr="005015E7" w:rsidRDefault="00000000" w:rsidP="005015E7">
      <w:pPr>
        <w:spacing w:before="240" w:line="276" w:lineRule="auto"/>
        <w:jc w:val="both"/>
        <w:rPr>
          <w:rFonts w:ascii="Times New Roman" w:hAnsi="Times New Roman" w:cs="Times New Roman"/>
          <w:sz w:val="24"/>
          <w:szCs w:val="24"/>
        </w:rPr>
      </w:pPr>
      <w:bookmarkStart w:id="21" w:name="bm_8_conclusion"/>
      <w:r w:rsidRPr="005015E7">
        <w:rPr>
          <w:rFonts w:ascii="Times New Roman" w:hAnsi="Times New Roman" w:cs="Times New Roman"/>
          <w:b/>
          <w:sz w:val="24"/>
          <w:szCs w:val="24"/>
        </w:rPr>
        <w:t>8. Conclusion</w:t>
      </w:r>
      <w:bookmarkEnd w:id="21"/>
    </w:p>
    <w:p w14:paraId="0806E8E4" w14:textId="17C4F81E"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eastAsia="Georgia" w:hAnsi="Times New Roman" w:cs="Times New Roman"/>
          <w:sz w:val="24"/>
          <w:szCs w:val="24"/>
        </w:rPr>
        <w:t>The digitization and automation of ocular toxicity assessment represent a paradigm shift in chemical safety testing. Existing platforms</w:t>
      </w:r>
      <w:r w:rsidR="005015E7">
        <w:rPr>
          <w:rFonts w:ascii="Times New Roman" w:eastAsia="Georgia" w:hAnsi="Times New Roman" w:cs="Times New Roman"/>
          <w:sz w:val="24"/>
          <w:szCs w:val="24"/>
        </w:rPr>
        <w:t xml:space="preserve"> </w:t>
      </w:r>
      <w:r w:rsidRPr="005015E7">
        <w:rPr>
          <w:rFonts w:ascii="Times New Roman" w:eastAsia="Georgia" w:hAnsi="Times New Roman" w:cs="Times New Roman"/>
          <w:sz w:val="24"/>
          <w:szCs w:val="24"/>
        </w:rPr>
        <w:t>whether wavefront topography systems, automated staining analyzers, or tear film diagnostic devices</w:t>
      </w:r>
      <w:r w:rsidR="005015E7">
        <w:rPr>
          <w:rFonts w:ascii="Times New Roman" w:eastAsia="Georgia" w:hAnsi="Times New Roman" w:cs="Times New Roman"/>
          <w:sz w:val="24"/>
          <w:szCs w:val="24"/>
        </w:rPr>
        <w:t xml:space="preserve"> </w:t>
      </w:r>
      <w:r w:rsidRPr="005015E7">
        <w:rPr>
          <w:rFonts w:ascii="Times New Roman" w:eastAsia="Georgia" w:hAnsi="Times New Roman" w:cs="Times New Roman"/>
          <w:sz w:val="24"/>
          <w:szCs w:val="24"/>
        </w:rPr>
        <w:t>excel in isolated technical dimensions but lack the integrated design specifically optimized for ICE test workflows. The ICE Test Analysis Tool addresses this critical gap by combining unified endpoint measurement, OECD-aligned interpretation, operational simplicity, and regulatory compliance into a single, cohesive platform.</w:t>
      </w:r>
    </w:p>
    <w:p w14:paraId="0C213465"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Manual scoring, despite its regulatory pedigree, introduces avoidable subjective variability, operational inefficiency, and limited scalability. By automating the extraction of opacity, swelling, fluorescein retention, and damage parameters while maintaining direct OECD TG 438 alignment, the ICE Test Analysis Tool enables laboratories to achieve superior reproducibility, faster throughput, and enhanced regulatory defensibility.</w:t>
      </w:r>
    </w:p>
    <w:p w14:paraId="70E3B7B1" w14:textId="1BA4899E"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eastAsia="Georgia" w:hAnsi="Times New Roman" w:cs="Times New Roman"/>
          <w:sz w:val="24"/>
          <w:szCs w:val="24"/>
        </w:rPr>
        <w:t>As chemical, cosmetic, and pharmaceutical industries face increasing pressure for accelerated safety assessment and refined regulatory alignment, adoption of AI-assisted, digitized ocular toxicity platforms will become the standard of practice. The ICE Test Analysis Tool represents a concrete realization of next-generation toxicology infrastructure</w:t>
      </w:r>
      <w:r w:rsidR="005015E7">
        <w:rPr>
          <w:rFonts w:ascii="Times New Roman" w:eastAsia="Georgia" w:hAnsi="Times New Roman" w:cs="Times New Roman"/>
          <w:sz w:val="24"/>
          <w:szCs w:val="24"/>
        </w:rPr>
        <w:t xml:space="preserve"> </w:t>
      </w:r>
      <w:r w:rsidRPr="005015E7">
        <w:rPr>
          <w:rFonts w:ascii="Times New Roman" w:eastAsia="Georgia" w:hAnsi="Times New Roman" w:cs="Times New Roman"/>
          <w:sz w:val="24"/>
          <w:szCs w:val="24"/>
        </w:rPr>
        <w:lastRenderedPageBreak/>
        <w:t>bringing the rigor of automation and the accessibility of user-friendly design to a critical safety endpoint. Future enhancements incorporating deep learning, cloud deployment, and multi-endpoint integration will further solidify the role of digital toxicology in supporting both innovation and safety across diverse chemical portfolios.</w:t>
      </w:r>
    </w:p>
    <w:p w14:paraId="6B0AF98F" w14:textId="01AA7C6D" w:rsidR="007E50D3" w:rsidRPr="005015E7" w:rsidRDefault="007E50D3" w:rsidP="005015E7">
      <w:pPr>
        <w:spacing w:line="276" w:lineRule="auto"/>
        <w:jc w:val="both"/>
        <w:rPr>
          <w:rFonts w:ascii="Times New Roman" w:hAnsi="Times New Roman" w:cs="Times New Roman"/>
          <w:sz w:val="24"/>
          <w:szCs w:val="24"/>
        </w:rPr>
      </w:pPr>
    </w:p>
    <w:p w14:paraId="1F14D152" w14:textId="77777777" w:rsidR="007E50D3" w:rsidRPr="005015E7" w:rsidRDefault="00000000" w:rsidP="005015E7">
      <w:pPr>
        <w:spacing w:before="240" w:line="276" w:lineRule="auto"/>
        <w:jc w:val="both"/>
        <w:rPr>
          <w:rFonts w:ascii="Times New Roman" w:hAnsi="Times New Roman" w:cs="Times New Roman"/>
          <w:sz w:val="24"/>
          <w:szCs w:val="24"/>
        </w:rPr>
      </w:pPr>
      <w:bookmarkStart w:id="22" w:name="references"/>
      <w:r w:rsidRPr="005015E7">
        <w:rPr>
          <w:rFonts w:ascii="Times New Roman" w:hAnsi="Times New Roman" w:cs="Times New Roman"/>
          <w:b/>
          <w:sz w:val="24"/>
          <w:szCs w:val="24"/>
        </w:rPr>
        <w:t>References</w:t>
      </w:r>
      <w:bookmarkEnd w:id="22"/>
    </w:p>
    <w:p w14:paraId="7CAEFFB1"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 xml:space="preserve">[1] Abdelkader, H., </w:t>
      </w:r>
      <w:proofErr w:type="spellStart"/>
      <w:r w:rsidRPr="005015E7">
        <w:rPr>
          <w:rFonts w:ascii="Times New Roman" w:hAnsi="Times New Roman" w:cs="Times New Roman"/>
          <w:sz w:val="24"/>
          <w:szCs w:val="24"/>
        </w:rPr>
        <w:t>Pierscionek</w:t>
      </w:r>
      <w:proofErr w:type="spellEnd"/>
      <w:r w:rsidRPr="005015E7">
        <w:rPr>
          <w:rFonts w:ascii="Times New Roman" w:hAnsi="Times New Roman" w:cs="Times New Roman"/>
          <w:sz w:val="24"/>
          <w:szCs w:val="24"/>
        </w:rPr>
        <w:t xml:space="preserve">, B. K., Carew, M., Wu, Z., &amp; Alany, R. G. (2015). Critical appraisal of alternative irritation models: three decades of testing ophthalmic pharmaceuticals. </w:t>
      </w:r>
      <w:r w:rsidRPr="005015E7">
        <w:rPr>
          <w:rFonts w:ascii="Times New Roman" w:hAnsi="Times New Roman" w:cs="Times New Roman"/>
          <w:i/>
          <w:sz w:val="24"/>
          <w:szCs w:val="24"/>
        </w:rPr>
        <w:t>British Medical Bulletin</w:t>
      </w:r>
      <w:r w:rsidRPr="005015E7">
        <w:rPr>
          <w:rFonts w:ascii="Times New Roman" w:eastAsia="Georgia" w:hAnsi="Times New Roman" w:cs="Times New Roman"/>
          <w:sz w:val="24"/>
          <w:szCs w:val="24"/>
        </w:rPr>
        <w:t xml:space="preserve">, 115(1), 75–90. </w:t>
      </w:r>
      <w:hyperlink r:id="rId5">
        <w:r w:rsidRPr="005015E7">
          <w:rPr>
            <w:rFonts w:ascii="Times New Roman" w:hAnsi="Times New Roman" w:cs="Times New Roman"/>
            <w:color w:val="4472C4"/>
            <w:sz w:val="24"/>
            <w:szCs w:val="24"/>
          </w:rPr>
          <w:t>https://doi.org/10.1093/BMB/LDV002</w:t>
        </w:r>
      </w:hyperlink>
    </w:p>
    <w:p w14:paraId="60941F63"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 xml:space="preserve">[2] OECD. (2023). </w:t>
      </w:r>
      <w:r w:rsidRPr="005015E7">
        <w:rPr>
          <w:rFonts w:ascii="Times New Roman" w:hAnsi="Times New Roman" w:cs="Times New Roman"/>
          <w:i/>
          <w:sz w:val="24"/>
          <w:szCs w:val="24"/>
        </w:rPr>
        <w:t>Test No. 438: Isolated Chicken Eye Test Method for Identifying Chemicals Inducing Serious Eye Damage and Eye Irritation</w:t>
      </w:r>
      <w:r w:rsidRPr="005015E7">
        <w:rPr>
          <w:rFonts w:ascii="Times New Roman" w:hAnsi="Times New Roman" w:cs="Times New Roman"/>
          <w:sz w:val="24"/>
          <w:szCs w:val="24"/>
        </w:rPr>
        <w:t xml:space="preserve">. OECD Publishing. </w:t>
      </w:r>
      <w:hyperlink r:id="rId6">
        <w:r w:rsidRPr="005015E7">
          <w:rPr>
            <w:rFonts w:ascii="Times New Roman" w:hAnsi="Times New Roman" w:cs="Times New Roman"/>
            <w:color w:val="4472C4"/>
            <w:sz w:val="24"/>
            <w:szCs w:val="24"/>
          </w:rPr>
          <w:t>https://doi.org/10.1787/9789264203723-en</w:t>
        </w:r>
      </w:hyperlink>
    </w:p>
    <w:p w14:paraId="2D84FCFF"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 xml:space="preserve">[3] McNutt, P. M., &amp; Mohan, R. R. (2020). The need for improved therapeutic approaches to protect the cornea against </w:t>
      </w:r>
      <w:proofErr w:type="spellStart"/>
      <w:r w:rsidRPr="005015E7">
        <w:rPr>
          <w:rFonts w:ascii="Times New Roman" w:hAnsi="Times New Roman" w:cs="Times New Roman"/>
          <w:sz w:val="24"/>
          <w:szCs w:val="24"/>
        </w:rPr>
        <w:t>chemotoxic</w:t>
      </w:r>
      <w:proofErr w:type="spellEnd"/>
      <w:r w:rsidRPr="005015E7">
        <w:rPr>
          <w:rFonts w:ascii="Times New Roman" w:hAnsi="Times New Roman" w:cs="Times New Roman"/>
          <w:sz w:val="24"/>
          <w:szCs w:val="24"/>
        </w:rPr>
        <w:t xml:space="preserve"> injuries. </w:t>
      </w:r>
      <w:r w:rsidRPr="005015E7">
        <w:rPr>
          <w:rFonts w:ascii="Times New Roman" w:hAnsi="Times New Roman" w:cs="Times New Roman"/>
          <w:i/>
          <w:sz w:val="24"/>
          <w:szCs w:val="24"/>
        </w:rPr>
        <w:t>Translational Vision Science &amp; Technology</w:t>
      </w:r>
      <w:r w:rsidRPr="005015E7">
        <w:rPr>
          <w:rFonts w:ascii="Times New Roman" w:hAnsi="Times New Roman" w:cs="Times New Roman"/>
          <w:sz w:val="24"/>
          <w:szCs w:val="24"/>
        </w:rPr>
        <w:t xml:space="preserve">, 9(12), 2. </w:t>
      </w:r>
      <w:hyperlink r:id="rId7">
        <w:r w:rsidRPr="005015E7">
          <w:rPr>
            <w:rFonts w:ascii="Times New Roman" w:hAnsi="Times New Roman" w:cs="Times New Roman"/>
            <w:color w:val="4472C4"/>
            <w:sz w:val="24"/>
            <w:szCs w:val="24"/>
          </w:rPr>
          <w:t>https://doi.org/10.1167/TVST.9.12.2</w:t>
        </w:r>
      </w:hyperlink>
    </w:p>
    <w:p w14:paraId="61EA88EB"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 xml:space="preserve">[4] </w:t>
      </w:r>
      <w:proofErr w:type="spellStart"/>
      <w:r w:rsidRPr="005015E7">
        <w:rPr>
          <w:rFonts w:ascii="Times New Roman" w:hAnsi="Times New Roman" w:cs="Times New Roman"/>
          <w:sz w:val="24"/>
          <w:szCs w:val="24"/>
        </w:rPr>
        <w:t>Mackenbrock</w:t>
      </w:r>
      <w:proofErr w:type="spellEnd"/>
      <w:r w:rsidRPr="005015E7">
        <w:rPr>
          <w:rFonts w:ascii="Times New Roman" w:hAnsi="Times New Roman" w:cs="Times New Roman"/>
          <w:sz w:val="24"/>
          <w:szCs w:val="24"/>
        </w:rPr>
        <w:t xml:space="preserve">, L. H. B., et al. (2022). Automatic quantitative assessment of lens opacities using swept-source optical coherence tomography. </w:t>
      </w:r>
      <w:r w:rsidRPr="005015E7">
        <w:rPr>
          <w:rFonts w:ascii="Times New Roman" w:hAnsi="Times New Roman" w:cs="Times New Roman"/>
          <w:i/>
          <w:sz w:val="24"/>
          <w:szCs w:val="24"/>
        </w:rPr>
        <w:t>Investigative Ophthalmology &amp; Visual Science</w:t>
      </w:r>
      <w:r w:rsidRPr="005015E7">
        <w:rPr>
          <w:rFonts w:ascii="Times New Roman" w:hAnsi="Times New Roman" w:cs="Times New Roman"/>
          <w:sz w:val="24"/>
          <w:szCs w:val="24"/>
        </w:rPr>
        <w:t xml:space="preserve">, 63(13), 5432. </w:t>
      </w:r>
      <w:hyperlink r:id="rId8">
        <w:r w:rsidRPr="005015E7">
          <w:rPr>
            <w:rFonts w:ascii="Times New Roman" w:hAnsi="Times New Roman" w:cs="Times New Roman"/>
            <w:color w:val="4472C4"/>
            <w:sz w:val="24"/>
            <w:szCs w:val="24"/>
          </w:rPr>
          <w:t>https://doi.org/10.1167/iovs.63.13.5432</w:t>
        </w:r>
      </w:hyperlink>
    </w:p>
    <w:p w14:paraId="7D9387BE"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 xml:space="preserve">[5] Rodriguez, J. D., et al. (2015). Automated grading system for evaluation of superficial punctate keratopathy. </w:t>
      </w:r>
      <w:r w:rsidRPr="005015E7">
        <w:rPr>
          <w:rFonts w:ascii="Times New Roman" w:hAnsi="Times New Roman" w:cs="Times New Roman"/>
          <w:i/>
          <w:sz w:val="24"/>
          <w:szCs w:val="24"/>
        </w:rPr>
        <w:t>Investigative Ophthalmology &amp; Visual Science</w:t>
      </w:r>
      <w:r w:rsidRPr="005015E7">
        <w:rPr>
          <w:rFonts w:ascii="Times New Roman" w:eastAsia="Georgia" w:hAnsi="Times New Roman" w:cs="Times New Roman"/>
          <w:sz w:val="24"/>
          <w:szCs w:val="24"/>
        </w:rPr>
        <w:t xml:space="preserve">, 56(3), 1432–1438. </w:t>
      </w:r>
      <w:hyperlink r:id="rId9">
        <w:r w:rsidRPr="005015E7">
          <w:rPr>
            <w:rFonts w:ascii="Times New Roman" w:hAnsi="Times New Roman" w:cs="Times New Roman"/>
            <w:color w:val="4472C4"/>
            <w:sz w:val="24"/>
            <w:szCs w:val="24"/>
          </w:rPr>
          <w:t>https://doi.org/10.1167/iovs.14-15903</w:t>
        </w:r>
      </w:hyperlink>
    </w:p>
    <w:p w14:paraId="1FCB8534"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 xml:space="preserve">[6] Eaton, J. S., et al. (2017). An ocular scoring system optimized for use in modern ophthalmic safety assessment in nonhuman primates and rabbits. </w:t>
      </w:r>
      <w:r w:rsidRPr="005015E7">
        <w:rPr>
          <w:rFonts w:ascii="Times New Roman" w:hAnsi="Times New Roman" w:cs="Times New Roman"/>
          <w:i/>
          <w:sz w:val="24"/>
          <w:szCs w:val="24"/>
        </w:rPr>
        <w:t>Journal of Ocular Pharmacology and Therapeutics</w:t>
      </w:r>
      <w:r w:rsidRPr="005015E7">
        <w:rPr>
          <w:rFonts w:ascii="Times New Roman" w:eastAsia="Georgia" w:hAnsi="Times New Roman" w:cs="Times New Roman"/>
          <w:sz w:val="24"/>
          <w:szCs w:val="24"/>
        </w:rPr>
        <w:t xml:space="preserve">, 33(7), 520–535. </w:t>
      </w:r>
      <w:hyperlink r:id="rId10">
        <w:r w:rsidRPr="005015E7">
          <w:rPr>
            <w:rFonts w:ascii="Times New Roman" w:hAnsi="Times New Roman" w:cs="Times New Roman"/>
            <w:color w:val="4472C4"/>
            <w:sz w:val="24"/>
            <w:szCs w:val="24"/>
          </w:rPr>
          <w:t>https://doi.org/10.1089/jop.2017.0108</w:t>
        </w:r>
      </w:hyperlink>
    </w:p>
    <w:p w14:paraId="5DC1D50F"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 xml:space="preserve">[7] Tracey Technologies. (2025). </w:t>
      </w:r>
      <w:proofErr w:type="spellStart"/>
      <w:r w:rsidRPr="005015E7">
        <w:rPr>
          <w:rFonts w:ascii="Times New Roman" w:hAnsi="Times New Roman" w:cs="Times New Roman"/>
          <w:sz w:val="24"/>
          <w:szCs w:val="24"/>
        </w:rPr>
        <w:t>iTrace</w:t>
      </w:r>
      <w:proofErr w:type="spellEnd"/>
      <w:r w:rsidRPr="005015E7">
        <w:rPr>
          <w:rFonts w:ascii="Times New Roman" w:hAnsi="Times New Roman" w:cs="Times New Roman"/>
          <w:sz w:val="24"/>
          <w:szCs w:val="24"/>
        </w:rPr>
        <w:t xml:space="preserve"> ophthalmic technology: Wavefront </w:t>
      </w:r>
      <w:proofErr w:type="spellStart"/>
      <w:r w:rsidRPr="005015E7">
        <w:rPr>
          <w:rFonts w:ascii="Times New Roman" w:hAnsi="Times New Roman" w:cs="Times New Roman"/>
          <w:sz w:val="24"/>
          <w:szCs w:val="24"/>
        </w:rPr>
        <w:t>aberrometry</w:t>
      </w:r>
      <w:proofErr w:type="spellEnd"/>
      <w:r w:rsidRPr="005015E7">
        <w:rPr>
          <w:rFonts w:ascii="Times New Roman" w:hAnsi="Times New Roman" w:cs="Times New Roman"/>
          <w:sz w:val="24"/>
          <w:szCs w:val="24"/>
        </w:rPr>
        <w:t xml:space="preserve"> and corneal topography system. Retrieved from </w:t>
      </w:r>
      <w:hyperlink r:id="rId11">
        <w:r w:rsidRPr="005015E7">
          <w:rPr>
            <w:rFonts w:ascii="Times New Roman" w:hAnsi="Times New Roman" w:cs="Times New Roman"/>
            <w:color w:val="4472C4"/>
            <w:sz w:val="24"/>
            <w:szCs w:val="24"/>
          </w:rPr>
          <w:t>https://www.traceytechnologies.com/itrace-ophthalmic-technology/</w:t>
        </w:r>
      </w:hyperlink>
    </w:p>
    <w:p w14:paraId="701790FD"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 xml:space="preserve">[8] Essilor Professional. (2025). IDRA: Tear film analysis and dry eye diagnostics. Retrieved from </w:t>
      </w:r>
      <w:hyperlink r:id="rId12">
        <w:r w:rsidRPr="005015E7">
          <w:rPr>
            <w:rFonts w:ascii="Times New Roman" w:hAnsi="Times New Roman" w:cs="Times New Roman"/>
            <w:color w:val="4472C4"/>
            <w:sz w:val="24"/>
            <w:szCs w:val="24"/>
          </w:rPr>
          <w:t>https://ecp.essilor-pro.com/gb/instruments/dry-eye/idra</w:t>
        </w:r>
      </w:hyperlink>
    </w:p>
    <w:p w14:paraId="5322335E"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 xml:space="preserve">[9] Fischer, I., Milton, C., &amp; Wallace, H. M. (2020). Toxicity testing is evolving. </w:t>
      </w:r>
      <w:r w:rsidRPr="005015E7">
        <w:rPr>
          <w:rFonts w:ascii="Times New Roman" w:hAnsi="Times New Roman" w:cs="Times New Roman"/>
          <w:i/>
          <w:sz w:val="24"/>
          <w:szCs w:val="24"/>
        </w:rPr>
        <w:t>Toxicology Research</w:t>
      </w:r>
      <w:r w:rsidRPr="005015E7">
        <w:rPr>
          <w:rFonts w:ascii="Times New Roman" w:eastAsia="Georgia" w:hAnsi="Times New Roman" w:cs="Times New Roman"/>
          <w:sz w:val="24"/>
          <w:szCs w:val="24"/>
        </w:rPr>
        <w:t xml:space="preserve">, 9(1), 80–92. </w:t>
      </w:r>
      <w:hyperlink r:id="rId13">
        <w:r w:rsidRPr="005015E7">
          <w:rPr>
            <w:rFonts w:ascii="Times New Roman" w:hAnsi="Times New Roman" w:cs="Times New Roman"/>
            <w:color w:val="4472C4"/>
            <w:sz w:val="24"/>
            <w:szCs w:val="24"/>
          </w:rPr>
          <w:t>https://doi.org/10.1093/TOXRES/TFAA011</w:t>
        </w:r>
      </w:hyperlink>
    </w:p>
    <w:p w14:paraId="621987EB"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lastRenderedPageBreak/>
        <w:t xml:space="preserve">[10] Gupta, S., et al. (2022). Machine learning to automate the visual interpretation of chemical agglutination tests. In </w:t>
      </w:r>
      <w:r w:rsidRPr="005015E7">
        <w:rPr>
          <w:rFonts w:ascii="Times New Roman" w:hAnsi="Times New Roman" w:cs="Times New Roman"/>
          <w:i/>
          <w:sz w:val="24"/>
          <w:szCs w:val="24"/>
        </w:rPr>
        <w:t>2022 IEEE Pervasive Computing and Communications Workshops (</w:t>
      </w:r>
      <w:proofErr w:type="spellStart"/>
      <w:r w:rsidRPr="005015E7">
        <w:rPr>
          <w:rFonts w:ascii="Times New Roman" w:hAnsi="Times New Roman" w:cs="Times New Roman"/>
          <w:i/>
          <w:sz w:val="24"/>
          <w:szCs w:val="24"/>
        </w:rPr>
        <w:t>PerCom</w:t>
      </w:r>
      <w:proofErr w:type="spellEnd"/>
      <w:r w:rsidRPr="005015E7">
        <w:rPr>
          <w:rFonts w:ascii="Times New Roman" w:hAnsi="Times New Roman" w:cs="Times New Roman"/>
          <w:i/>
          <w:sz w:val="24"/>
          <w:szCs w:val="24"/>
        </w:rPr>
        <w:t xml:space="preserve"> Workshops)</w:t>
      </w:r>
      <w:r w:rsidRPr="005015E7">
        <w:rPr>
          <w:rFonts w:ascii="Times New Roman" w:eastAsia="Georgia" w:hAnsi="Times New Roman" w:cs="Times New Roman"/>
          <w:sz w:val="24"/>
          <w:szCs w:val="24"/>
        </w:rPr>
        <w:t xml:space="preserve"> (pp. 455–460). </w:t>
      </w:r>
      <w:hyperlink r:id="rId14">
        <w:r w:rsidRPr="005015E7">
          <w:rPr>
            <w:rFonts w:ascii="Times New Roman" w:hAnsi="Times New Roman" w:cs="Times New Roman"/>
            <w:color w:val="4472C4"/>
            <w:sz w:val="24"/>
            <w:szCs w:val="24"/>
          </w:rPr>
          <w:t>https://doi.org/10.1109/PerComWorkshops53856.2022.9767280</w:t>
        </w:r>
      </w:hyperlink>
    </w:p>
    <w:p w14:paraId="08803C5C"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eastAsia="Georgia" w:hAnsi="Times New Roman" w:cs="Times New Roman"/>
          <w:sz w:val="24"/>
          <w:szCs w:val="24"/>
        </w:rPr>
        <w:t xml:space="preserve">[11] Mewes, K. R., et al. (2017). In vitro eye irritation testing using the open source reconstructed </w:t>
      </w:r>
      <w:proofErr w:type="spellStart"/>
      <w:r w:rsidRPr="005015E7">
        <w:rPr>
          <w:rFonts w:ascii="Times New Roman" w:eastAsia="Georgia" w:hAnsi="Times New Roman" w:cs="Times New Roman"/>
          <w:sz w:val="24"/>
          <w:szCs w:val="24"/>
        </w:rPr>
        <w:t>hemicornea</w:t>
      </w:r>
      <w:proofErr w:type="spellEnd"/>
      <w:r w:rsidRPr="005015E7">
        <w:rPr>
          <w:rFonts w:ascii="Times New Roman" w:eastAsia="Georgia" w:hAnsi="Times New Roman" w:cs="Times New Roman"/>
          <w:sz w:val="24"/>
          <w:szCs w:val="24"/>
        </w:rPr>
        <w:t xml:space="preserve"> – A ring trial. </w:t>
      </w:r>
      <w:r w:rsidRPr="005015E7">
        <w:rPr>
          <w:rFonts w:ascii="Times New Roman" w:hAnsi="Times New Roman" w:cs="Times New Roman"/>
          <w:i/>
          <w:sz w:val="24"/>
          <w:szCs w:val="24"/>
        </w:rPr>
        <w:t>ALTEX–Alternatives to Animal Experimentation</w:t>
      </w:r>
      <w:r w:rsidRPr="005015E7">
        <w:rPr>
          <w:rFonts w:ascii="Times New Roman" w:eastAsia="Georgia" w:hAnsi="Times New Roman" w:cs="Times New Roman"/>
          <w:sz w:val="24"/>
          <w:szCs w:val="24"/>
        </w:rPr>
        <w:t xml:space="preserve">, 34(1), 55–70. </w:t>
      </w:r>
      <w:hyperlink r:id="rId15">
        <w:r w:rsidRPr="005015E7">
          <w:rPr>
            <w:rFonts w:ascii="Times New Roman" w:hAnsi="Times New Roman" w:cs="Times New Roman"/>
            <w:color w:val="4472C4"/>
            <w:sz w:val="24"/>
            <w:szCs w:val="24"/>
          </w:rPr>
          <w:t>https://doi.org/10.14573/ALTEX.1610311</w:t>
        </w:r>
      </w:hyperlink>
    </w:p>
    <w:p w14:paraId="3A983DCF" w14:textId="77777777" w:rsidR="007E50D3" w:rsidRPr="005015E7" w:rsidRDefault="00000000" w:rsidP="005015E7">
      <w:pPr>
        <w:spacing w:after="210" w:line="276" w:lineRule="auto"/>
        <w:jc w:val="both"/>
        <w:rPr>
          <w:rFonts w:ascii="Times New Roman" w:hAnsi="Times New Roman" w:cs="Times New Roman"/>
          <w:sz w:val="24"/>
          <w:szCs w:val="24"/>
        </w:rPr>
      </w:pPr>
      <w:r w:rsidRPr="005015E7">
        <w:rPr>
          <w:rFonts w:ascii="Times New Roman" w:hAnsi="Times New Roman" w:cs="Times New Roman"/>
          <w:sz w:val="24"/>
          <w:szCs w:val="24"/>
        </w:rPr>
        <w:t xml:space="preserve">[12] El </w:t>
      </w:r>
      <w:proofErr w:type="spellStart"/>
      <w:r w:rsidRPr="005015E7">
        <w:rPr>
          <w:rFonts w:ascii="Times New Roman" w:hAnsi="Times New Roman" w:cs="Times New Roman"/>
          <w:sz w:val="24"/>
          <w:szCs w:val="24"/>
        </w:rPr>
        <w:t>Barche</w:t>
      </w:r>
      <w:proofErr w:type="spellEnd"/>
      <w:r w:rsidRPr="005015E7">
        <w:rPr>
          <w:rFonts w:ascii="Times New Roman" w:hAnsi="Times New Roman" w:cs="Times New Roman"/>
          <w:sz w:val="24"/>
          <w:szCs w:val="24"/>
        </w:rPr>
        <w:t xml:space="preserve">, F. Z., et al. (2024). Automated tear film break-up time measurement for dry eye disease assessment using artificial intelligence. </w:t>
      </w:r>
      <w:r w:rsidRPr="005015E7">
        <w:rPr>
          <w:rFonts w:ascii="Times New Roman" w:hAnsi="Times New Roman" w:cs="Times New Roman"/>
          <w:i/>
          <w:sz w:val="24"/>
          <w:szCs w:val="24"/>
        </w:rPr>
        <w:t>Nature Scientific Reports</w:t>
      </w:r>
      <w:r w:rsidRPr="005015E7">
        <w:rPr>
          <w:rFonts w:ascii="Times New Roman" w:hAnsi="Times New Roman" w:cs="Times New Roman"/>
          <w:sz w:val="24"/>
          <w:szCs w:val="24"/>
        </w:rPr>
        <w:t xml:space="preserve">, 14, 11890. </w:t>
      </w:r>
      <w:hyperlink r:id="rId16">
        <w:r w:rsidRPr="005015E7">
          <w:rPr>
            <w:rFonts w:ascii="Times New Roman" w:hAnsi="Times New Roman" w:cs="Times New Roman"/>
            <w:color w:val="4472C4"/>
            <w:sz w:val="24"/>
            <w:szCs w:val="24"/>
          </w:rPr>
          <w:t>https://doi.org/10.1038/s41598-024-62636-5</w:t>
        </w:r>
      </w:hyperlink>
    </w:p>
    <w:p w14:paraId="7D88045D" w14:textId="04740FFB" w:rsidR="007E50D3" w:rsidRPr="005015E7" w:rsidRDefault="007E50D3" w:rsidP="005015E7">
      <w:pPr>
        <w:spacing w:line="276" w:lineRule="auto"/>
        <w:jc w:val="both"/>
        <w:rPr>
          <w:rFonts w:ascii="Times New Roman" w:hAnsi="Times New Roman" w:cs="Times New Roman"/>
          <w:sz w:val="24"/>
          <w:szCs w:val="24"/>
        </w:rPr>
      </w:pPr>
    </w:p>
    <w:p w14:paraId="698DFA28" w14:textId="7395D45E" w:rsidR="007E50D3" w:rsidRPr="005015E7" w:rsidRDefault="007E50D3" w:rsidP="005015E7">
      <w:pPr>
        <w:spacing w:after="210" w:line="276" w:lineRule="auto"/>
        <w:jc w:val="both"/>
        <w:rPr>
          <w:rFonts w:ascii="Times New Roman" w:hAnsi="Times New Roman" w:cs="Times New Roman"/>
          <w:sz w:val="24"/>
          <w:szCs w:val="24"/>
        </w:rPr>
      </w:pPr>
    </w:p>
    <w:sectPr w:rsidR="007E50D3" w:rsidRPr="005015E7">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D19B4"/>
    <w:multiLevelType w:val="hybridMultilevel"/>
    <w:tmpl w:val="9C4A5C8E"/>
    <w:lvl w:ilvl="0" w:tplc="217298EC">
      <w:start w:val="1"/>
      <w:numFmt w:val="bullet"/>
      <w:lvlText w:val=""/>
      <w:lvlJc w:val="left"/>
      <w:pPr>
        <w:tabs>
          <w:tab w:val="num" w:pos="1080"/>
        </w:tabs>
        <w:ind w:left="720" w:hanging="360"/>
      </w:pPr>
      <w:rPr>
        <w:rFonts w:ascii="Symbol" w:hAnsi="Symbol" w:hint="default"/>
      </w:rPr>
    </w:lvl>
    <w:lvl w:ilvl="1" w:tplc="3EF2194E">
      <w:numFmt w:val="decimal"/>
      <w:lvlText w:val=""/>
      <w:lvlJc w:val="left"/>
    </w:lvl>
    <w:lvl w:ilvl="2" w:tplc="036A4D44">
      <w:numFmt w:val="decimal"/>
      <w:lvlText w:val=""/>
      <w:lvlJc w:val="left"/>
    </w:lvl>
    <w:lvl w:ilvl="3" w:tplc="791470A4">
      <w:numFmt w:val="decimal"/>
      <w:lvlText w:val=""/>
      <w:lvlJc w:val="left"/>
    </w:lvl>
    <w:lvl w:ilvl="4" w:tplc="BEE00EF2">
      <w:numFmt w:val="decimal"/>
      <w:lvlText w:val=""/>
      <w:lvlJc w:val="left"/>
    </w:lvl>
    <w:lvl w:ilvl="5" w:tplc="A328C8F4">
      <w:numFmt w:val="decimal"/>
      <w:lvlText w:val=""/>
      <w:lvlJc w:val="left"/>
    </w:lvl>
    <w:lvl w:ilvl="6" w:tplc="AE08DC60">
      <w:numFmt w:val="decimal"/>
      <w:lvlText w:val=""/>
      <w:lvlJc w:val="left"/>
    </w:lvl>
    <w:lvl w:ilvl="7" w:tplc="06F41130">
      <w:numFmt w:val="decimal"/>
      <w:lvlText w:val=""/>
      <w:lvlJc w:val="left"/>
    </w:lvl>
    <w:lvl w:ilvl="8" w:tplc="9B603D22">
      <w:numFmt w:val="decimal"/>
      <w:lvlText w:val=""/>
      <w:lvlJc w:val="left"/>
    </w:lvl>
  </w:abstractNum>
  <w:num w:numId="1" w16cid:durableId="720712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0D3"/>
    <w:rsid w:val="005015E7"/>
    <w:rsid w:val="007E50D3"/>
    <w:rsid w:val="00AF3F1D"/>
    <w:rsid w:val="00FB6A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928D6"/>
  <w15:docId w15:val="{969F125F-685D-4776-9F6C-444F97186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67/iovs.63.13.5432" TargetMode="External"/><Relationship Id="rId13" Type="http://schemas.openxmlformats.org/officeDocument/2006/relationships/hyperlink" Target="https://doi.org/10.1093/TOXRES/TFAA01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67/TVST.9.12.2" TargetMode="External"/><Relationship Id="rId12" Type="http://schemas.openxmlformats.org/officeDocument/2006/relationships/hyperlink" Target="https://ecp.essilor-pro.com/gb/instruments/dry-eye/idra"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38/s41598-024-62636-5" TargetMode="External"/><Relationship Id="rId1" Type="http://schemas.openxmlformats.org/officeDocument/2006/relationships/numbering" Target="numbering.xml"/><Relationship Id="rId6" Type="http://schemas.openxmlformats.org/officeDocument/2006/relationships/hyperlink" Target="https://doi.org/10.1787/9789264203723-en" TargetMode="External"/><Relationship Id="rId11" Type="http://schemas.openxmlformats.org/officeDocument/2006/relationships/hyperlink" Target="https://www.traceytechnologies.com/itrace-ophthalmic-technology/" TargetMode="External"/><Relationship Id="rId5" Type="http://schemas.openxmlformats.org/officeDocument/2006/relationships/hyperlink" Target="https://doi.org/10.1093/BMB/LDV002" TargetMode="External"/><Relationship Id="rId15" Type="http://schemas.openxmlformats.org/officeDocument/2006/relationships/hyperlink" Target="https://doi.org/10.14573/ALTEX.1610311" TargetMode="External"/><Relationship Id="rId10" Type="http://schemas.openxmlformats.org/officeDocument/2006/relationships/hyperlink" Target="https://doi.org/10.1089/jop.2017.0108" TargetMode="External"/><Relationship Id="rId4" Type="http://schemas.openxmlformats.org/officeDocument/2006/relationships/webSettings" Target="webSettings.xml"/><Relationship Id="rId9" Type="http://schemas.openxmlformats.org/officeDocument/2006/relationships/hyperlink" Target="https://doi.org/10.1167/iovs.14-15903" TargetMode="External"/><Relationship Id="rId14" Type="http://schemas.openxmlformats.org/officeDocument/2006/relationships/hyperlink" Target="https://doi.org/10.1109/PerComWorkshops53856.2022.97672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3497</Words>
  <Characters>19933</Characters>
  <Application>Microsoft Office Word</Application>
  <DocSecurity>0</DocSecurity>
  <Lines>166</Lines>
  <Paragraphs>46</Paragraphs>
  <ScaleCrop>false</ScaleCrop>
  <Company/>
  <LinksUpToDate>false</LinksUpToDate>
  <CharactersWithSpaces>23384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Shruti Joshi</cp:lastModifiedBy>
  <cp:revision>3</cp:revision>
  <dcterms:created xsi:type="dcterms:W3CDTF">2025-11-28T04:09:00Z</dcterms:created>
  <dcterms:modified xsi:type="dcterms:W3CDTF">2025-11-28T04:24:00Z</dcterms:modified>
</cp:coreProperties>
</file>