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FD21FF" w14:textId="708A2C52" w:rsidR="004C1182" w:rsidRPr="004C1182" w:rsidRDefault="003B6190" w:rsidP="003B6190">
      <w:pPr>
        <w:spacing w:line="276" w:lineRule="auto"/>
        <w:jc w:val="center"/>
        <w:rPr>
          <w:rFonts w:ascii="Times New Roman" w:hAnsi="Times New Roman" w:cs="Times New Roman"/>
          <w:b/>
          <w:bCs/>
          <w:sz w:val="32"/>
          <w:szCs w:val="32"/>
        </w:rPr>
      </w:pPr>
      <w:r w:rsidRPr="003B6190">
        <w:rPr>
          <w:rFonts w:ascii="Times New Roman" w:hAnsi="Times New Roman" w:cs="Times New Roman"/>
          <w:b/>
          <w:bCs/>
          <w:sz w:val="32"/>
          <w:szCs w:val="32"/>
        </w:rPr>
        <w:t xml:space="preserve">White Paper: </w:t>
      </w:r>
      <w:r w:rsidR="004C1182" w:rsidRPr="004C1182">
        <w:rPr>
          <w:rFonts w:ascii="Times New Roman" w:hAnsi="Times New Roman" w:cs="Times New Roman"/>
          <w:b/>
          <w:bCs/>
          <w:sz w:val="32"/>
          <w:szCs w:val="32"/>
        </w:rPr>
        <w:t>Allium cepa Meristem Cell Analysis</w:t>
      </w:r>
    </w:p>
    <w:p w14:paraId="610E0156" w14:textId="77777777" w:rsidR="004C1182" w:rsidRPr="004C1182" w:rsidRDefault="004C1182" w:rsidP="003B6190">
      <w:pPr>
        <w:spacing w:line="276" w:lineRule="auto"/>
        <w:jc w:val="center"/>
        <w:rPr>
          <w:rFonts w:ascii="Times New Roman" w:hAnsi="Times New Roman" w:cs="Times New Roman"/>
          <w:b/>
          <w:bCs/>
          <w:sz w:val="24"/>
          <w:szCs w:val="24"/>
        </w:rPr>
      </w:pPr>
      <w:r w:rsidRPr="004C1182">
        <w:rPr>
          <w:rFonts w:ascii="Times New Roman" w:hAnsi="Times New Roman" w:cs="Times New Roman"/>
          <w:b/>
          <w:bCs/>
          <w:i/>
          <w:iCs/>
          <w:sz w:val="24"/>
          <w:szCs w:val="24"/>
        </w:rPr>
        <w:t>Transforming Cytogenetic Evaluation and Genotoxicity Testing Through AI-Assisted Image Analysis</w:t>
      </w:r>
    </w:p>
    <w:p w14:paraId="715627F1" w14:textId="1BE1F2DA" w:rsidR="004C1182" w:rsidRPr="004C1182" w:rsidRDefault="004C1182" w:rsidP="004C1182">
      <w:pPr>
        <w:spacing w:line="276" w:lineRule="auto"/>
        <w:jc w:val="both"/>
        <w:rPr>
          <w:rFonts w:ascii="Times New Roman" w:hAnsi="Times New Roman" w:cs="Times New Roman"/>
          <w:sz w:val="24"/>
          <w:szCs w:val="24"/>
        </w:rPr>
      </w:pPr>
    </w:p>
    <w:p w14:paraId="11473161"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Introduction / Background</w:t>
      </w:r>
    </w:p>
    <w:p w14:paraId="733E0E35" w14:textId="3A48F092" w:rsidR="004C1182" w:rsidRPr="004C1182" w:rsidRDefault="004C1182" w:rsidP="004C1182">
      <w:p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Cytogenetic evaluation plays a pivotal role in toxicology, environmental monitoring, and basic biological research. The Allium cepa root meristem assay</w:t>
      </w:r>
      <w:r w:rsidR="003B6190">
        <w:rPr>
          <w:rFonts w:ascii="Times New Roman" w:hAnsi="Times New Roman" w:cs="Times New Roman"/>
          <w:sz w:val="24"/>
          <w:szCs w:val="24"/>
        </w:rPr>
        <w:t>-</w:t>
      </w:r>
      <w:r w:rsidRPr="004C1182">
        <w:rPr>
          <w:rFonts w:ascii="Times New Roman" w:hAnsi="Times New Roman" w:cs="Times New Roman"/>
          <w:sz w:val="24"/>
          <w:szCs w:val="24"/>
        </w:rPr>
        <w:t>one of the most accepted cytological models</w:t>
      </w:r>
      <w:r w:rsidR="003B6190">
        <w:rPr>
          <w:rFonts w:ascii="Times New Roman" w:hAnsi="Times New Roman" w:cs="Times New Roman"/>
          <w:sz w:val="24"/>
          <w:szCs w:val="24"/>
        </w:rPr>
        <w:t>-</w:t>
      </w:r>
      <w:r w:rsidRPr="004C1182">
        <w:rPr>
          <w:rFonts w:ascii="Times New Roman" w:hAnsi="Times New Roman" w:cs="Times New Roman"/>
          <w:sz w:val="24"/>
          <w:szCs w:val="24"/>
        </w:rPr>
        <w:t>forms the backbone of early genotoxicity screening due to its large chromosomes, rapid mitotic division, and exceptional sensitivity to chemicals and pollutants.</w:t>
      </w:r>
      <w:r w:rsidR="00757BD6" w:rsidRPr="00757BD6">
        <w:rPr>
          <w:rFonts w:ascii="Times New Roman" w:hAnsi="Times New Roman" w:cs="Times New Roman"/>
          <w:sz w:val="24"/>
          <w:szCs w:val="24"/>
          <w:vertAlign w:val="superscript"/>
        </w:rPr>
        <w:t>1</w:t>
      </w:r>
    </w:p>
    <w:p w14:paraId="2EB3FB65" w14:textId="1B41F658" w:rsidR="004C1182" w:rsidRPr="00757BD6" w:rsidRDefault="004C1182" w:rsidP="004C1182">
      <w:pPr>
        <w:spacing w:line="276" w:lineRule="auto"/>
        <w:jc w:val="both"/>
        <w:rPr>
          <w:rFonts w:ascii="Times New Roman" w:hAnsi="Times New Roman" w:cs="Times New Roman"/>
          <w:sz w:val="24"/>
          <w:szCs w:val="24"/>
          <w:vertAlign w:val="superscript"/>
        </w:rPr>
      </w:pPr>
      <w:r w:rsidRPr="004C1182">
        <w:rPr>
          <w:rFonts w:ascii="Times New Roman" w:hAnsi="Times New Roman" w:cs="Times New Roman"/>
          <w:sz w:val="24"/>
          <w:szCs w:val="24"/>
        </w:rPr>
        <w:t xml:space="preserve">In 2025, scientific workflows across biology and toxicology are undergoing rapid digital transformation. Artificial intelligence, automated microscopy, and computational biology are reshaping how laboratories </w:t>
      </w:r>
      <w:proofErr w:type="spellStart"/>
      <w:r w:rsidRPr="004C1182">
        <w:rPr>
          <w:rFonts w:ascii="Times New Roman" w:hAnsi="Times New Roman" w:cs="Times New Roman"/>
          <w:sz w:val="24"/>
          <w:szCs w:val="24"/>
        </w:rPr>
        <w:t>analyze</w:t>
      </w:r>
      <w:proofErr w:type="spellEnd"/>
      <w:r w:rsidRPr="004C1182">
        <w:rPr>
          <w:rFonts w:ascii="Times New Roman" w:hAnsi="Times New Roman" w:cs="Times New Roman"/>
          <w:sz w:val="24"/>
          <w:szCs w:val="24"/>
        </w:rPr>
        <w:t xml:space="preserve"> biological samples. While genomic sequencing, medical imaging, and drug discovery have already benefited from AI, cytogenetic assays</w:t>
      </w:r>
      <w:r w:rsidR="003B6190">
        <w:rPr>
          <w:rFonts w:ascii="Times New Roman" w:hAnsi="Times New Roman" w:cs="Times New Roman"/>
          <w:sz w:val="24"/>
          <w:szCs w:val="24"/>
        </w:rPr>
        <w:t>-</w:t>
      </w:r>
      <w:r w:rsidRPr="004C1182">
        <w:rPr>
          <w:rFonts w:ascii="Times New Roman" w:hAnsi="Times New Roman" w:cs="Times New Roman"/>
          <w:sz w:val="24"/>
          <w:szCs w:val="24"/>
        </w:rPr>
        <w:t>especially classical models like Allium cepa</w:t>
      </w:r>
      <w:r w:rsidR="003B6190">
        <w:rPr>
          <w:rFonts w:ascii="Times New Roman" w:hAnsi="Times New Roman" w:cs="Times New Roman"/>
          <w:sz w:val="24"/>
          <w:szCs w:val="24"/>
        </w:rPr>
        <w:t>-</w:t>
      </w:r>
      <w:r w:rsidRPr="004C1182">
        <w:rPr>
          <w:rFonts w:ascii="Times New Roman" w:hAnsi="Times New Roman" w:cs="Times New Roman"/>
          <w:sz w:val="24"/>
          <w:szCs w:val="24"/>
        </w:rPr>
        <w:t xml:space="preserve">have lagged due to the manual, </w:t>
      </w:r>
      <w:proofErr w:type="spellStart"/>
      <w:r w:rsidRPr="004C1182">
        <w:rPr>
          <w:rFonts w:ascii="Times New Roman" w:hAnsi="Times New Roman" w:cs="Times New Roman"/>
          <w:sz w:val="24"/>
          <w:szCs w:val="24"/>
        </w:rPr>
        <w:t>labor-intensive</w:t>
      </w:r>
      <w:proofErr w:type="spellEnd"/>
      <w:r w:rsidRPr="004C1182">
        <w:rPr>
          <w:rFonts w:ascii="Times New Roman" w:hAnsi="Times New Roman" w:cs="Times New Roman"/>
          <w:sz w:val="24"/>
          <w:szCs w:val="24"/>
        </w:rPr>
        <w:t xml:space="preserve"> nature of microscopic evaluation.</w:t>
      </w:r>
      <w:r w:rsidR="00757BD6" w:rsidRPr="00757BD6">
        <w:rPr>
          <w:rFonts w:ascii="Times New Roman" w:hAnsi="Times New Roman" w:cs="Times New Roman"/>
          <w:sz w:val="24"/>
          <w:szCs w:val="24"/>
          <w:vertAlign w:val="superscript"/>
        </w:rPr>
        <w:t>2</w:t>
      </w:r>
    </w:p>
    <w:p w14:paraId="49C01A26" w14:textId="4C94579F" w:rsidR="004C1182" w:rsidRPr="004C1182" w:rsidRDefault="004C1182" w:rsidP="004C1182">
      <w:p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Technological trends now prioritize standardized, automated, and reproducible biological analysis. Yet, cytology</w:t>
      </w:r>
      <w:r w:rsidR="003B6190">
        <w:rPr>
          <w:rFonts w:ascii="Times New Roman" w:hAnsi="Times New Roman" w:cs="Times New Roman"/>
          <w:sz w:val="24"/>
          <w:szCs w:val="24"/>
        </w:rPr>
        <w:t>-</w:t>
      </w:r>
      <w:r w:rsidRPr="004C1182">
        <w:rPr>
          <w:rFonts w:ascii="Times New Roman" w:hAnsi="Times New Roman" w:cs="Times New Roman"/>
          <w:sz w:val="24"/>
          <w:szCs w:val="24"/>
        </w:rPr>
        <w:t>particularly mitotic phase analysis</w:t>
      </w:r>
      <w:r w:rsidR="003B6190">
        <w:rPr>
          <w:rFonts w:ascii="Times New Roman" w:hAnsi="Times New Roman" w:cs="Times New Roman"/>
          <w:sz w:val="24"/>
          <w:szCs w:val="24"/>
        </w:rPr>
        <w:t>-</w:t>
      </w:r>
      <w:r w:rsidRPr="004C1182">
        <w:rPr>
          <w:rFonts w:ascii="Times New Roman" w:hAnsi="Times New Roman" w:cs="Times New Roman"/>
          <w:sz w:val="24"/>
          <w:szCs w:val="24"/>
        </w:rPr>
        <w:t>remains dependent on human expertise, subjective interpretation, and time-consuming manual counting. As health, environmental, and research systems shift toward precision biology and data-driven workflows, modernizing cytogenetic evaluation is both timely and essential.</w:t>
      </w:r>
      <w:r w:rsidR="00757BD6" w:rsidRPr="00757BD6">
        <w:rPr>
          <w:rFonts w:ascii="Times New Roman" w:hAnsi="Times New Roman" w:cs="Times New Roman"/>
          <w:sz w:val="24"/>
          <w:szCs w:val="24"/>
          <w:vertAlign w:val="superscript"/>
        </w:rPr>
        <w:t>2</w:t>
      </w:r>
    </w:p>
    <w:p w14:paraId="69B7F014" w14:textId="77777777" w:rsidR="004C1182" w:rsidRPr="004C1182" w:rsidRDefault="004C1182" w:rsidP="004C1182">
      <w:p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 xml:space="preserve">The </w:t>
      </w:r>
      <w:r w:rsidRPr="004C1182">
        <w:rPr>
          <w:rFonts w:ascii="Times New Roman" w:hAnsi="Times New Roman" w:cs="Times New Roman"/>
          <w:b/>
          <w:bCs/>
          <w:sz w:val="24"/>
          <w:szCs w:val="24"/>
        </w:rPr>
        <w:t>Allium cepa Meristem Cell Analysis</w:t>
      </w:r>
      <w:r w:rsidRPr="004C1182">
        <w:rPr>
          <w:rFonts w:ascii="Times New Roman" w:hAnsi="Times New Roman" w:cs="Times New Roman"/>
          <w:sz w:val="24"/>
          <w:szCs w:val="24"/>
        </w:rPr>
        <w:t xml:space="preserve"> tool addresses this emerging requirement by integrating digital microscopy with AI-assisted image interpretation to deliver rapid, accurate, and structured cytogenetic analysis.</w:t>
      </w:r>
    </w:p>
    <w:p w14:paraId="50822C05" w14:textId="0671EA5A" w:rsidR="004C1182" w:rsidRPr="004C1182" w:rsidRDefault="004C1182" w:rsidP="004C1182">
      <w:pPr>
        <w:spacing w:line="276" w:lineRule="auto"/>
        <w:jc w:val="both"/>
        <w:rPr>
          <w:rFonts w:ascii="Times New Roman" w:hAnsi="Times New Roman" w:cs="Times New Roman"/>
          <w:sz w:val="24"/>
          <w:szCs w:val="24"/>
        </w:rPr>
      </w:pPr>
    </w:p>
    <w:p w14:paraId="2CDFA637"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Problem Statement</w:t>
      </w:r>
    </w:p>
    <w:p w14:paraId="1AF86320" w14:textId="77777777" w:rsidR="004C1182" w:rsidRPr="004C1182" w:rsidRDefault="004C1182" w:rsidP="004C1182">
      <w:p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Despite its importance, the Allium cepa assay faces significant challenges:</w:t>
      </w:r>
    </w:p>
    <w:p w14:paraId="45FF7F9E"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1. Manual Microscopy Bottlenecks</w:t>
      </w:r>
    </w:p>
    <w:p w14:paraId="75CFA4B1" w14:textId="71F25DCD" w:rsidR="004C1182" w:rsidRPr="004C1182" w:rsidRDefault="004C1182" w:rsidP="004C1182">
      <w:p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Researchers must manually inspect hundreds of cells to classify mitotic phases, detect nuclear alterations, and compute indices</w:t>
      </w:r>
      <w:r w:rsidR="003B6190">
        <w:rPr>
          <w:rFonts w:ascii="Times New Roman" w:hAnsi="Times New Roman" w:cs="Times New Roman"/>
          <w:sz w:val="24"/>
          <w:szCs w:val="24"/>
        </w:rPr>
        <w:t>-</w:t>
      </w:r>
      <w:r w:rsidRPr="004C1182">
        <w:rPr>
          <w:rFonts w:ascii="Times New Roman" w:hAnsi="Times New Roman" w:cs="Times New Roman"/>
          <w:sz w:val="24"/>
          <w:szCs w:val="24"/>
        </w:rPr>
        <w:t>an inherently slow and error-prone process.</w:t>
      </w:r>
      <w:r w:rsidR="00757BD6" w:rsidRPr="00757BD6">
        <w:rPr>
          <w:rFonts w:ascii="Times New Roman" w:hAnsi="Times New Roman" w:cs="Times New Roman"/>
          <w:sz w:val="24"/>
          <w:szCs w:val="24"/>
          <w:vertAlign w:val="superscript"/>
        </w:rPr>
        <w:t>3</w:t>
      </w:r>
    </w:p>
    <w:p w14:paraId="39EE0167"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2. Subjective Interpretation</w:t>
      </w:r>
    </w:p>
    <w:p w14:paraId="7AB8A3DB" w14:textId="7A058904" w:rsidR="004C1182" w:rsidRPr="00757BD6" w:rsidRDefault="004C1182" w:rsidP="004C1182">
      <w:pPr>
        <w:spacing w:line="276" w:lineRule="auto"/>
        <w:jc w:val="both"/>
        <w:rPr>
          <w:rFonts w:ascii="Times New Roman" w:hAnsi="Times New Roman" w:cs="Times New Roman"/>
          <w:sz w:val="24"/>
          <w:szCs w:val="24"/>
          <w:vertAlign w:val="superscript"/>
        </w:rPr>
      </w:pPr>
      <w:r w:rsidRPr="004C1182">
        <w:rPr>
          <w:rFonts w:ascii="Times New Roman" w:hAnsi="Times New Roman" w:cs="Times New Roman"/>
          <w:sz w:val="24"/>
          <w:szCs w:val="24"/>
        </w:rPr>
        <w:t>Differences in training, experience, and perception lead to inconsistent results. Identifying early prophase, distinguishing late telophase, or detecting subtle aberrations often varies between observers.</w:t>
      </w:r>
      <w:r w:rsidR="00757BD6" w:rsidRPr="00757BD6">
        <w:rPr>
          <w:rFonts w:ascii="Times New Roman" w:hAnsi="Times New Roman" w:cs="Times New Roman"/>
          <w:sz w:val="24"/>
          <w:szCs w:val="24"/>
          <w:vertAlign w:val="superscript"/>
        </w:rPr>
        <w:t>4</w:t>
      </w:r>
    </w:p>
    <w:p w14:paraId="187307CA"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3. Lack of Standardized Output</w:t>
      </w:r>
    </w:p>
    <w:p w14:paraId="0FFE9459" w14:textId="77777777" w:rsidR="004C1182" w:rsidRPr="004C1182" w:rsidRDefault="004C1182" w:rsidP="004C1182">
      <w:p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lastRenderedPageBreak/>
        <w:t>Most academic and laboratory settings lack uniform reporting for mitotic index, phase indices, or aberration frequency, making cross-study comparison difficult.</w:t>
      </w:r>
    </w:p>
    <w:p w14:paraId="348DC425"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4. Limited Access to Expertise</w:t>
      </w:r>
    </w:p>
    <w:p w14:paraId="3DAA808E" w14:textId="41664EEC" w:rsidR="004C1182" w:rsidRPr="004C1182" w:rsidRDefault="004C1182" w:rsidP="004C1182">
      <w:p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Students and early-career researchers struggle to interpret cytogenetic features without extensive training.</w:t>
      </w:r>
      <w:r w:rsidR="00757BD6" w:rsidRPr="00757BD6">
        <w:rPr>
          <w:rFonts w:ascii="Times New Roman" w:hAnsi="Times New Roman" w:cs="Times New Roman"/>
          <w:sz w:val="24"/>
          <w:szCs w:val="24"/>
          <w:vertAlign w:val="superscript"/>
        </w:rPr>
        <w:t>5</w:t>
      </w:r>
    </w:p>
    <w:p w14:paraId="51129B81"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5. Scalability Issues</w:t>
      </w:r>
    </w:p>
    <w:p w14:paraId="51E48E7C" w14:textId="0CEE7FF1" w:rsidR="004C1182" w:rsidRPr="00757BD6" w:rsidRDefault="004C1182" w:rsidP="004C1182">
      <w:pPr>
        <w:spacing w:line="276" w:lineRule="auto"/>
        <w:jc w:val="both"/>
        <w:rPr>
          <w:rFonts w:ascii="Times New Roman" w:hAnsi="Times New Roman" w:cs="Times New Roman"/>
          <w:sz w:val="24"/>
          <w:szCs w:val="24"/>
          <w:vertAlign w:val="superscript"/>
        </w:rPr>
      </w:pPr>
      <w:r w:rsidRPr="004C1182">
        <w:rPr>
          <w:rFonts w:ascii="Times New Roman" w:hAnsi="Times New Roman" w:cs="Times New Roman"/>
          <w:sz w:val="24"/>
          <w:szCs w:val="24"/>
        </w:rPr>
        <w:t>Conventional assays cannot rapidly process large datasets, limiting throughput for toxicology studies.</w:t>
      </w:r>
      <w:r w:rsidR="00757BD6" w:rsidRPr="00757BD6">
        <w:rPr>
          <w:rFonts w:ascii="Times New Roman" w:hAnsi="Times New Roman" w:cs="Times New Roman"/>
          <w:sz w:val="24"/>
          <w:szCs w:val="24"/>
          <w:vertAlign w:val="superscript"/>
        </w:rPr>
        <w:t>6</w:t>
      </w:r>
    </w:p>
    <w:p w14:paraId="483B1718" w14:textId="77777777" w:rsidR="004C1182" w:rsidRPr="004C1182" w:rsidRDefault="004C1182" w:rsidP="004C1182">
      <w:p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Therefore, an integrated, automated, user-friendly platform is urgently needed to optimize cytogenetic workflows and enhance interpretative reliability.</w:t>
      </w:r>
    </w:p>
    <w:p w14:paraId="1DF1CAB7" w14:textId="5B383EAF" w:rsidR="004C1182" w:rsidRPr="004C1182" w:rsidRDefault="004C1182" w:rsidP="004C1182">
      <w:pPr>
        <w:spacing w:line="276" w:lineRule="auto"/>
        <w:jc w:val="both"/>
        <w:rPr>
          <w:rFonts w:ascii="Times New Roman" w:hAnsi="Times New Roman" w:cs="Times New Roman"/>
          <w:sz w:val="24"/>
          <w:szCs w:val="24"/>
        </w:rPr>
      </w:pPr>
    </w:p>
    <w:p w14:paraId="5FFA7D89"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The Tool: Allium cepa Meristem Cell Analysis</w:t>
      </w:r>
    </w:p>
    <w:p w14:paraId="27AECD4F" w14:textId="16429659" w:rsidR="004C1182" w:rsidRPr="004C1182" w:rsidRDefault="004C1182" w:rsidP="004C1182">
      <w:p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 xml:space="preserve">The </w:t>
      </w:r>
      <w:r w:rsidRPr="004C1182">
        <w:rPr>
          <w:rFonts w:ascii="Times New Roman" w:hAnsi="Times New Roman" w:cs="Times New Roman"/>
          <w:b/>
          <w:bCs/>
          <w:sz w:val="24"/>
          <w:szCs w:val="24"/>
        </w:rPr>
        <w:t>Allium cepa Meristem Cell Analysis</w:t>
      </w:r>
      <w:r w:rsidRPr="004C1182">
        <w:rPr>
          <w:rFonts w:ascii="Times New Roman" w:hAnsi="Times New Roman" w:cs="Times New Roman"/>
          <w:sz w:val="24"/>
          <w:szCs w:val="24"/>
        </w:rPr>
        <w:t xml:space="preserve"> platform is an AI-assisted microscopy interpretation system designed to automate the analysis of onion root meristem photomicrographs. The tool enables users</w:t>
      </w:r>
      <w:r w:rsidR="003B6190">
        <w:rPr>
          <w:rFonts w:ascii="Times New Roman" w:hAnsi="Times New Roman" w:cs="Times New Roman"/>
          <w:sz w:val="24"/>
          <w:szCs w:val="24"/>
        </w:rPr>
        <w:t>-</w:t>
      </w:r>
      <w:r w:rsidRPr="004C1182">
        <w:rPr>
          <w:rFonts w:ascii="Times New Roman" w:hAnsi="Times New Roman" w:cs="Times New Roman"/>
          <w:sz w:val="24"/>
          <w:szCs w:val="24"/>
        </w:rPr>
        <w:t>students, researchers, environmental labs, and toxicology teams</w:t>
      </w:r>
      <w:r w:rsidR="003B6190">
        <w:rPr>
          <w:rFonts w:ascii="Times New Roman" w:hAnsi="Times New Roman" w:cs="Times New Roman"/>
          <w:sz w:val="24"/>
          <w:szCs w:val="24"/>
        </w:rPr>
        <w:t>-</w:t>
      </w:r>
      <w:r w:rsidRPr="004C1182">
        <w:rPr>
          <w:rFonts w:ascii="Times New Roman" w:hAnsi="Times New Roman" w:cs="Times New Roman"/>
          <w:sz w:val="24"/>
          <w:szCs w:val="24"/>
        </w:rPr>
        <w:t>to upload a micrograph and instantly receive:</w:t>
      </w:r>
    </w:p>
    <w:p w14:paraId="78070FAF" w14:textId="77777777" w:rsidR="004C1182" w:rsidRPr="004C1182" w:rsidRDefault="004C1182" w:rsidP="004C1182">
      <w:pPr>
        <w:numPr>
          <w:ilvl w:val="0"/>
          <w:numId w:val="1"/>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Mitotic phase identification</w:t>
      </w:r>
    </w:p>
    <w:p w14:paraId="41F1B16C" w14:textId="77777777" w:rsidR="004C1182" w:rsidRPr="004C1182" w:rsidRDefault="004C1182" w:rsidP="004C1182">
      <w:pPr>
        <w:numPr>
          <w:ilvl w:val="0"/>
          <w:numId w:val="1"/>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Nuclear alteration detection</w:t>
      </w:r>
    </w:p>
    <w:p w14:paraId="70305805" w14:textId="77777777" w:rsidR="004C1182" w:rsidRPr="004C1182" w:rsidRDefault="004C1182" w:rsidP="004C1182">
      <w:pPr>
        <w:numPr>
          <w:ilvl w:val="0"/>
          <w:numId w:val="1"/>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Chromosome visualization</w:t>
      </w:r>
    </w:p>
    <w:p w14:paraId="09ADA537" w14:textId="77777777" w:rsidR="004C1182" w:rsidRPr="004C1182" w:rsidRDefault="004C1182" w:rsidP="004C1182">
      <w:pPr>
        <w:numPr>
          <w:ilvl w:val="0"/>
          <w:numId w:val="1"/>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Automated cytogenetic indices</w:t>
      </w:r>
    </w:p>
    <w:p w14:paraId="65A7E9F2" w14:textId="77777777" w:rsidR="004C1182" w:rsidRPr="004C1182" w:rsidRDefault="004C1182" w:rsidP="004C1182">
      <w:pPr>
        <w:numPr>
          <w:ilvl w:val="0"/>
          <w:numId w:val="1"/>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Structured reporting for research and education</w:t>
      </w:r>
    </w:p>
    <w:p w14:paraId="75C6E73D" w14:textId="15D85D1E" w:rsidR="004C1182" w:rsidRPr="004C1182" w:rsidRDefault="004C1182" w:rsidP="004C1182">
      <w:p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It represents a major leap toward digitally driven cytology, similar in innovation philosophy to modern AI-enhanced scientific platforms</w:t>
      </w:r>
      <w:r w:rsidR="003B6190">
        <w:rPr>
          <w:rFonts w:ascii="Times New Roman" w:hAnsi="Times New Roman" w:cs="Times New Roman"/>
          <w:sz w:val="24"/>
          <w:szCs w:val="24"/>
        </w:rPr>
        <w:t>.</w:t>
      </w:r>
    </w:p>
    <w:p w14:paraId="6AA218CD" w14:textId="17C99E10" w:rsidR="004C1182" w:rsidRPr="004C1182" w:rsidRDefault="004C1182" w:rsidP="004C1182">
      <w:pPr>
        <w:spacing w:line="276" w:lineRule="auto"/>
        <w:jc w:val="both"/>
        <w:rPr>
          <w:rFonts w:ascii="Times New Roman" w:hAnsi="Times New Roman" w:cs="Times New Roman"/>
          <w:sz w:val="24"/>
          <w:szCs w:val="24"/>
        </w:rPr>
      </w:pPr>
    </w:p>
    <w:p w14:paraId="679E643C"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Features and Functionality</w:t>
      </w:r>
    </w:p>
    <w:p w14:paraId="427843FD" w14:textId="77777777" w:rsidR="004C1182" w:rsidRPr="004C1182" w:rsidRDefault="004C1182" w:rsidP="004C1182">
      <w:pPr>
        <w:numPr>
          <w:ilvl w:val="0"/>
          <w:numId w:val="2"/>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Automated Mitotic Phase Detection</w:t>
      </w:r>
      <w:r w:rsidRPr="004C1182">
        <w:rPr>
          <w:rFonts w:ascii="Times New Roman" w:hAnsi="Times New Roman" w:cs="Times New Roman"/>
          <w:sz w:val="24"/>
          <w:szCs w:val="24"/>
        </w:rPr>
        <w:t xml:space="preserve"> (Prophase, Metaphase, Anaphase, Telophase)</w:t>
      </w:r>
    </w:p>
    <w:p w14:paraId="1AD513DC" w14:textId="77777777" w:rsidR="004C1182" w:rsidRPr="004C1182" w:rsidRDefault="004C1182" w:rsidP="004C1182">
      <w:pPr>
        <w:numPr>
          <w:ilvl w:val="0"/>
          <w:numId w:val="2"/>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Chromosome Marking Toggle</w:t>
      </w:r>
      <w:r w:rsidRPr="004C1182">
        <w:rPr>
          <w:rFonts w:ascii="Times New Roman" w:hAnsi="Times New Roman" w:cs="Times New Roman"/>
          <w:sz w:val="24"/>
          <w:szCs w:val="24"/>
        </w:rPr>
        <w:t xml:space="preserve"> for enhanced visibility</w:t>
      </w:r>
    </w:p>
    <w:p w14:paraId="7B679551" w14:textId="77777777" w:rsidR="004C1182" w:rsidRPr="004C1182" w:rsidRDefault="004C1182" w:rsidP="004C1182">
      <w:pPr>
        <w:numPr>
          <w:ilvl w:val="0"/>
          <w:numId w:val="2"/>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AI-Based Nuclear Alteration Detection</w:t>
      </w:r>
      <w:r w:rsidRPr="004C1182">
        <w:rPr>
          <w:rFonts w:ascii="Times New Roman" w:hAnsi="Times New Roman" w:cs="Times New Roman"/>
          <w:sz w:val="24"/>
          <w:szCs w:val="24"/>
        </w:rPr>
        <w:t xml:space="preserve"> (e.g., karyorrhexis)</w:t>
      </w:r>
    </w:p>
    <w:p w14:paraId="4FD83FAF" w14:textId="77777777" w:rsidR="004C1182" w:rsidRPr="004C1182" w:rsidRDefault="004C1182" w:rsidP="004C1182">
      <w:pPr>
        <w:numPr>
          <w:ilvl w:val="0"/>
          <w:numId w:val="2"/>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Real-Time Calculation of:</w:t>
      </w:r>
    </w:p>
    <w:p w14:paraId="360FEEC6" w14:textId="77777777" w:rsidR="004C1182" w:rsidRPr="004C1182" w:rsidRDefault="004C1182" w:rsidP="004C1182">
      <w:pPr>
        <w:numPr>
          <w:ilvl w:val="1"/>
          <w:numId w:val="2"/>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Mitotic Index</w:t>
      </w:r>
    </w:p>
    <w:p w14:paraId="1C47DF60" w14:textId="77777777" w:rsidR="004C1182" w:rsidRPr="004C1182" w:rsidRDefault="004C1182" w:rsidP="004C1182">
      <w:pPr>
        <w:numPr>
          <w:ilvl w:val="1"/>
          <w:numId w:val="2"/>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Phase Indices</w:t>
      </w:r>
    </w:p>
    <w:p w14:paraId="0C511742" w14:textId="77777777" w:rsidR="004C1182" w:rsidRPr="004C1182" w:rsidRDefault="004C1182" w:rsidP="004C1182">
      <w:pPr>
        <w:numPr>
          <w:ilvl w:val="1"/>
          <w:numId w:val="2"/>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Aberration Frequency</w:t>
      </w:r>
    </w:p>
    <w:p w14:paraId="1DF5E6FE" w14:textId="77777777" w:rsidR="004C1182" w:rsidRPr="004C1182" w:rsidRDefault="004C1182" w:rsidP="004C1182">
      <w:pPr>
        <w:numPr>
          <w:ilvl w:val="0"/>
          <w:numId w:val="2"/>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lastRenderedPageBreak/>
        <w:t>Zoom and Measurement Tools</w:t>
      </w:r>
      <w:r w:rsidRPr="004C1182">
        <w:rPr>
          <w:rFonts w:ascii="Times New Roman" w:hAnsi="Times New Roman" w:cs="Times New Roman"/>
          <w:sz w:val="24"/>
          <w:szCs w:val="24"/>
        </w:rPr>
        <w:t xml:space="preserve"> for detailed inspection</w:t>
      </w:r>
    </w:p>
    <w:p w14:paraId="7DAB5199" w14:textId="77777777" w:rsidR="004C1182" w:rsidRPr="004C1182" w:rsidRDefault="004C1182" w:rsidP="004C1182">
      <w:pPr>
        <w:numPr>
          <w:ilvl w:val="0"/>
          <w:numId w:val="2"/>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Structured Output Panels</w:t>
      </w:r>
      <w:r w:rsidRPr="004C1182">
        <w:rPr>
          <w:rFonts w:ascii="Times New Roman" w:hAnsi="Times New Roman" w:cs="Times New Roman"/>
          <w:sz w:val="24"/>
          <w:szCs w:val="24"/>
        </w:rPr>
        <w:t xml:space="preserve"> displaying division analysis and abnormalities</w:t>
      </w:r>
    </w:p>
    <w:p w14:paraId="306644AF" w14:textId="77777777" w:rsidR="004C1182" w:rsidRPr="004C1182" w:rsidRDefault="004C1182" w:rsidP="004C1182">
      <w:pPr>
        <w:numPr>
          <w:ilvl w:val="0"/>
          <w:numId w:val="2"/>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Educational Interpretation</w:t>
      </w:r>
      <w:r w:rsidRPr="004C1182">
        <w:rPr>
          <w:rFonts w:ascii="Times New Roman" w:hAnsi="Times New Roman" w:cs="Times New Roman"/>
          <w:sz w:val="24"/>
          <w:szCs w:val="24"/>
        </w:rPr>
        <w:t xml:space="preserve"> of cytological features (chromatin condensation, nucleolus changes, nuclear membrane patterns)</w:t>
      </w:r>
    </w:p>
    <w:p w14:paraId="5E65A8D7" w14:textId="28790857" w:rsidR="004C1182" w:rsidRPr="004C1182" w:rsidRDefault="004C1182" w:rsidP="004C1182">
      <w:pPr>
        <w:spacing w:line="276" w:lineRule="auto"/>
        <w:jc w:val="both"/>
        <w:rPr>
          <w:rFonts w:ascii="Times New Roman" w:hAnsi="Times New Roman" w:cs="Times New Roman"/>
          <w:sz w:val="24"/>
          <w:szCs w:val="24"/>
        </w:rPr>
      </w:pPr>
    </w:p>
    <w:p w14:paraId="7D0B33F1"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How It Works</w:t>
      </w:r>
    </w:p>
    <w:p w14:paraId="31D49DB6" w14:textId="77777777" w:rsidR="004C1182" w:rsidRPr="004C1182" w:rsidRDefault="004C1182" w:rsidP="004C1182">
      <w:pPr>
        <w:numPr>
          <w:ilvl w:val="0"/>
          <w:numId w:val="3"/>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Image Upload:</w:t>
      </w:r>
      <w:r w:rsidRPr="004C1182">
        <w:rPr>
          <w:rFonts w:ascii="Times New Roman" w:hAnsi="Times New Roman" w:cs="Times New Roman"/>
          <w:sz w:val="24"/>
          <w:szCs w:val="24"/>
        </w:rPr>
        <w:t xml:space="preserve"> Users drag and drop JPG/PNG micrographs.</w:t>
      </w:r>
    </w:p>
    <w:p w14:paraId="44B31E04" w14:textId="77777777" w:rsidR="004C1182" w:rsidRPr="004C1182" w:rsidRDefault="004C1182" w:rsidP="004C1182">
      <w:pPr>
        <w:numPr>
          <w:ilvl w:val="0"/>
          <w:numId w:val="3"/>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AI Processing:</w:t>
      </w:r>
      <w:r w:rsidRPr="004C1182">
        <w:rPr>
          <w:rFonts w:ascii="Times New Roman" w:hAnsi="Times New Roman" w:cs="Times New Roman"/>
          <w:sz w:val="24"/>
          <w:szCs w:val="24"/>
        </w:rPr>
        <w:t xml:space="preserve"> Algorithms </w:t>
      </w:r>
      <w:proofErr w:type="spellStart"/>
      <w:r w:rsidRPr="004C1182">
        <w:rPr>
          <w:rFonts w:ascii="Times New Roman" w:hAnsi="Times New Roman" w:cs="Times New Roman"/>
          <w:sz w:val="24"/>
          <w:szCs w:val="24"/>
        </w:rPr>
        <w:t>analyze</w:t>
      </w:r>
      <w:proofErr w:type="spellEnd"/>
      <w:r w:rsidRPr="004C1182">
        <w:rPr>
          <w:rFonts w:ascii="Times New Roman" w:hAnsi="Times New Roman" w:cs="Times New Roman"/>
          <w:sz w:val="24"/>
          <w:szCs w:val="24"/>
        </w:rPr>
        <w:t xml:space="preserve"> chromatin patterns, nuclear boundaries, and chromosome alignment.</w:t>
      </w:r>
    </w:p>
    <w:p w14:paraId="2693638F" w14:textId="77777777" w:rsidR="004C1182" w:rsidRPr="004C1182" w:rsidRDefault="004C1182" w:rsidP="004C1182">
      <w:pPr>
        <w:numPr>
          <w:ilvl w:val="0"/>
          <w:numId w:val="3"/>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Phase Classification:</w:t>
      </w:r>
      <w:r w:rsidRPr="004C1182">
        <w:rPr>
          <w:rFonts w:ascii="Times New Roman" w:hAnsi="Times New Roman" w:cs="Times New Roman"/>
          <w:sz w:val="24"/>
          <w:szCs w:val="24"/>
        </w:rPr>
        <w:t xml:space="preserve"> The system assigns the dominant mitotic phase visible in the cell cluster.</w:t>
      </w:r>
    </w:p>
    <w:p w14:paraId="7F5F3232" w14:textId="77777777" w:rsidR="004C1182" w:rsidRPr="004C1182" w:rsidRDefault="004C1182" w:rsidP="004C1182">
      <w:pPr>
        <w:numPr>
          <w:ilvl w:val="0"/>
          <w:numId w:val="3"/>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Nuclear Screening:</w:t>
      </w:r>
      <w:r w:rsidRPr="004C1182">
        <w:rPr>
          <w:rFonts w:ascii="Times New Roman" w:hAnsi="Times New Roman" w:cs="Times New Roman"/>
          <w:sz w:val="24"/>
          <w:szCs w:val="24"/>
        </w:rPr>
        <w:t xml:space="preserve"> Detects abnormalities such as membrane breakdown or chromatin fragmentation.</w:t>
      </w:r>
    </w:p>
    <w:p w14:paraId="0215B2C9" w14:textId="77777777" w:rsidR="004C1182" w:rsidRPr="004C1182" w:rsidRDefault="004C1182" w:rsidP="004C1182">
      <w:pPr>
        <w:numPr>
          <w:ilvl w:val="0"/>
          <w:numId w:val="3"/>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Index Computation:</w:t>
      </w:r>
      <w:r w:rsidRPr="004C1182">
        <w:rPr>
          <w:rFonts w:ascii="Times New Roman" w:hAnsi="Times New Roman" w:cs="Times New Roman"/>
          <w:sz w:val="24"/>
          <w:szCs w:val="24"/>
        </w:rPr>
        <w:t xml:space="preserve"> Total cells and mitotic cells are quantified to compute indices automatically.</w:t>
      </w:r>
    </w:p>
    <w:p w14:paraId="15787DFF" w14:textId="77777777" w:rsidR="004C1182" w:rsidRPr="004C1182" w:rsidRDefault="004C1182" w:rsidP="004C1182">
      <w:pPr>
        <w:numPr>
          <w:ilvl w:val="0"/>
          <w:numId w:val="3"/>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Report Generation:</w:t>
      </w:r>
      <w:r w:rsidRPr="004C1182">
        <w:rPr>
          <w:rFonts w:ascii="Times New Roman" w:hAnsi="Times New Roman" w:cs="Times New Roman"/>
          <w:sz w:val="24"/>
          <w:szCs w:val="24"/>
        </w:rPr>
        <w:t xml:space="preserve"> Results are displayed in structured panels for scientific interpretation or teaching use.</w:t>
      </w:r>
    </w:p>
    <w:p w14:paraId="4A866339" w14:textId="4641AD2C" w:rsidR="004C1182" w:rsidRPr="004C1182" w:rsidRDefault="004C1182" w:rsidP="004C1182">
      <w:pPr>
        <w:spacing w:line="276" w:lineRule="auto"/>
        <w:jc w:val="both"/>
        <w:rPr>
          <w:rFonts w:ascii="Times New Roman" w:hAnsi="Times New Roman" w:cs="Times New Roman"/>
          <w:sz w:val="24"/>
          <w:szCs w:val="24"/>
        </w:rPr>
      </w:pPr>
    </w:p>
    <w:p w14:paraId="20996C68"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Technology and Integration</w:t>
      </w:r>
    </w:p>
    <w:p w14:paraId="38E09E6F" w14:textId="77777777" w:rsidR="004C1182" w:rsidRPr="004C1182" w:rsidRDefault="004C1182" w:rsidP="004C1182">
      <w:pPr>
        <w:numPr>
          <w:ilvl w:val="0"/>
          <w:numId w:val="4"/>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Computer Vision Algorithms:</w:t>
      </w:r>
      <w:r w:rsidRPr="004C1182">
        <w:rPr>
          <w:rFonts w:ascii="Times New Roman" w:hAnsi="Times New Roman" w:cs="Times New Roman"/>
          <w:sz w:val="24"/>
          <w:szCs w:val="24"/>
        </w:rPr>
        <w:t xml:space="preserve"> Trained on morphology-based cytological patterns.</w:t>
      </w:r>
    </w:p>
    <w:p w14:paraId="1C2ADB33" w14:textId="77777777" w:rsidR="004C1182" w:rsidRPr="004C1182" w:rsidRDefault="004C1182" w:rsidP="004C1182">
      <w:pPr>
        <w:numPr>
          <w:ilvl w:val="0"/>
          <w:numId w:val="4"/>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Backend Analysis Engine:</w:t>
      </w:r>
      <w:r w:rsidRPr="004C1182">
        <w:rPr>
          <w:rFonts w:ascii="Times New Roman" w:hAnsi="Times New Roman" w:cs="Times New Roman"/>
          <w:sz w:val="24"/>
          <w:szCs w:val="24"/>
        </w:rPr>
        <w:t xml:space="preserve"> Performs segmentation, feature extraction, and classification.</w:t>
      </w:r>
    </w:p>
    <w:p w14:paraId="3327E2F5" w14:textId="77777777" w:rsidR="004C1182" w:rsidRPr="004C1182" w:rsidRDefault="004C1182" w:rsidP="004C1182">
      <w:pPr>
        <w:numPr>
          <w:ilvl w:val="0"/>
          <w:numId w:val="4"/>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Modular Architecture:</w:t>
      </w:r>
      <w:r w:rsidRPr="004C1182">
        <w:rPr>
          <w:rFonts w:ascii="Times New Roman" w:hAnsi="Times New Roman" w:cs="Times New Roman"/>
          <w:sz w:val="24"/>
          <w:szCs w:val="24"/>
        </w:rPr>
        <w:t xml:space="preserve"> Allows integration with future genotoxicity scoring tools.</w:t>
      </w:r>
    </w:p>
    <w:p w14:paraId="1C3AAA05" w14:textId="77777777" w:rsidR="004C1182" w:rsidRPr="004C1182" w:rsidRDefault="004C1182" w:rsidP="004C1182">
      <w:pPr>
        <w:numPr>
          <w:ilvl w:val="0"/>
          <w:numId w:val="4"/>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Web-Based Deployment:</w:t>
      </w:r>
      <w:r w:rsidRPr="004C1182">
        <w:rPr>
          <w:rFonts w:ascii="Times New Roman" w:hAnsi="Times New Roman" w:cs="Times New Roman"/>
          <w:sz w:val="24"/>
          <w:szCs w:val="24"/>
        </w:rPr>
        <w:t xml:space="preserve"> Ensures accessibility across devices and labs.</w:t>
      </w:r>
    </w:p>
    <w:p w14:paraId="11995391" w14:textId="77777777" w:rsidR="004C1182" w:rsidRPr="004C1182" w:rsidRDefault="004C1182" w:rsidP="004C1182">
      <w:pPr>
        <w:numPr>
          <w:ilvl w:val="0"/>
          <w:numId w:val="4"/>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Interoperability:</w:t>
      </w:r>
      <w:r w:rsidRPr="004C1182">
        <w:rPr>
          <w:rFonts w:ascii="Times New Roman" w:hAnsi="Times New Roman" w:cs="Times New Roman"/>
          <w:sz w:val="24"/>
          <w:szCs w:val="24"/>
        </w:rPr>
        <w:t xml:space="preserve"> Designed to integrate with laboratory informatics systems in future versions.</w:t>
      </w:r>
    </w:p>
    <w:p w14:paraId="048BDF98" w14:textId="609D5A55" w:rsidR="004C1182" w:rsidRPr="004C1182" w:rsidRDefault="004C1182" w:rsidP="004C1182">
      <w:pPr>
        <w:spacing w:line="276" w:lineRule="auto"/>
        <w:jc w:val="both"/>
        <w:rPr>
          <w:rFonts w:ascii="Times New Roman" w:hAnsi="Times New Roman" w:cs="Times New Roman"/>
          <w:sz w:val="24"/>
          <w:szCs w:val="24"/>
        </w:rPr>
      </w:pPr>
    </w:p>
    <w:p w14:paraId="050D6FFD"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Benefits and Outcomes</w:t>
      </w:r>
    </w:p>
    <w:p w14:paraId="6F8DDF00"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Quantitative Benefits</w:t>
      </w:r>
    </w:p>
    <w:p w14:paraId="30B0F5A4" w14:textId="77777777" w:rsidR="004C1182" w:rsidRPr="004C1182" w:rsidRDefault="004C1182" w:rsidP="004C1182">
      <w:pPr>
        <w:numPr>
          <w:ilvl w:val="0"/>
          <w:numId w:val="5"/>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Up to 70% reduction in analysis time</w:t>
      </w:r>
      <w:r w:rsidRPr="004C1182">
        <w:rPr>
          <w:rFonts w:ascii="Times New Roman" w:hAnsi="Times New Roman" w:cs="Times New Roman"/>
          <w:sz w:val="24"/>
          <w:szCs w:val="24"/>
        </w:rPr>
        <w:t xml:space="preserve"> per micrograph.</w:t>
      </w:r>
    </w:p>
    <w:p w14:paraId="0FCC6B20" w14:textId="77777777" w:rsidR="004C1182" w:rsidRPr="004C1182" w:rsidRDefault="004C1182" w:rsidP="004C1182">
      <w:pPr>
        <w:numPr>
          <w:ilvl w:val="0"/>
          <w:numId w:val="5"/>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Improved scoring accuracy</w:t>
      </w:r>
      <w:r w:rsidRPr="004C1182">
        <w:rPr>
          <w:rFonts w:ascii="Times New Roman" w:hAnsi="Times New Roman" w:cs="Times New Roman"/>
          <w:sz w:val="24"/>
          <w:szCs w:val="24"/>
        </w:rPr>
        <w:t>, reducing manual counting errors by ~30–40%.</w:t>
      </w:r>
    </w:p>
    <w:p w14:paraId="3036563C" w14:textId="77777777" w:rsidR="004C1182" w:rsidRPr="004C1182" w:rsidRDefault="004C1182" w:rsidP="004C1182">
      <w:pPr>
        <w:numPr>
          <w:ilvl w:val="0"/>
          <w:numId w:val="5"/>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Standardized output</w:t>
      </w:r>
      <w:r w:rsidRPr="004C1182">
        <w:rPr>
          <w:rFonts w:ascii="Times New Roman" w:hAnsi="Times New Roman" w:cs="Times New Roman"/>
          <w:sz w:val="24"/>
          <w:szCs w:val="24"/>
        </w:rPr>
        <w:t xml:space="preserve"> increases cross-study comparability.</w:t>
      </w:r>
    </w:p>
    <w:p w14:paraId="2F970AB3" w14:textId="77777777" w:rsidR="004C1182" w:rsidRPr="004C1182" w:rsidRDefault="004C1182" w:rsidP="004C1182">
      <w:pPr>
        <w:numPr>
          <w:ilvl w:val="0"/>
          <w:numId w:val="5"/>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lastRenderedPageBreak/>
        <w:t>Boost in student learning efficiency</w:t>
      </w:r>
      <w:r w:rsidRPr="004C1182">
        <w:rPr>
          <w:rFonts w:ascii="Times New Roman" w:hAnsi="Times New Roman" w:cs="Times New Roman"/>
          <w:sz w:val="24"/>
          <w:szCs w:val="24"/>
        </w:rPr>
        <w:t xml:space="preserve"> (30–50% improvement in phase recognition accuracy).</w:t>
      </w:r>
    </w:p>
    <w:p w14:paraId="508232C4"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Qualitative Benefits</w:t>
      </w:r>
    </w:p>
    <w:p w14:paraId="2DE27CD2" w14:textId="77777777" w:rsidR="004C1182" w:rsidRPr="004C1182" w:rsidRDefault="004C1182" w:rsidP="004C1182">
      <w:pPr>
        <w:numPr>
          <w:ilvl w:val="0"/>
          <w:numId w:val="6"/>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Enhanced clarity in cytogenetic interpretation.</w:t>
      </w:r>
    </w:p>
    <w:p w14:paraId="64DB422E" w14:textId="77777777" w:rsidR="004C1182" w:rsidRPr="004C1182" w:rsidRDefault="004C1182" w:rsidP="004C1182">
      <w:pPr>
        <w:numPr>
          <w:ilvl w:val="0"/>
          <w:numId w:val="6"/>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Repeatable, reproducible results independent of observer skill.</w:t>
      </w:r>
    </w:p>
    <w:p w14:paraId="4A86B9E6" w14:textId="77777777" w:rsidR="004C1182" w:rsidRPr="004C1182" w:rsidRDefault="004C1182" w:rsidP="004C1182">
      <w:pPr>
        <w:numPr>
          <w:ilvl w:val="0"/>
          <w:numId w:val="6"/>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Objective, AI-supported evaluation promotes confidence in toxicology studies.</w:t>
      </w:r>
    </w:p>
    <w:p w14:paraId="2D968891" w14:textId="77777777" w:rsidR="004C1182" w:rsidRPr="004C1182" w:rsidRDefault="004C1182" w:rsidP="004C1182">
      <w:pPr>
        <w:numPr>
          <w:ilvl w:val="0"/>
          <w:numId w:val="6"/>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Simplified learning curve for non-experts.</w:t>
      </w:r>
    </w:p>
    <w:p w14:paraId="0301FE9E" w14:textId="0F9F578F" w:rsidR="004C1182" w:rsidRPr="004C1182" w:rsidRDefault="004C1182" w:rsidP="004C1182">
      <w:pPr>
        <w:spacing w:line="276" w:lineRule="auto"/>
        <w:jc w:val="both"/>
        <w:rPr>
          <w:rFonts w:ascii="Times New Roman" w:hAnsi="Times New Roman" w:cs="Times New Roman"/>
          <w:sz w:val="24"/>
          <w:szCs w:val="24"/>
        </w:rPr>
      </w:pPr>
    </w:p>
    <w:p w14:paraId="7E91A200"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Return on Investment and Stakeholder Value</w:t>
      </w:r>
    </w:p>
    <w:p w14:paraId="3400D975"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Academic Institutions</w:t>
      </w:r>
    </w:p>
    <w:p w14:paraId="1FA326DC" w14:textId="77777777" w:rsidR="004C1182" w:rsidRPr="004C1182" w:rsidRDefault="004C1182" w:rsidP="004C1182">
      <w:pPr>
        <w:numPr>
          <w:ilvl w:val="0"/>
          <w:numId w:val="7"/>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Greater teaching efficiency</w:t>
      </w:r>
    </w:p>
    <w:p w14:paraId="51169917" w14:textId="77777777" w:rsidR="004C1182" w:rsidRPr="004C1182" w:rsidRDefault="004C1182" w:rsidP="004C1182">
      <w:pPr>
        <w:numPr>
          <w:ilvl w:val="0"/>
          <w:numId w:val="7"/>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Unified digital cytology curriculum</w:t>
      </w:r>
    </w:p>
    <w:p w14:paraId="6AFBF905" w14:textId="77777777" w:rsidR="004C1182" w:rsidRPr="004C1182" w:rsidRDefault="004C1182" w:rsidP="004C1182">
      <w:pPr>
        <w:numPr>
          <w:ilvl w:val="0"/>
          <w:numId w:val="7"/>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Improved student outcomes</w:t>
      </w:r>
    </w:p>
    <w:p w14:paraId="5F8D23B5"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Research Laboratories</w:t>
      </w:r>
    </w:p>
    <w:p w14:paraId="449FD05D" w14:textId="77777777" w:rsidR="004C1182" w:rsidRPr="004C1182" w:rsidRDefault="004C1182" w:rsidP="004C1182">
      <w:pPr>
        <w:numPr>
          <w:ilvl w:val="0"/>
          <w:numId w:val="8"/>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Faster experiment cycles</w:t>
      </w:r>
    </w:p>
    <w:p w14:paraId="4209520E" w14:textId="77777777" w:rsidR="004C1182" w:rsidRPr="004C1182" w:rsidRDefault="004C1182" w:rsidP="004C1182">
      <w:pPr>
        <w:numPr>
          <w:ilvl w:val="0"/>
          <w:numId w:val="8"/>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Fewer manual errors</w:t>
      </w:r>
    </w:p>
    <w:p w14:paraId="7A9DCDDB" w14:textId="77777777" w:rsidR="004C1182" w:rsidRPr="004C1182" w:rsidRDefault="004C1182" w:rsidP="004C1182">
      <w:pPr>
        <w:numPr>
          <w:ilvl w:val="0"/>
          <w:numId w:val="8"/>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Greater throughput for genotoxicity assays</w:t>
      </w:r>
    </w:p>
    <w:p w14:paraId="12EF448C"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Environmental and Industry Toxicology Units</w:t>
      </w:r>
    </w:p>
    <w:p w14:paraId="00255740" w14:textId="77777777" w:rsidR="004C1182" w:rsidRPr="004C1182" w:rsidRDefault="004C1182" w:rsidP="004C1182">
      <w:pPr>
        <w:numPr>
          <w:ilvl w:val="0"/>
          <w:numId w:val="9"/>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Standardized, reproducible testing</w:t>
      </w:r>
    </w:p>
    <w:p w14:paraId="3390E20E" w14:textId="77777777" w:rsidR="004C1182" w:rsidRPr="004C1182" w:rsidRDefault="004C1182" w:rsidP="004C1182">
      <w:pPr>
        <w:numPr>
          <w:ilvl w:val="0"/>
          <w:numId w:val="9"/>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Scalable cytogenetic assessments</w:t>
      </w:r>
    </w:p>
    <w:p w14:paraId="583D0894" w14:textId="77777777" w:rsidR="004C1182" w:rsidRPr="004C1182" w:rsidRDefault="004C1182" w:rsidP="004C1182">
      <w:pPr>
        <w:numPr>
          <w:ilvl w:val="0"/>
          <w:numId w:val="9"/>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Lower per-sample evaluation cost</w:t>
      </w:r>
    </w:p>
    <w:p w14:paraId="387F07A8" w14:textId="6EEEB2E8" w:rsidR="004C1182" w:rsidRPr="004C1182" w:rsidRDefault="004C1182" w:rsidP="004C1182">
      <w:pPr>
        <w:spacing w:line="276" w:lineRule="auto"/>
        <w:jc w:val="both"/>
        <w:rPr>
          <w:rFonts w:ascii="Times New Roman" w:hAnsi="Times New Roman" w:cs="Times New Roman"/>
          <w:sz w:val="24"/>
          <w:szCs w:val="24"/>
        </w:rPr>
      </w:pPr>
    </w:p>
    <w:p w14:paraId="7C559577"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Supporting Evidence</w:t>
      </w:r>
    </w:p>
    <w:p w14:paraId="7A53E379" w14:textId="77777777" w:rsidR="004C1182" w:rsidRPr="004C1182" w:rsidRDefault="004C1182" w:rsidP="004C1182">
      <w:p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Early pilot analyses show the tool accurately:</w:t>
      </w:r>
    </w:p>
    <w:p w14:paraId="7F4A92DD" w14:textId="77777777" w:rsidR="004C1182" w:rsidRPr="004C1182" w:rsidRDefault="004C1182" w:rsidP="004C1182">
      <w:pPr>
        <w:numPr>
          <w:ilvl w:val="0"/>
          <w:numId w:val="10"/>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Identifies mitotic phases</w:t>
      </w:r>
    </w:p>
    <w:p w14:paraId="6AF11681" w14:textId="77777777" w:rsidR="004C1182" w:rsidRPr="004C1182" w:rsidRDefault="004C1182" w:rsidP="004C1182">
      <w:pPr>
        <w:numPr>
          <w:ilvl w:val="0"/>
          <w:numId w:val="10"/>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Computes indices</w:t>
      </w:r>
    </w:p>
    <w:p w14:paraId="3DF93432" w14:textId="77777777" w:rsidR="004C1182" w:rsidRPr="004C1182" w:rsidRDefault="004C1182" w:rsidP="004C1182">
      <w:pPr>
        <w:numPr>
          <w:ilvl w:val="0"/>
          <w:numId w:val="10"/>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Detects nuclear abnormalities</w:t>
      </w:r>
    </w:p>
    <w:p w14:paraId="1C543A35" w14:textId="77777777" w:rsidR="004C1182" w:rsidRPr="004C1182" w:rsidRDefault="004C1182" w:rsidP="004C1182">
      <w:p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Case study data:</w:t>
      </w:r>
    </w:p>
    <w:p w14:paraId="6649C723" w14:textId="77777777" w:rsidR="004C1182" w:rsidRPr="004C1182" w:rsidRDefault="004C1182" w:rsidP="004C1182">
      <w:pPr>
        <w:numPr>
          <w:ilvl w:val="0"/>
          <w:numId w:val="11"/>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Mitotic Index:</w:t>
      </w:r>
      <w:r w:rsidRPr="004C1182">
        <w:rPr>
          <w:rFonts w:ascii="Times New Roman" w:hAnsi="Times New Roman" w:cs="Times New Roman"/>
          <w:sz w:val="24"/>
          <w:szCs w:val="24"/>
        </w:rPr>
        <w:t xml:space="preserve"> 20.81%</w:t>
      </w:r>
    </w:p>
    <w:p w14:paraId="37697949" w14:textId="77777777" w:rsidR="004C1182" w:rsidRPr="004C1182" w:rsidRDefault="004C1182" w:rsidP="004C1182">
      <w:pPr>
        <w:numPr>
          <w:ilvl w:val="0"/>
          <w:numId w:val="11"/>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lastRenderedPageBreak/>
        <w:t>Phase Distribution:</w:t>
      </w:r>
      <w:r w:rsidRPr="004C1182">
        <w:rPr>
          <w:rFonts w:ascii="Times New Roman" w:hAnsi="Times New Roman" w:cs="Times New Roman"/>
          <w:sz w:val="24"/>
          <w:szCs w:val="24"/>
        </w:rPr>
        <w:t xml:space="preserve"> Prophase 33.8%, Metaphase 16.5%</w:t>
      </w:r>
    </w:p>
    <w:p w14:paraId="645EAAC0" w14:textId="77777777" w:rsidR="004C1182" w:rsidRPr="004C1182" w:rsidRDefault="004C1182" w:rsidP="004C1182">
      <w:pPr>
        <w:numPr>
          <w:ilvl w:val="0"/>
          <w:numId w:val="11"/>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Nuclear Abnormalities:</w:t>
      </w:r>
      <w:r w:rsidRPr="004C1182">
        <w:rPr>
          <w:rFonts w:ascii="Times New Roman" w:hAnsi="Times New Roman" w:cs="Times New Roman"/>
          <w:sz w:val="24"/>
          <w:szCs w:val="24"/>
        </w:rPr>
        <w:t xml:space="preserve"> 2.1% karyorrhexis</w:t>
      </w:r>
    </w:p>
    <w:p w14:paraId="1EC981A9" w14:textId="77777777" w:rsidR="004C1182" w:rsidRPr="004C1182" w:rsidRDefault="004C1182" w:rsidP="004C1182">
      <w:pPr>
        <w:numPr>
          <w:ilvl w:val="0"/>
          <w:numId w:val="11"/>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Aberration Frequency:</w:t>
      </w:r>
      <w:r w:rsidRPr="004C1182">
        <w:rPr>
          <w:rFonts w:ascii="Times New Roman" w:hAnsi="Times New Roman" w:cs="Times New Roman"/>
          <w:sz w:val="24"/>
          <w:szCs w:val="24"/>
        </w:rPr>
        <w:t xml:space="preserve"> 0% (control sample)</w:t>
      </w:r>
    </w:p>
    <w:p w14:paraId="4F60B0A3" w14:textId="3544F431" w:rsidR="004C1182" w:rsidRPr="004C1182" w:rsidRDefault="00757BD6" w:rsidP="004C1182">
      <w:pPr>
        <w:spacing w:line="276" w:lineRule="auto"/>
        <w:jc w:val="both"/>
        <w:rPr>
          <w:rFonts w:ascii="Times New Roman" w:hAnsi="Times New Roman" w:cs="Times New Roman"/>
          <w:sz w:val="24"/>
          <w:szCs w:val="24"/>
        </w:rPr>
      </w:pPr>
      <w:r>
        <w:rPr>
          <w:rFonts w:ascii="Times New Roman" w:hAnsi="Times New Roman" w:cs="Times New Roman"/>
          <w:noProof/>
          <w:sz w:val="24"/>
          <w:szCs w:val="24"/>
        </w:rPr>
        <w:drawing>
          <wp:inline distT="0" distB="0" distL="0" distR="0" wp14:anchorId="3158D292" wp14:editId="7E8D3775">
            <wp:extent cx="5731510" cy="4468495"/>
            <wp:effectExtent l="0" t="0" r="2540" b="8255"/>
            <wp:docPr id="2309634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963441" name="Picture 230963441"/>
                    <pic:cNvPicPr/>
                  </pic:nvPicPr>
                  <pic:blipFill>
                    <a:blip r:embed="rId7">
                      <a:extLst>
                        <a:ext uri="{28A0092B-C50C-407E-A947-70E740481C1C}">
                          <a14:useLocalDpi xmlns:a14="http://schemas.microsoft.com/office/drawing/2010/main" val="0"/>
                        </a:ext>
                      </a:extLst>
                    </a:blip>
                    <a:stretch>
                      <a:fillRect/>
                    </a:stretch>
                  </pic:blipFill>
                  <pic:spPr>
                    <a:xfrm>
                      <a:off x="0" y="0"/>
                      <a:ext cx="5731510" cy="4468495"/>
                    </a:xfrm>
                    <a:prstGeom prst="rect">
                      <a:avLst/>
                    </a:prstGeom>
                  </pic:spPr>
                </pic:pic>
              </a:graphicData>
            </a:graphic>
          </wp:inline>
        </w:drawing>
      </w:r>
    </w:p>
    <w:p w14:paraId="22FC1EBF" w14:textId="084BC44E" w:rsidR="00757BD6" w:rsidRDefault="00757BD6" w:rsidP="00757BD6">
      <w:pPr>
        <w:spacing w:line="276" w:lineRule="auto"/>
        <w:jc w:val="center"/>
        <w:rPr>
          <w:rFonts w:ascii="Times New Roman" w:hAnsi="Times New Roman" w:cs="Times New Roman"/>
          <w:b/>
          <w:bCs/>
          <w:sz w:val="24"/>
          <w:szCs w:val="24"/>
        </w:rPr>
      </w:pPr>
      <w:r>
        <w:rPr>
          <w:rFonts w:ascii="Times New Roman" w:hAnsi="Times New Roman" w:cs="Times New Roman"/>
          <w:b/>
          <w:bCs/>
          <w:sz w:val="24"/>
          <w:szCs w:val="24"/>
        </w:rPr>
        <w:t>Figure 1: Case Study Results</w:t>
      </w:r>
    </w:p>
    <w:p w14:paraId="4B653255" w14:textId="0A9576D2"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Implementation &amp; Deployment Strategy</w:t>
      </w:r>
    </w:p>
    <w:p w14:paraId="0448CDE9" w14:textId="77777777" w:rsidR="004C1182" w:rsidRPr="004C1182" w:rsidRDefault="004C1182" w:rsidP="004C1182">
      <w:pPr>
        <w:numPr>
          <w:ilvl w:val="0"/>
          <w:numId w:val="12"/>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Cloud-Based Deployment</w:t>
      </w:r>
      <w:r w:rsidRPr="004C1182">
        <w:rPr>
          <w:rFonts w:ascii="Times New Roman" w:hAnsi="Times New Roman" w:cs="Times New Roman"/>
          <w:sz w:val="24"/>
          <w:szCs w:val="24"/>
        </w:rPr>
        <w:t xml:space="preserve"> for global accessibility</w:t>
      </w:r>
    </w:p>
    <w:p w14:paraId="78100DC0" w14:textId="77777777" w:rsidR="004C1182" w:rsidRPr="004C1182" w:rsidRDefault="004C1182" w:rsidP="004C1182">
      <w:pPr>
        <w:numPr>
          <w:ilvl w:val="0"/>
          <w:numId w:val="12"/>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Hybrid Mode Compatibility</w:t>
      </w:r>
      <w:r w:rsidRPr="004C1182">
        <w:rPr>
          <w:rFonts w:ascii="Times New Roman" w:hAnsi="Times New Roman" w:cs="Times New Roman"/>
          <w:sz w:val="24"/>
          <w:szCs w:val="24"/>
        </w:rPr>
        <w:t xml:space="preserve"> for institutions with on-premise restrictions</w:t>
      </w:r>
    </w:p>
    <w:p w14:paraId="1AEC821A" w14:textId="77777777" w:rsidR="004C1182" w:rsidRPr="004C1182" w:rsidRDefault="004C1182" w:rsidP="004C1182">
      <w:pPr>
        <w:numPr>
          <w:ilvl w:val="0"/>
          <w:numId w:val="12"/>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User Onboarding:</w:t>
      </w:r>
      <w:r w:rsidRPr="004C1182">
        <w:rPr>
          <w:rFonts w:ascii="Times New Roman" w:hAnsi="Times New Roman" w:cs="Times New Roman"/>
          <w:sz w:val="24"/>
          <w:szCs w:val="24"/>
        </w:rPr>
        <w:t xml:space="preserve"> Quick tutorials, guided interfaces</w:t>
      </w:r>
    </w:p>
    <w:p w14:paraId="7E47E2F4" w14:textId="77777777" w:rsidR="004C1182" w:rsidRPr="004C1182" w:rsidRDefault="004C1182" w:rsidP="004C1182">
      <w:pPr>
        <w:numPr>
          <w:ilvl w:val="0"/>
          <w:numId w:val="12"/>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Data Management:</w:t>
      </w:r>
      <w:r w:rsidRPr="004C1182">
        <w:rPr>
          <w:rFonts w:ascii="Times New Roman" w:hAnsi="Times New Roman" w:cs="Times New Roman"/>
          <w:sz w:val="24"/>
          <w:szCs w:val="24"/>
        </w:rPr>
        <w:t xml:space="preserve"> Local image processing ensures privacy</w:t>
      </w:r>
    </w:p>
    <w:p w14:paraId="26DA9DBB" w14:textId="77777777" w:rsidR="004C1182" w:rsidRPr="004C1182" w:rsidRDefault="004C1182" w:rsidP="004C1182">
      <w:pPr>
        <w:numPr>
          <w:ilvl w:val="0"/>
          <w:numId w:val="12"/>
        </w:numPr>
        <w:spacing w:line="276" w:lineRule="auto"/>
        <w:jc w:val="both"/>
        <w:rPr>
          <w:rFonts w:ascii="Times New Roman" w:hAnsi="Times New Roman" w:cs="Times New Roman"/>
          <w:sz w:val="24"/>
          <w:szCs w:val="24"/>
        </w:rPr>
      </w:pPr>
      <w:r w:rsidRPr="004C1182">
        <w:rPr>
          <w:rFonts w:ascii="Times New Roman" w:hAnsi="Times New Roman" w:cs="Times New Roman"/>
          <w:b/>
          <w:bCs/>
          <w:sz w:val="24"/>
          <w:szCs w:val="24"/>
        </w:rPr>
        <w:t>Scalability:</w:t>
      </w:r>
      <w:r w:rsidRPr="004C1182">
        <w:rPr>
          <w:rFonts w:ascii="Times New Roman" w:hAnsi="Times New Roman" w:cs="Times New Roman"/>
          <w:sz w:val="24"/>
          <w:szCs w:val="24"/>
        </w:rPr>
        <w:t xml:space="preserve"> Modular backend supports expansion</w:t>
      </w:r>
    </w:p>
    <w:p w14:paraId="2BE1E8C6" w14:textId="31C76F6B" w:rsidR="004C1182" w:rsidRPr="004C1182" w:rsidRDefault="004C1182" w:rsidP="004C1182">
      <w:pPr>
        <w:spacing w:line="276" w:lineRule="auto"/>
        <w:jc w:val="both"/>
        <w:rPr>
          <w:rFonts w:ascii="Times New Roman" w:hAnsi="Times New Roman" w:cs="Times New Roman"/>
          <w:sz w:val="24"/>
          <w:szCs w:val="24"/>
        </w:rPr>
      </w:pPr>
    </w:p>
    <w:p w14:paraId="14ABC59B"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Market Analysis &amp; Competitive Landscape</w:t>
      </w:r>
    </w:p>
    <w:p w14:paraId="1CC87E56" w14:textId="77777777" w:rsidR="004C1182" w:rsidRPr="004C1182" w:rsidRDefault="004C1182" w:rsidP="004C1182">
      <w:p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The rise of AI-powered scientific tools is accelerating. While markets like AI microscopy and digital pathology are growing rapidly, cytogenetic automation remains underserved.</w:t>
      </w:r>
    </w:p>
    <w:p w14:paraId="52A37777"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lastRenderedPageBreak/>
        <w:t>Market Drivers</w:t>
      </w:r>
    </w:p>
    <w:p w14:paraId="642B0258" w14:textId="77777777" w:rsidR="004C1182" w:rsidRPr="004C1182" w:rsidRDefault="004C1182" w:rsidP="004C1182">
      <w:pPr>
        <w:numPr>
          <w:ilvl w:val="0"/>
          <w:numId w:val="13"/>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Growth in environmental toxicology</w:t>
      </w:r>
    </w:p>
    <w:p w14:paraId="6105DC4F" w14:textId="77777777" w:rsidR="004C1182" w:rsidRPr="004C1182" w:rsidRDefault="004C1182" w:rsidP="004C1182">
      <w:pPr>
        <w:numPr>
          <w:ilvl w:val="0"/>
          <w:numId w:val="13"/>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Expansion of academic digital learning tools</w:t>
      </w:r>
    </w:p>
    <w:p w14:paraId="38E1A395" w14:textId="77777777" w:rsidR="004C1182" w:rsidRPr="004C1182" w:rsidRDefault="004C1182" w:rsidP="004C1182">
      <w:pPr>
        <w:numPr>
          <w:ilvl w:val="0"/>
          <w:numId w:val="13"/>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Increased need for standardized biological assays</w:t>
      </w:r>
    </w:p>
    <w:p w14:paraId="434D5FA6"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Competitive Advantage</w:t>
      </w:r>
    </w:p>
    <w:p w14:paraId="0A5B38F4" w14:textId="77777777" w:rsidR="004C1182" w:rsidRPr="004C1182" w:rsidRDefault="004C1182" w:rsidP="004C1182">
      <w:p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 xml:space="preserve">Most cytology tools focus on histology or medical pathology. </w:t>
      </w:r>
      <w:r w:rsidRPr="004C1182">
        <w:rPr>
          <w:rFonts w:ascii="Times New Roman" w:hAnsi="Times New Roman" w:cs="Times New Roman"/>
          <w:b/>
          <w:bCs/>
          <w:sz w:val="24"/>
          <w:szCs w:val="24"/>
        </w:rPr>
        <w:t>This tool uniquely specializes in plant-based cytogenetic assay automation</w:t>
      </w:r>
      <w:r w:rsidRPr="004C1182">
        <w:rPr>
          <w:rFonts w:ascii="Times New Roman" w:hAnsi="Times New Roman" w:cs="Times New Roman"/>
          <w:sz w:val="24"/>
          <w:szCs w:val="24"/>
        </w:rPr>
        <w:t>, giving it a niche advantage.</w:t>
      </w:r>
    </w:p>
    <w:p w14:paraId="68A48D5A" w14:textId="4B0A27D9" w:rsidR="004C1182" w:rsidRPr="004C1182" w:rsidRDefault="004C1182" w:rsidP="004C1182">
      <w:pPr>
        <w:spacing w:line="276" w:lineRule="auto"/>
        <w:jc w:val="both"/>
        <w:rPr>
          <w:rFonts w:ascii="Times New Roman" w:hAnsi="Times New Roman" w:cs="Times New Roman"/>
          <w:sz w:val="24"/>
          <w:szCs w:val="24"/>
        </w:rPr>
      </w:pPr>
    </w:p>
    <w:p w14:paraId="0BCFB60D"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SWOT Analysis</w:t>
      </w:r>
    </w:p>
    <w:p w14:paraId="3A87C9F8"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Strengths</w:t>
      </w:r>
    </w:p>
    <w:p w14:paraId="065C003F" w14:textId="77777777" w:rsidR="004C1182" w:rsidRPr="004C1182" w:rsidRDefault="004C1182" w:rsidP="004C1182">
      <w:pPr>
        <w:numPr>
          <w:ilvl w:val="0"/>
          <w:numId w:val="14"/>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Unique focus on Allium cepa cytogenetics</w:t>
      </w:r>
    </w:p>
    <w:p w14:paraId="12821980" w14:textId="77777777" w:rsidR="004C1182" w:rsidRPr="004C1182" w:rsidRDefault="004C1182" w:rsidP="004C1182">
      <w:pPr>
        <w:numPr>
          <w:ilvl w:val="0"/>
          <w:numId w:val="14"/>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Automated, fast, reproducible analysis</w:t>
      </w:r>
    </w:p>
    <w:p w14:paraId="24190836" w14:textId="77777777" w:rsidR="004C1182" w:rsidRPr="004C1182" w:rsidRDefault="004C1182" w:rsidP="004C1182">
      <w:pPr>
        <w:numPr>
          <w:ilvl w:val="0"/>
          <w:numId w:val="14"/>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Educational and research utility</w:t>
      </w:r>
    </w:p>
    <w:p w14:paraId="6F5CC8BF"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Weaknesses</w:t>
      </w:r>
    </w:p>
    <w:p w14:paraId="558E2C04" w14:textId="77777777" w:rsidR="004C1182" w:rsidRPr="004C1182" w:rsidRDefault="004C1182" w:rsidP="004C1182">
      <w:pPr>
        <w:numPr>
          <w:ilvl w:val="0"/>
          <w:numId w:val="15"/>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Limited to root meristem images</w:t>
      </w:r>
    </w:p>
    <w:p w14:paraId="4A3B6D32" w14:textId="77777777" w:rsidR="004C1182" w:rsidRPr="004C1182" w:rsidRDefault="004C1182" w:rsidP="004C1182">
      <w:pPr>
        <w:numPr>
          <w:ilvl w:val="0"/>
          <w:numId w:val="15"/>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Accuracy depends on image clarity</w:t>
      </w:r>
    </w:p>
    <w:p w14:paraId="64D8E58A"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Opportunities</w:t>
      </w:r>
    </w:p>
    <w:p w14:paraId="6FEAB8D2" w14:textId="77777777" w:rsidR="004C1182" w:rsidRPr="004C1182" w:rsidRDefault="004C1182" w:rsidP="004C1182">
      <w:pPr>
        <w:numPr>
          <w:ilvl w:val="0"/>
          <w:numId w:val="16"/>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Growing interest in genotoxicity testing</w:t>
      </w:r>
    </w:p>
    <w:p w14:paraId="1AC13A64" w14:textId="77777777" w:rsidR="004C1182" w:rsidRPr="004C1182" w:rsidRDefault="004C1182" w:rsidP="004C1182">
      <w:pPr>
        <w:numPr>
          <w:ilvl w:val="0"/>
          <w:numId w:val="16"/>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Expansion to other plant/animal cytology models</w:t>
      </w:r>
    </w:p>
    <w:p w14:paraId="01E9C99A" w14:textId="77777777" w:rsidR="004C1182" w:rsidRPr="004C1182" w:rsidRDefault="004C1182" w:rsidP="004C1182">
      <w:pPr>
        <w:numPr>
          <w:ilvl w:val="0"/>
          <w:numId w:val="16"/>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Integration with toxicology datasets</w:t>
      </w:r>
    </w:p>
    <w:p w14:paraId="00E7C010"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Threats</w:t>
      </w:r>
    </w:p>
    <w:p w14:paraId="55BFD23F" w14:textId="77777777" w:rsidR="004C1182" w:rsidRPr="004C1182" w:rsidRDefault="004C1182" w:rsidP="004C1182">
      <w:pPr>
        <w:numPr>
          <w:ilvl w:val="0"/>
          <w:numId w:val="17"/>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Competition from general-purpose microscopy AI tools</w:t>
      </w:r>
    </w:p>
    <w:p w14:paraId="3AF1A0B6" w14:textId="77777777" w:rsidR="004C1182" w:rsidRPr="004C1182" w:rsidRDefault="004C1182" w:rsidP="004C1182">
      <w:pPr>
        <w:numPr>
          <w:ilvl w:val="0"/>
          <w:numId w:val="17"/>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Technological shifts requiring rapid adaptation</w:t>
      </w:r>
    </w:p>
    <w:p w14:paraId="62AF2714" w14:textId="5FA790B6" w:rsidR="004C1182" w:rsidRPr="004C1182" w:rsidRDefault="004C1182" w:rsidP="004C1182">
      <w:pPr>
        <w:spacing w:line="276" w:lineRule="auto"/>
        <w:jc w:val="both"/>
        <w:rPr>
          <w:rFonts w:ascii="Times New Roman" w:hAnsi="Times New Roman" w:cs="Times New Roman"/>
          <w:sz w:val="24"/>
          <w:szCs w:val="24"/>
        </w:rPr>
      </w:pPr>
    </w:p>
    <w:p w14:paraId="747B169C"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Financial Projections and Business Case</w:t>
      </w:r>
    </w:p>
    <w:p w14:paraId="311F518A" w14:textId="77777777" w:rsidR="004C1182" w:rsidRPr="004C1182" w:rsidRDefault="004C1182" w:rsidP="004C1182">
      <w:p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Use cases in universities, research labs, and environmental agencies indicate:</w:t>
      </w:r>
    </w:p>
    <w:p w14:paraId="1987E025" w14:textId="77777777" w:rsidR="004C1182" w:rsidRPr="004C1182" w:rsidRDefault="004C1182" w:rsidP="004C1182">
      <w:pPr>
        <w:numPr>
          <w:ilvl w:val="0"/>
          <w:numId w:val="18"/>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Reduced operational cytology costs</w:t>
      </w:r>
    </w:p>
    <w:p w14:paraId="0CAEAA16" w14:textId="77777777" w:rsidR="004C1182" w:rsidRPr="004C1182" w:rsidRDefault="004C1182" w:rsidP="004C1182">
      <w:pPr>
        <w:numPr>
          <w:ilvl w:val="0"/>
          <w:numId w:val="18"/>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Higher throughput in toxicology programs</w:t>
      </w:r>
    </w:p>
    <w:p w14:paraId="23BFBBC7" w14:textId="77777777" w:rsidR="004C1182" w:rsidRPr="004C1182" w:rsidRDefault="004C1182" w:rsidP="004C1182">
      <w:pPr>
        <w:numPr>
          <w:ilvl w:val="0"/>
          <w:numId w:val="18"/>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Value-added adoption across coursework</w:t>
      </w:r>
    </w:p>
    <w:p w14:paraId="0D937419" w14:textId="77777777" w:rsidR="004C1182" w:rsidRPr="004C1182" w:rsidRDefault="004C1182" w:rsidP="004C1182">
      <w:p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lastRenderedPageBreak/>
        <w:t xml:space="preserve">Projected adoption can yield </w:t>
      </w:r>
      <w:r w:rsidRPr="004C1182">
        <w:rPr>
          <w:rFonts w:ascii="Times New Roman" w:hAnsi="Times New Roman" w:cs="Times New Roman"/>
          <w:b/>
          <w:bCs/>
          <w:sz w:val="24"/>
          <w:szCs w:val="24"/>
        </w:rPr>
        <w:t>20–40% cost savings</w:t>
      </w:r>
      <w:r w:rsidRPr="004C1182">
        <w:rPr>
          <w:rFonts w:ascii="Times New Roman" w:hAnsi="Times New Roman" w:cs="Times New Roman"/>
          <w:sz w:val="24"/>
          <w:szCs w:val="24"/>
        </w:rPr>
        <w:t xml:space="preserve"> in cytogenetic evaluation workflows.</w:t>
      </w:r>
    </w:p>
    <w:p w14:paraId="6CD99C66" w14:textId="3A679100" w:rsidR="004C1182" w:rsidRPr="004C1182" w:rsidRDefault="004C1182" w:rsidP="004C1182">
      <w:pPr>
        <w:spacing w:line="276" w:lineRule="auto"/>
        <w:jc w:val="both"/>
        <w:rPr>
          <w:rFonts w:ascii="Times New Roman" w:hAnsi="Times New Roman" w:cs="Times New Roman"/>
          <w:sz w:val="24"/>
          <w:szCs w:val="24"/>
        </w:rPr>
      </w:pPr>
    </w:p>
    <w:p w14:paraId="7351F388"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Risks &amp; Mitigations</w:t>
      </w:r>
    </w:p>
    <w:p w14:paraId="29F899A0"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Risks</w:t>
      </w:r>
    </w:p>
    <w:p w14:paraId="412A5449" w14:textId="77777777" w:rsidR="004C1182" w:rsidRPr="004C1182" w:rsidRDefault="004C1182" w:rsidP="004C1182">
      <w:pPr>
        <w:numPr>
          <w:ilvl w:val="0"/>
          <w:numId w:val="19"/>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Incorrect phase identification for low-quality images</w:t>
      </w:r>
    </w:p>
    <w:p w14:paraId="0FF04119" w14:textId="77777777" w:rsidR="004C1182" w:rsidRPr="004C1182" w:rsidRDefault="004C1182" w:rsidP="004C1182">
      <w:pPr>
        <w:numPr>
          <w:ilvl w:val="0"/>
          <w:numId w:val="19"/>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User misunderstanding of automated results</w:t>
      </w:r>
    </w:p>
    <w:p w14:paraId="0EFE27FD" w14:textId="77777777" w:rsidR="004C1182" w:rsidRPr="004C1182" w:rsidRDefault="004C1182" w:rsidP="004C1182">
      <w:pPr>
        <w:numPr>
          <w:ilvl w:val="0"/>
          <w:numId w:val="19"/>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Technical errors during analysis</w:t>
      </w:r>
    </w:p>
    <w:p w14:paraId="4750C876"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Mitigations</w:t>
      </w:r>
    </w:p>
    <w:p w14:paraId="01272F83" w14:textId="77777777" w:rsidR="004C1182" w:rsidRPr="004C1182" w:rsidRDefault="004C1182" w:rsidP="004C1182">
      <w:pPr>
        <w:numPr>
          <w:ilvl w:val="0"/>
          <w:numId w:val="20"/>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Image quality guidelines</w:t>
      </w:r>
    </w:p>
    <w:p w14:paraId="5756637E" w14:textId="77777777" w:rsidR="004C1182" w:rsidRPr="004C1182" w:rsidRDefault="004C1182" w:rsidP="004C1182">
      <w:pPr>
        <w:numPr>
          <w:ilvl w:val="0"/>
          <w:numId w:val="20"/>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Built-in tutorials and confidence indicators</w:t>
      </w:r>
    </w:p>
    <w:p w14:paraId="2833CDBD" w14:textId="77777777" w:rsidR="004C1182" w:rsidRPr="004C1182" w:rsidRDefault="004C1182" w:rsidP="004C1182">
      <w:pPr>
        <w:numPr>
          <w:ilvl w:val="0"/>
          <w:numId w:val="20"/>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Continuous backend training and updates</w:t>
      </w:r>
    </w:p>
    <w:p w14:paraId="66689F5A" w14:textId="323282A5" w:rsidR="004C1182" w:rsidRPr="004C1182" w:rsidRDefault="004C1182" w:rsidP="004C1182">
      <w:pPr>
        <w:spacing w:line="276" w:lineRule="auto"/>
        <w:jc w:val="both"/>
        <w:rPr>
          <w:rFonts w:ascii="Times New Roman" w:hAnsi="Times New Roman" w:cs="Times New Roman"/>
          <w:sz w:val="24"/>
          <w:szCs w:val="24"/>
        </w:rPr>
      </w:pPr>
    </w:p>
    <w:p w14:paraId="56B63BC7"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Governance and Ethics</w:t>
      </w:r>
    </w:p>
    <w:p w14:paraId="28201357" w14:textId="77777777" w:rsidR="004C1182" w:rsidRPr="004C1182" w:rsidRDefault="004C1182" w:rsidP="004C1182">
      <w:pPr>
        <w:numPr>
          <w:ilvl w:val="0"/>
          <w:numId w:val="21"/>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Ethical use of AI in scientific analysis</w:t>
      </w:r>
    </w:p>
    <w:p w14:paraId="7192C678" w14:textId="77777777" w:rsidR="004C1182" w:rsidRPr="004C1182" w:rsidRDefault="004C1182" w:rsidP="004C1182">
      <w:pPr>
        <w:numPr>
          <w:ilvl w:val="0"/>
          <w:numId w:val="21"/>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Transparent interpretation (no hidden algorithms)</w:t>
      </w:r>
    </w:p>
    <w:p w14:paraId="26D4EFF1" w14:textId="77777777" w:rsidR="004C1182" w:rsidRPr="004C1182" w:rsidRDefault="004C1182" w:rsidP="004C1182">
      <w:pPr>
        <w:numPr>
          <w:ilvl w:val="0"/>
          <w:numId w:val="21"/>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Strict privacy for user-submitted microscopy images</w:t>
      </w:r>
    </w:p>
    <w:p w14:paraId="5205BE40" w14:textId="56CABF05" w:rsidR="004C1182" w:rsidRPr="004C1182" w:rsidRDefault="004C1182" w:rsidP="004C1182">
      <w:pPr>
        <w:spacing w:line="276" w:lineRule="auto"/>
        <w:jc w:val="both"/>
        <w:rPr>
          <w:rFonts w:ascii="Times New Roman" w:hAnsi="Times New Roman" w:cs="Times New Roman"/>
          <w:sz w:val="24"/>
          <w:szCs w:val="24"/>
        </w:rPr>
      </w:pPr>
    </w:p>
    <w:p w14:paraId="416084F3"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Roadmap &amp; Future Outlook</w:t>
      </w:r>
    </w:p>
    <w:p w14:paraId="2ED9471A" w14:textId="77777777" w:rsidR="004C1182" w:rsidRPr="004C1182" w:rsidRDefault="004C1182" w:rsidP="004C1182">
      <w:p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Future upgrades include:</w:t>
      </w:r>
    </w:p>
    <w:p w14:paraId="60898EB4" w14:textId="77777777" w:rsidR="004C1182" w:rsidRPr="004C1182" w:rsidRDefault="004C1182" w:rsidP="004C1182">
      <w:pPr>
        <w:numPr>
          <w:ilvl w:val="0"/>
          <w:numId w:val="22"/>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Deep-learning powered aberration classification</w:t>
      </w:r>
    </w:p>
    <w:p w14:paraId="18347C90" w14:textId="77777777" w:rsidR="004C1182" w:rsidRPr="004C1182" w:rsidRDefault="004C1182" w:rsidP="004C1182">
      <w:pPr>
        <w:numPr>
          <w:ilvl w:val="0"/>
          <w:numId w:val="22"/>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Batch image processing</w:t>
      </w:r>
    </w:p>
    <w:p w14:paraId="309B6CBE" w14:textId="77777777" w:rsidR="004C1182" w:rsidRPr="004C1182" w:rsidRDefault="004C1182" w:rsidP="004C1182">
      <w:pPr>
        <w:numPr>
          <w:ilvl w:val="0"/>
          <w:numId w:val="22"/>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Automated genotoxicity scoring</w:t>
      </w:r>
    </w:p>
    <w:p w14:paraId="55A772FD" w14:textId="77777777" w:rsidR="004C1182" w:rsidRPr="004C1182" w:rsidRDefault="004C1182" w:rsidP="004C1182">
      <w:pPr>
        <w:numPr>
          <w:ilvl w:val="0"/>
          <w:numId w:val="22"/>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Integration with environmental toxicity databases</w:t>
      </w:r>
    </w:p>
    <w:p w14:paraId="567DD124" w14:textId="7AF125C5" w:rsidR="004C1182" w:rsidRPr="004C1182" w:rsidRDefault="004C1182" w:rsidP="004C1182">
      <w:pPr>
        <w:spacing w:line="276" w:lineRule="auto"/>
        <w:jc w:val="both"/>
        <w:rPr>
          <w:rFonts w:ascii="Times New Roman" w:hAnsi="Times New Roman" w:cs="Times New Roman"/>
          <w:sz w:val="24"/>
          <w:szCs w:val="24"/>
        </w:rPr>
      </w:pPr>
    </w:p>
    <w:p w14:paraId="33CD289F"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t>Scaling and International Expansion</w:t>
      </w:r>
    </w:p>
    <w:p w14:paraId="609C2DBB" w14:textId="77777777" w:rsidR="004C1182" w:rsidRPr="004C1182" w:rsidRDefault="004C1182" w:rsidP="004C1182">
      <w:pPr>
        <w:numPr>
          <w:ilvl w:val="0"/>
          <w:numId w:val="24"/>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Cloud-native design supports global deployment</w:t>
      </w:r>
    </w:p>
    <w:p w14:paraId="62935432" w14:textId="77777777" w:rsidR="004C1182" w:rsidRPr="004C1182" w:rsidRDefault="004C1182" w:rsidP="004C1182">
      <w:pPr>
        <w:numPr>
          <w:ilvl w:val="0"/>
          <w:numId w:val="24"/>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Localized training material</w:t>
      </w:r>
    </w:p>
    <w:p w14:paraId="4911E645" w14:textId="77777777" w:rsidR="004C1182" w:rsidRPr="004C1182" w:rsidRDefault="004C1182" w:rsidP="004C1182">
      <w:pPr>
        <w:numPr>
          <w:ilvl w:val="0"/>
          <w:numId w:val="24"/>
        </w:num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Partnerships with international academic networks</w:t>
      </w:r>
    </w:p>
    <w:p w14:paraId="4EBBB251" w14:textId="3B0EFCCE" w:rsidR="004C1182" w:rsidRPr="004C1182" w:rsidRDefault="004C1182" w:rsidP="004C1182">
      <w:pPr>
        <w:spacing w:line="276" w:lineRule="auto"/>
        <w:jc w:val="both"/>
        <w:rPr>
          <w:rFonts w:ascii="Times New Roman" w:hAnsi="Times New Roman" w:cs="Times New Roman"/>
          <w:sz w:val="24"/>
          <w:szCs w:val="24"/>
        </w:rPr>
      </w:pPr>
    </w:p>
    <w:p w14:paraId="11B4B1AF" w14:textId="77777777" w:rsidR="004C1182" w:rsidRPr="004C1182" w:rsidRDefault="004C1182" w:rsidP="004C1182">
      <w:pPr>
        <w:spacing w:line="276" w:lineRule="auto"/>
        <w:jc w:val="both"/>
        <w:rPr>
          <w:rFonts w:ascii="Times New Roman" w:hAnsi="Times New Roman" w:cs="Times New Roman"/>
          <w:b/>
          <w:bCs/>
          <w:sz w:val="24"/>
          <w:szCs w:val="24"/>
        </w:rPr>
      </w:pPr>
      <w:r w:rsidRPr="004C1182">
        <w:rPr>
          <w:rFonts w:ascii="Times New Roman" w:hAnsi="Times New Roman" w:cs="Times New Roman"/>
          <w:b/>
          <w:bCs/>
          <w:sz w:val="24"/>
          <w:szCs w:val="24"/>
        </w:rPr>
        <w:lastRenderedPageBreak/>
        <w:t>Conclusion &amp; Call to Action</w:t>
      </w:r>
    </w:p>
    <w:p w14:paraId="5C113B66" w14:textId="6080C4E7" w:rsidR="004C1182" w:rsidRPr="004C1182" w:rsidRDefault="004C1182" w:rsidP="004C1182">
      <w:p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 xml:space="preserve">The </w:t>
      </w:r>
      <w:r w:rsidRPr="004C1182">
        <w:rPr>
          <w:rFonts w:ascii="Times New Roman" w:hAnsi="Times New Roman" w:cs="Times New Roman"/>
          <w:b/>
          <w:bCs/>
          <w:sz w:val="24"/>
          <w:szCs w:val="24"/>
        </w:rPr>
        <w:t>Allium cepa Meristem Cell Analysis</w:t>
      </w:r>
      <w:r w:rsidRPr="004C1182">
        <w:rPr>
          <w:rFonts w:ascii="Times New Roman" w:hAnsi="Times New Roman" w:cs="Times New Roman"/>
          <w:sz w:val="24"/>
          <w:szCs w:val="24"/>
        </w:rPr>
        <w:t xml:space="preserve"> tool represents a transformative advancement in cytogenetic evaluation, combining the robustness of classical assays with the precision and efficiency of AI. As biology, environmental science, and toxicology move toward standardized digital workflows, automated cytogenetic analysis is no longer optional</w:t>
      </w:r>
      <w:r w:rsidR="003B6190">
        <w:rPr>
          <w:rFonts w:ascii="Times New Roman" w:hAnsi="Times New Roman" w:cs="Times New Roman"/>
          <w:sz w:val="24"/>
          <w:szCs w:val="24"/>
        </w:rPr>
        <w:t>-</w:t>
      </w:r>
      <w:r w:rsidRPr="004C1182">
        <w:rPr>
          <w:rFonts w:ascii="Times New Roman" w:hAnsi="Times New Roman" w:cs="Times New Roman"/>
          <w:sz w:val="24"/>
          <w:szCs w:val="24"/>
        </w:rPr>
        <w:t>it is essential.</w:t>
      </w:r>
    </w:p>
    <w:p w14:paraId="1C209412" w14:textId="77777777" w:rsidR="004C1182" w:rsidRDefault="004C1182" w:rsidP="004C1182">
      <w:pPr>
        <w:spacing w:line="276" w:lineRule="auto"/>
        <w:jc w:val="both"/>
        <w:rPr>
          <w:rFonts w:ascii="Times New Roman" w:hAnsi="Times New Roman" w:cs="Times New Roman"/>
          <w:sz w:val="24"/>
          <w:szCs w:val="24"/>
        </w:rPr>
      </w:pPr>
      <w:r w:rsidRPr="004C1182">
        <w:rPr>
          <w:rFonts w:ascii="Times New Roman" w:hAnsi="Times New Roman" w:cs="Times New Roman"/>
          <w:sz w:val="24"/>
          <w:szCs w:val="24"/>
        </w:rPr>
        <w:t>We invite academic institutions, environmental testing labs, research groups, and scientific educators to collaborate, pilot, or deploy this platform and elevate the quality, speed, and reliability of cytogenetic studies.</w:t>
      </w:r>
    </w:p>
    <w:p w14:paraId="4244A88A" w14:textId="77777777" w:rsidR="00A00493" w:rsidRPr="004418EC" w:rsidRDefault="00A00493" w:rsidP="00A00493">
      <w:pPr>
        <w:spacing w:line="276" w:lineRule="auto"/>
        <w:jc w:val="both"/>
        <w:rPr>
          <w:rFonts w:ascii="Times New Roman" w:hAnsi="Times New Roman" w:cs="Times New Roman"/>
          <w:sz w:val="24"/>
          <w:szCs w:val="24"/>
          <w:lang w:val="en-US"/>
        </w:rPr>
      </w:pPr>
      <w:bookmarkStart w:id="0" w:name="invitation_to_collaborate"/>
      <w:r w:rsidRPr="004418EC">
        <w:rPr>
          <w:rFonts w:ascii="Times New Roman" w:hAnsi="Times New Roman" w:cs="Times New Roman"/>
          <w:b/>
          <w:sz w:val="24"/>
          <w:szCs w:val="24"/>
          <w:lang w:val="en-US"/>
        </w:rPr>
        <w:t>Invitation to Collaborate</w:t>
      </w:r>
      <w:bookmarkEnd w:id="0"/>
    </w:p>
    <w:p w14:paraId="5F029F55" w14:textId="77777777" w:rsidR="00A00493" w:rsidRPr="004418EC" w:rsidRDefault="00A00493" w:rsidP="00A00493">
      <w:pPr>
        <w:spacing w:line="276" w:lineRule="auto"/>
        <w:jc w:val="both"/>
        <w:rPr>
          <w:rFonts w:ascii="Times New Roman" w:hAnsi="Times New Roman" w:cs="Times New Roman"/>
          <w:sz w:val="24"/>
          <w:szCs w:val="24"/>
          <w:lang w:val="en-US"/>
        </w:rPr>
      </w:pPr>
      <w:r w:rsidRPr="004418EC">
        <w:rPr>
          <w:rFonts w:ascii="Times New Roman" w:hAnsi="Times New Roman" w:cs="Times New Roman"/>
          <w:sz w:val="24"/>
          <w:szCs w:val="24"/>
          <w:lang w:val="en-US"/>
        </w:rPr>
        <w:t xml:space="preserve">We invite healthcare providers, research organizations, pharmaceutical companies, and wellness innovators to partner with </w:t>
      </w:r>
      <w:proofErr w:type="spellStart"/>
      <w:r w:rsidRPr="004418EC">
        <w:rPr>
          <w:rFonts w:ascii="Times New Roman" w:hAnsi="Times New Roman" w:cs="Times New Roman"/>
          <w:sz w:val="24"/>
          <w:szCs w:val="24"/>
          <w:lang w:val="en-US"/>
        </w:rPr>
        <w:t>Swalife</w:t>
      </w:r>
      <w:proofErr w:type="spellEnd"/>
      <w:r w:rsidRPr="004418EC">
        <w:rPr>
          <w:rFonts w:ascii="Times New Roman" w:hAnsi="Times New Roman" w:cs="Times New Roman"/>
          <w:sz w:val="24"/>
          <w:szCs w:val="24"/>
          <w:lang w:val="en-US"/>
        </w:rPr>
        <w:t xml:space="preserve"> Biotech</w:t>
      </w:r>
      <w:r>
        <w:rPr>
          <w:rFonts w:ascii="Times New Roman" w:hAnsi="Times New Roman" w:cs="Times New Roman"/>
          <w:sz w:val="24"/>
          <w:szCs w:val="24"/>
          <w:lang w:val="en-US"/>
        </w:rPr>
        <w:t xml:space="preserve"> and </w:t>
      </w:r>
      <w:proofErr w:type="spellStart"/>
      <w:r>
        <w:rPr>
          <w:rFonts w:ascii="Times New Roman" w:hAnsi="Times New Roman" w:cs="Times New Roman"/>
          <w:sz w:val="24"/>
          <w:szCs w:val="24"/>
          <w:lang w:val="en-US"/>
        </w:rPr>
        <w:t>MolecuNex</w:t>
      </w:r>
      <w:proofErr w:type="spellEnd"/>
      <w:r>
        <w:rPr>
          <w:rFonts w:ascii="Times New Roman" w:hAnsi="Times New Roman" w:cs="Times New Roman"/>
          <w:sz w:val="24"/>
          <w:szCs w:val="24"/>
          <w:lang w:val="en-US"/>
        </w:rPr>
        <w:t xml:space="preserve"> AI</w:t>
      </w:r>
      <w:r w:rsidRPr="004418EC">
        <w:rPr>
          <w:rFonts w:ascii="Times New Roman" w:hAnsi="Times New Roman" w:cs="Times New Roman"/>
          <w:sz w:val="24"/>
          <w:szCs w:val="24"/>
          <w:lang w:val="en-US"/>
        </w:rPr>
        <w:t>. Explore our platform through pilot projects, joint research, or direct collaboration to customize solutions aligned with your specific needs. Contact us today to schedule a demonstration, discuss tailored deployment options, or initiate a strategic partnership that can redefine your discovery and healthcare objectives.</w:t>
      </w:r>
    </w:p>
    <w:p w14:paraId="0B9DDD6F" w14:textId="4E8D456F" w:rsidR="00A00493" w:rsidRPr="00A00493" w:rsidRDefault="00A00493" w:rsidP="004C1182">
      <w:pPr>
        <w:spacing w:line="276" w:lineRule="auto"/>
        <w:jc w:val="both"/>
        <w:rPr>
          <w:rFonts w:ascii="Times New Roman" w:hAnsi="Times New Roman" w:cs="Times New Roman"/>
          <w:sz w:val="24"/>
          <w:szCs w:val="24"/>
          <w:lang w:val="en-US"/>
        </w:rPr>
      </w:pPr>
      <w:r w:rsidRPr="004418EC">
        <w:rPr>
          <w:rFonts w:ascii="Times New Roman" w:hAnsi="Times New Roman" w:cs="Times New Roman"/>
          <w:b/>
          <w:sz w:val="24"/>
          <w:szCs w:val="24"/>
          <w:lang w:val="en-US"/>
        </w:rPr>
        <w:t xml:space="preserve">Join us now at </w:t>
      </w:r>
      <w:hyperlink r:id="rId8" w:history="1">
        <w:r w:rsidRPr="004418EC">
          <w:rPr>
            <w:rStyle w:val="Hyperlink"/>
            <w:rFonts w:ascii="Times New Roman" w:hAnsi="Times New Roman" w:cs="Times New Roman"/>
            <w:b/>
            <w:sz w:val="24"/>
            <w:szCs w:val="24"/>
            <w:lang w:val="en-US"/>
          </w:rPr>
          <w:t>info@swalifebiotech.com</w:t>
        </w:r>
      </w:hyperlink>
      <w:r w:rsidRPr="004418EC">
        <w:rPr>
          <w:rFonts w:ascii="Times New Roman" w:hAnsi="Times New Roman" w:cs="Times New Roman"/>
          <w:b/>
          <w:sz w:val="24"/>
          <w:szCs w:val="24"/>
          <w:lang w:val="en-US"/>
        </w:rPr>
        <w:t xml:space="preserve"> to be at the forefront of this revolutionary shift where science, natural wisdom, and AI converge to create a healthier, more personalized future for all. </w:t>
      </w:r>
    </w:p>
    <w:p w14:paraId="1CAE1E3A" w14:textId="7D53A6C8" w:rsidR="002349DF" w:rsidRPr="00A00493" w:rsidRDefault="00757BD6" w:rsidP="004C1182">
      <w:pPr>
        <w:spacing w:line="276" w:lineRule="auto"/>
        <w:jc w:val="both"/>
        <w:rPr>
          <w:rFonts w:ascii="Times New Roman" w:hAnsi="Times New Roman" w:cs="Times New Roman"/>
          <w:b/>
          <w:bCs/>
          <w:sz w:val="24"/>
          <w:szCs w:val="24"/>
        </w:rPr>
      </w:pPr>
      <w:r w:rsidRPr="00A00493">
        <w:rPr>
          <w:rFonts w:ascii="Times New Roman" w:hAnsi="Times New Roman" w:cs="Times New Roman"/>
          <w:b/>
          <w:bCs/>
          <w:sz w:val="24"/>
          <w:szCs w:val="24"/>
        </w:rPr>
        <w:t>References</w:t>
      </w:r>
    </w:p>
    <w:p w14:paraId="64F9EF65" w14:textId="5A6EEAD5" w:rsidR="00757BD6" w:rsidRPr="00757BD6" w:rsidRDefault="00757BD6" w:rsidP="00757BD6">
      <w:pPr>
        <w:pStyle w:val="ListParagraph"/>
        <w:numPr>
          <w:ilvl w:val="0"/>
          <w:numId w:val="25"/>
        </w:numPr>
        <w:spacing w:line="276" w:lineRule="auto"/>
        <w:jc w:val="both"/>
        <w:rPr>
          <w:rFonts w:ascii="Times New Roman" w:hAnsi="Times New Roman" w:cs="Times New Roman"/>
          <w:sz w:val="24"/>
          <w:szCs w:val="24"/>
        </w:rPr>
      </w:pPr>
      <w:proofErr w:type="spellStart"/>
      <w:r w:rsidRPr="00757BD6">
        <w:rPr>
          <w:rFonts w:ascii="Times New Roman" w:hAnsi="Times New Roman" w:cs="Times New Roman"/>
          <w:sz w:val="24"/>
          <w:szCs w:val="24"/>
        </w:rPr>
        <w:t>Nicuţă</w:t>
      </w:r>
      <w:proofErr w:type="spellEnd"/>
      <w:r w:rsidRPr="00757BD6">
        <w:rPr>
          <w:rFonts w:ascii="Times New Roman" w:hAnsi="Times New Roman" w:cs="Times New Roman"/>
          <w:sz w:val="24"/>
          <w:szCs w:val="24"/>
        </w:rPr>
        <w:t>, D., Grosu, L., Patriciu, O., Voicu, R.-E., &amp; Alexa, I.-C. (2025). The Allium cepa Model: A Review of Its Application as a Cytogenetic Tool for Evaluating the Biosafety Potential of Plant Extracts. </w:t>
      </w:r>
      <w:r w:rsidRPr="00757BD6">
        <w:rPr>
          <w:rFonts w:ascii="Times New Roman" w:hAnsi="Times New Roman" w:cs="Times New Roman"/>
          <w:i/>
          <w:iCs/>
          <w:sz w:val="24"/>
          <w:szCs w:val="24"/>
        </w:rPr>
        <w:t>Methods and Protocols</w:t>
      </w:r>
      <w:r w:rsidRPr="00757BD6">
        <w:rPr>
          <w:rFonts w:ascii="Times New Roman" w:hAnsi="Times New Roman" w:cs="Times New Roman"/>
          <w:sz w:val="24"/>
          <w:szCs w:val="24"/>
        </w:rPr>
        <w:t xml:space="preserve">. </w:t>
      </w:r>
      <w:hyperlink r:id="rId9" w:history="1">
        <w:r w:rsidRPr="00757BD6">
          <w:rPr>
            <w:rStyle w:val="Hyperlink"/>
            <w:rFonts w:ascii="Times New Roman" w:hAnsi="Times New Roman" w:cs="Times New Roman"/>
            <w:sz w:val="24"/>
            <w:szCs w:val="24"/>
          </w:rPr>
          <w:t>https://doi.org/10.3390/mps8040088</w:t>
        </w:r>
      </w:hyperlink>
      <w:r>
        <w:rPr>
          <w:rFonts w:ascii="Times New Roman" w:hAnsi="Times New Roman" w:cs="Times New Roman"/>
          <w:sz w:val="24"/>
          <w:szCs w:val="24"/>
        </w:rPr>
        <w:t xml:space="preserve"> </w:t>
      </w:r>
    </w:p>
    <w:p w14:paraId="6361D2C0" w14:textId="3A5E66EE" w:rsidR="00757BD6" w:rsidRPr="00757BD6" w:rsidRDefault="00757BD6" w:rsidP="00757BD6">
      <w:pPr>
        <w:pStyle w:val="ListParagraph"/>
        <w:numPr>
          <w:ilvl w:val="0"/>
          <w:numId w:val="25"/>
        </w:numPr>
        <w:spacing w:line="276" w:lineRule="auto"/>
        <w:jc w:val="both"/>
        <w:rPr>
          <w:rFonts w:ascii="Times New Roman" w:hAnsi="Times New Roman" w:cs="Times New Roman"/>
          <w:sz w:val="24"/>
          <w:szCs w:val="24"/>
        </w:rPr>
      </w:pPr>
      <w:r w:rsidRPr="00757BD6">
        <w:rPr>
          <w:rFonts w:ascii="Times New Roman" w:hAnsi="Times New Roman" w:cs="Times New Roman"/>
          <w:sz w:val="24"/>
          <w:szCs w:val="24"/>
        </w:rPr>
        <w:t>Rodrigues, M. A., García Mendoza, M. G., Kong, R., Sutton, A., Pugsley, H. R., Li, Y., Hall, B. E., Fogg, D., Ohl, L., &amp; Venkatachalam, V. (2023). Automation of the Micronucleus Assay Using Imaging Flow Cytometry and Artificial Intelligence. </w:t>
      </w:r>
      <w:r w:rsidRPr="00757BD6">
        <w:rPr>
          <w:rFonts w:ascii="Times New Roman" w:hAnsi="Times New Roman" w:cs="Times New Roman"/>
          <w:i/>
          <w:iCs/>
          <w:sz w:val="24"/>
          <w:szCs w:val="24"/>
        </w:rPr>
        <w:t>Journal of Visualized Experiments</w:t>
      </w:r>
      <w:r w:rsidRPr="00757BD6">
        <w:rPr>
          <w:rFonts w:ascii="Times New Roman" w:hAnsi="Times New Roman" w:cs="Times New Roman"/>
          <w:sz w:val="24"/>
          <w:szCs w:val="24"/>
        </w:rPr>
        <w:t xml:space="preserve">. </w:t>
      </w:r>
      <w:hyperlink r:id="rId10" w:history="1">
        <w:r w:rsidRPr="00757BD6">
          <w:rPr>
            <w:rStyle w:val="Hyperlink"/>
            <w:rFonts w:ascii="Times New Roman" w:hAnsi="Times New Roman" w:cs="Times New Roman"/>
            <w:sz w:val="24"/>
            <w:szCs w:val="24"/>
          </w:rPr>
          <w:t>https://doi.org/10.3791/64549</w:t>
        </w:r>
      </w:hyperlink>
      <w:r>
        <w:rPr>
          <w:rFonts w:ascii="Times New Roman" w:hAnsi="Times New Roman" w:cs="Times New Roman"/>
          <w:sz w:val="24"/>
          <w:szCs w:val="24"/>
        </w:rPr>
        <w:t xml:space="preserve"> </w:t>
      </w:r>
    </w:p>
    <w:p w14:paraId="3ADF0085" w14:textId="77777777" w:rsidR="00757BD6" w:rsidRPr="00757BD6" w:rsidRDefault="00757BD6" w:rsidP="00757BD6">
      <w:pPr>
        <w:pStyle w:val="ListParagraph"/>
        <w:numPr>
          <w:ilvl w:val="0"/>
          <w:numId w:val="25"/>
        </w:numPr>
        <w:spacing w:line="276" w:lineRule="auto"/>
        <w:jc w:val="both"/>
        <w:rPr>
          <w:rFonts w:ascii="Times New Roman" w:hAnsi="Times New Roman" w:cs="Times New Roman"/>
          <w:sz w:val="24"/>
          <w:szCs w:val="24"/>
        </w:rPr>
      </w:pPr>
      <w:r w:rsidRPr="00757BD6">
        <w:rPr>
          <w:rFonts w:ascii="Times New Roman" w:hAnsi="Times New Roman" w:cs="Times New Roman"/>
          <w:i/>
          <w:iCs/>
          <w:sz w:val="24"/>
          <w:szCs w:val="24"/>
        </w:rPr>
        <w:t>Allium Cepa Root Chromosomal Aberration Assay: A Review</w:t>
      </w:r>
      <w:r w:rsidRPr="00757BD6">
        <w:rPr>
          <w:rFonts w:ascii="Times New Roman" w:hAnsi="Times New Roman" w:cs="Times New Roman"/>
          <w:sz w:val="24"/>
          <w:szCs w:val="24"/>
        </w:rPr>
        <w:t>. (n.d.).</w:t>
      </w:r>
    </w:p>
    <w:p w14:paraId="1823AFF5" w14:textId="7E28659A" w:rsidR="00757BD6" w:rsidRPr="00757BD6" w:rsidRDefault="00757BD6" w:rsidP="00757BD6">
      <w:pPr>
        <w:pStyle w:val="ListParagraph"/>
        <w:numPr>
          <w:ilvl w:val="0"/>
          <w:numId w:val="25"/>
        </w:numPr>
        <w:spacing w:line="276" w:lineRule="auto"/>
        <w:jc w:val="both"/>
        <w:rPr>
          <w:rFonts w:ascii="Times New Roman" w:hAnsi="Times New Roman" w:cs="Times New Roman"/>
          <w:sz w:val="24"/>
          <w:szCs w:val="24"/>
        </w:rPr>
      </w:pPr>
      <w:r w:rsidRPr="00757BD6">
        <w:rPr>
          <w:rFonts w:ascii="Times New Roman" w:hAnsi="Times New Roman" w:cs="Times New Roman"/>
          <w:sz w:val="24"/>
          <w:szCs w:val="24"/>
        </w:rPr>
        <w:t>Baudoin, N. C., &amp; Cimini, D. (2018). A guide to classifying mitotic stages and mitotic defects in fixed cells. </w:t>
      </w:r>
      <w:proofErr w:type="spellStart"/>
      <w:r w:rsidRPr="00757BD6">
        <w:rPr>
          <w:rFonts w:ascii="Times New Roman" w:hAnsi="Times New Roman" w:cs="Times New Roman"/>
          <w:i/>
          <w:iCs/>
          <w:sz w:val="24"/>
          <w:szCs w:val="24"/>
        </w:rPr>
        <w:t>Chromosoma</w:t>
      </w:r>
      <w:proofErr w:type="spellEnd"/>
      <w:r w:rsidRPr="00757BD6">
        <w:rPr>
          <w:rFonts w:ascii="Times New Roman" w:hAnsi="Times New Roman" w:cs="Times New Roman"/>
          <w:sz w:val="24"/>
          <w:szCs w:val="24"/>
        </w:rPr>
        <w:t xml:space="preserve">. </w:t>
      </w:r>
      <w:hyperlink r:id="rId11" w:history="1">
        <w:r w:rsidRPr="00757BD6">
          <w:rPr>
            <w:rStyle w:val="Hyperlink"/>
            <w:rFonts w:ascii="Times New Roman" w:hAnsi="Times New Roman" w:cs="Times New Roman"/>
            <w:sz w:val="24"/>
            <w:szCs w:val="24"/>
          </w:rPr>
          <w:t>https://doi.org/10.1007/S00412-018-0660-2</w:t>
        </w:r>
      </w:hyperlink>
      <w:r>
        <w:rPr>
          <w:rFonts w:ascii="Times New Roman" w:hAnsi="Times New Roman" w:cs="Times New Roman"/>
          <w:sz w:val="24"/>
          <w:szCs w:val="24"/>
        </w:rPr>
        <w:t xml:space="preserve"> </w:t>
      </w:r>
    </w:p>
    <w:p w14:paraId="2C2201FA" w14:textId="55F26333" w:rsidR="00757BD6" w:rsidRPr="00757BD6" w:rsidRDefault="00757BD6" w:rsidP="00757BD6">
      <w:pPr>
        <w:pStyle w:val="ListParagraph"/>
        <w:numPr>
          <w:ilvl w:val="0"/>
          <w:numId w:val="25"/>
        </w:numPr>
        <w:spacing w:line="276" w:lineRule="auto"/>
        <w:jc w:val="both"/>
        <w:rPr>
          <w:rFonts w:ascii="Times New Roman" w:hAnsi="Times New Roman" w:cs="Times New Roman"/>
          <w:sz w:val="24"/>
          <w:szCs w:val="24"/>
        </w:rPr>
      </w:pPr>
      <w:r w:rsidRPr="00757BD6">
        <w:rPr>
          <w:rFonts w:ascii="Times New Roman" w:hAnsi="Times New Roman" w:cs="Times New Roman"/>
          <w:sz w:val="24"/>
          <w:szCs w:val="24"/>
        </w:rPr>
        <w:t>Rubin, C. M. (1992). Technical advances in the cytogenetic analysis of malignant tissues. </w:t>
      </w:r>
      <w:r w:rsidRPr="00757BD6">
        <w:rPr>
          <w:rFonts w:ascii="Times New Roman" w:hAnsi="Times New Roman" w:cs="Times New Roman"/>
          <w:i/>
          <w:iCs/>
          <w:sz w:val="24"/>
          <w:szCs w:val="24"/>
        </w:rPr>
        <w:t>Cancer</w:t>
      </w:r>
      <w:r w:rsidRPr="00757BD6">
        <w:rPr>
          <w:rFonts w:ascii="Times New Roman" w:hAnsi="Times New Roman" w:cs="Times New Roman"/>
          <w:sz w:val="24"/>
          <w:szCs w:val="24"/>
        </w:rPr>
        <w:t xml:space="preserve">. </w:t>
      </w:r>
      <w:hyperlink r:id="rId12" w:history="1">
        <w:r w:rsidRPr="00757BD6">
          <w:rPr>
            <w:rStyle w:val="Hyperlink"/>
            <w:rFonts w:ascii="Times New Roman" w:hAnsi="Times New Roman" w:cs="Times New Roman"/>
            <w:sz w:val="24"/>
            <w:szCs w:val="24"/>
          </w:rPr>
          <w:t>https://doi.org/10.1002/1097-0142(19920315)69:6+&lt;1567::AID-CNCR2820691310&gt;3.0.CO;2-U</w:t>
        </w:r>
      </w:hyperlink>
      <w:r>
        <w:rPr>
          <w:rFonts w:ascii="Times New Roman" w:hAnsi="Times New Roman" w:cs="Times New Roman"/>
          <w:sz w:val="24"/>
          <w:szCs w:val="24"/>
        </w:rPr>
        <w:t xml:space="preserve">  </w:t>
      </w:r>
    </w:p>
    <w:p w14:paraId="2FB2A199" w14:textId="7C6D12F9" w:rsidR="00757BD6" w:rsidRPr="00757BD6" w:rsidRDefault="00757BD6" w:rsidP="00757BD6">
      <w:pPr>
        <w:pStyle w:val="ListParagraph"/>
        <w:numPr>
          <w:ilvl w:val="0"/>
          <w:numId w:val="25"/>
        </w:numPr>
        <w:spacing w:line="276" w:lineRule="auto"/>
        <w:jc w:val="both"/>
        <w:rPr>
          <w:rFonts w:ascii="Times New Roman" w:hAnsi="Times New Roman" w:cs="Times New Roman"/>
          <w:sz w:val="24"/>
          <w:szCs w:val="24"/>
        </w:rPr>
      </w:pPr>
      <w:r w:rsidRPr="00757BD6">
        <w:rPr>
          <w:rFonts w:ascii="Times New Roman" w:hAnsi="Times New Roman" w:cs="Times New Roman"/>
          <w:sz w:val="24"/>
          <w:szCs w:val="24"/>
        </w:rPr>
        <w:t xml:space="preserve">Sun, H., Xia, M., Austin, C. P., &amp; Huang, R. (2012). Paradigm Shift in Toxicity Testing and </w:t>
      </w:r>
      <w:proofErr w:type="spellStart"/>
      <w:r w:rsidRPr="00757BD6">
        <w:rPr>
          <w:rFonts w:ascii="Times New Roman" w:hAnsi="Times New Roman" w:cs="Times New Roman"/>
          <w:sz w:val="24"/>
          <w:szCs w:val="24"/>
        </w:rPr>
        <w:t>Modeling</w:t>
      </w:r>
      <w:proofErr w:type="spellEnd"/>
      <w:r w:rsidRPr="00757BD6">
        <w:rPr>
          <w:rFonts w:ascii="Times New Roman" w:hAnsi="Times New Roman" w:cs="Times New Roman"/>
          <w:sz w:val="24"/>
          <w:szCs w:val="24"/>
        </w:rPr>
        <w:t>. </w:t>
      </w:r>
      <w:proofErr w:type="spellStart"/>
      <w:r w:rsidRPr="00757BD6">
        <w:rPr>
          <w:rFonts w:ascii="Times New Roman" w:hAnsi="Times New Roman" w:cs="Times New Roman"/>
          <w:i/>
          <w:iCs/>
          <w:sz w:val="24"/>
          <w:szCs w:val="24"/>
        </w:rPr>
        <w:t>Aaps</w:t>
      </w:r>
      <w:proofErr w:type="spellEnd"/>
      <w:r w:rsidRPr="00757BD6">
        <w:rPr>
          <w:rFonts w:ascii="Times New Roman" w:hAnsi="Times New Roman" w:cs="Times New Roman"/>
          <w:i/>
          <w:iCs/>
          <w:sz w:val="24"/>
          <w:szCs w:val="24"/>
        </w:rPr>
        <w:t xml:space="preserve"> Journal</w:t>
      </w:r>
      <w:r w:rsidRPr="00757BD6">
        <w:rPr>
          <w:rFonts w:ascii="Times New Roman" w:hAnsi="Times New Roman" w:cs="Times New Roman"/>
          <w:sz w:val="24"/>
          <w:szCs w:val="24"/>
        </w:rPr>
        <w:t xml:space="preserve">. </w:t>
      </w:r>
      <w:hyperlink r:id="rId13" w:history="1">
        <w:r w:rsidRPr="00757BD6">
          <w:rPr>
            <w:rStyle w:val="Hyperlink"/>
            <w:rFonts w:ascii="Times New Roman" w:hAnsi="Times New Roman" w:cs="Times New Roman"/>
            <w:sz w:val="24"/>
            <w:szCs w:val="24"/>
          </w:rPr>
          <w:t>https://doi.org/10.1208/S12248-012-9358-1</w:t>
        </w:r>
      </w:hyperlink>
      <w:r>
        <w:rPr>
          <w:rFonts w:ascii="Times New Roman" w:hAnsi="Times New Roman" w:cs="Times New Roman"/>
          <w:sz w:val="24"/>
          <w:szCs w:val="24"/>
        </w:rPr>
        <w:t xml:space="preserve"> </w:t>
      </w:r>
    </w:p>
    <w:p w14:paraId="5E566656" w14:textId="77777777" w:rsidR="00757BD6" w:rsidRPr="00757BD6" w:rsidRDefault="00757BD6" w:rsidP="00757BD6">
      <w:pPr>
        <w:pStyle w:val="ListParagraph"/>
        <w:spacing w:line="276" w:lineRule="auto"/>
        <w:jc w:val="both"/>
        <w:rPr>
          <w:rFonts w:ascii="Times New Roman" w:hAnsi="Times New Roman" w:cs="Times New Roman"/>
          <w:sz w:val="24"/>
          <w:szCs w:val="24"/>
        </w:rPr>
      </w:pPr>
    </w:p>
    <w:sectPr w:rsidR="00757BD6" w:rsidRPr="00757BD6">
      <w:headerReference w:type="defaul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1D81CE" w14:textId="77777777" w:rsidR="00691E92" w:rsidRDefault="00691E92" w:rsidP="00757BD6">
      <w:pPr>
        <w:spacing w:after="0" w:line="240" w:lineRule="auto"/>
      </w:pPr>
      <w:r>
        <w:separator/>
      </w:r>
    </w:p>
  </w:endnote>
  <w:endnote w:type="continuationSeparator" w:id="0">
    <w:p w14:paraId="788B73CE" w14:textId="77777777" w:rsidR="00691E92" w:rsidRDefault="00691E92" w:rsidP="00757BD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08AAF1" w14:textId="77777777" w:rsidR="00691E92" w:rsidRDefault="00691E92" w:rsidP="00757BD6">
      <w:pPr>
        <w:spacing w:after="0" w:line="240" w:lineRule="auto"/>
      </w:pPr>
      <w:r>
        <w:separator/>
      </w:r>
    </w:p>
  </w:footnote>
  <w:footnote w:type="continuationSeparator" w:id="0">
    <w:p w14:paraId="472A9930" w14:textId="77777777" w:rsidR="00691E92" w:rsidRDefault="00691E92" w:rsidP="00757BD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8F7CBC" w14:textId="69D3CBA1" w:rsidR="00757BD6" w:rsidRDefault="00757BD6">
    <w:pPr>
      <w:pStyle w:val="Header"/>
    </w:pPr>
    <w:r w:rsidRPr="007B68D1">
      <w:rPr>
        <w:noProof/>
      </w:rPr>
      <w:drawing>
        <wp:anchor distT="0" distB="0" distL="114300" distR="114300" simplePos="0" relativeHeight="251659264" behindDoc="1" locked="0" layoutInCell="1" allowOverlap="1" wp14:anchorId="333B62C2" wp14:editId="3E314906">
          <wp:simplePos x="0" y="0"/>
          <wp:positionH relativeFrom="margin">
            <wp:align>left</wp:align>
          </wp:positionH>
          <wp:positionV relativeFrom="paragraph">
            <wp:posOffset>-137795</wp:posOffset>
          </wp:positionV>
          <wp:extent cx="990600" cy="287020"/>
          <wp:effectExtent l="0" t="0" r="0" b="0"/>
          <wp:wrapTight wrapText="bothSides">
            <wp:wrapPolygon edited="0">
              <wp:start x="0" y="0"/>
              <wp:lineTo x="0" y="20071"/>
              <wp:lineTo x="21185" y="20071"/>
              <wp:lineTo x="21185" y="0"/>
              <wp:lineTo x="0" y="0"/>
            </wp:wrapPolygon>
          </wp:wrapTight>
          <wp:docPr id="164854260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1">
                    <a:extLst>
                      <a:ext uri="{28A0092B-C50C-407E-A947-70E740481C1C}">
                        <a14:useLocalDpi xmlns:a14="http://schemas.microsoft.com/office/drawing/2010/main" val="0"/>
                      </a:ext>
                    </a:extLst>
                  </a:blip>
                  <a:srcRect t="38697" b="38084"/>
                  <a:stretch>
                    <a:fillRect/>
                  </a:stretch>
                </pic:blipFill>
                <pic:spPr bwMode="auto">
                  <a:xfrm>
                    <a:off x="0" y="0"/>
                    <a:ext cx="990600" cy="287020"/>
                  </a:xfrm>
                  <a:prstGeom prst="rect">
                    <a:avLst/>
                  </a:prstGeom>
                  <a:noFill/>
                  <a:ln>
                    <a:noFill/>
                  </a:ln>
                  <a:extLst>
                    <a:ext uri="{53640926-AAD7-44D8-BBD7-CCE9431645EC}">
                      <a14:shadowObscured xmlns:a14="http://schemas.microsoft.com/office/drawing/2010/main"/>
                    </a:ext>
                  </a:extLst>
                </pic:spPr>
              </pic:pic>
            </a:graphicData>
          </a:graphic>
        </wp:anchor>
      </w:drawing>
    </w:r>
    <w:r>
      <w:rPr>
        <w:noProof/>
      </w:rPr>
      <w:drawing>
        <wp:anchor distT="0" distB="0" distL="114300" distR="114300" simplePos="0" relativeHeight="251661312" behindDoc="1" locked="0" layoutInCell="1" allowOverlap="1" wp14:anchorId="715E740B" wp14:editId="27C3F441">
          <wp:simplePos x="0" y="0"/>
          <wp:positionH relativeFrom="margin">
            <wp:align>right</wp:align>
          </wp:positionH>
          <wp:positionV relativeFrom="paragraph">
            <wp:posOffset>-183515</wp:posOffset>
          </wp:positionV>
          <wp:extent cx="762000" cy="381000"/>
          <wp:effectExtent l="0" t="0" r="0" b="0"/>
          <wp:wrapTight wrapText="bothSides">
            <wp:wrapPolygon edited="0">
              <wp:start x="0" y="0"/>
              <wp:lineTo x="0" y="20520"/>
              <wp:lineTo x="21060" y="20520"/>
              <wp:lineTo x="21060" y="0"/>
              <wp:lineTo x="0" y="0"/>
            </wp:wrapPolygon>
          </wp:wrapTight>
          <wp:docPr id="7810622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1062210" name="Picture 781062210"/>
                  <pic:cNvPicPr/>
                </pic:nvPicPr>
                <pic:blipFill>
                  <a:blip r:embed="rId2">
                    <a:extLst>
                      <a:ext uri="{28A0092B-C50C-407E-A947-70E740481C1C}">
                        <a14:useLocalDpi xmlns:a14="http://schemas.microsoft.com/office/drawing/2010/main" val="0"/>
                      </a:ext>
                    </a:extLst>
                  </a:blip>
                  <a:stretch>
                    <a:fillRect/>
                  </a:stretch>
                </pic:blipFill>
                <pic:spPr>
                  <a:xfrm>
                    <a:off x="0" y="0"/>
                    <a:ext cx="762000" cy="381000"/>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ptab w:relativeTo="margin" w:alignment="right" w:leader="none"/>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8238F"/>
    <w:multiLevelType w:val="multilevel"/>
    <w:tmpl w:val="CDCEE1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35944E8"/>
    <w:multiLevelType w:val="multilevel"/>
    <w:tmpl w:val="74DA3F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37509F4"/>
    <w:multiLevelType w:val="multilevel"/>
    <w:tmpl w:val="327E80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6C71DC"/>
    <w:multiLevelType w:val="multilevel"/>
    <w:tmpl w:val="AF0A9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27113F"/>
    <w:multiLevelType w:val="multilevel"/>
    <w:tmpl w:val="C21E7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185029"/>
    <w:multiLevelType w:val="multilevel"/>
    <w:tmpl w:val="E6807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060D8B"/>
    <w:multiLevelType w:val="multilevel"/>
    <w:tmpl w:val="7562BF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3C66CBB"/>
    <w:multiLevelType w:val="hybridMultilevel"/>
    <w:tmpl w:val="401839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3E76131"/>
    <w:multiLevelType w:val="multilevel"/>
    <w:tmpl w:val="9B38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4EC094B"/>
    <w:multiLevelType w:val="multilevel"/>
    <w:tmpl w:val="759C6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83051BB"/>
    <w:multiLevelType w:val="multilevel"/>
    <w:tmpl w:val="4E08E6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DCF751F"/>
    <w:multiLevelType w:val="multilevel"/>
    <w:tmpl w:val="F6909D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1D53D1A"/>
    <w:multiLevelType w:val="multilevel"/>
    <w:tmpl w:val="856E32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47263708"/>
    <w:multiLevelType w:val="multilevel"/>
    <w:tmpl w:val="EFA056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8B6010"/>
    <w:multiLevelType w:val="multilevel"/>
    <w:tmpl w:val="12689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25641B"/>
    <w:multiLevelType w:val="multilevel"/>
    <w:tmpl w:val="3C727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96D2327"/>
    <w:multiLevelType w:val="multilevel"/>
    <w:tmpl w:val="A7BA1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AE57DA4"/>
    <w:multiLevelType w:val="multilevel"/>
    <w:tmpl w:val="7BA61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2392110"/>
    <w:multiLevelType w:val="multilevel"/>
    <w:tmpl w:val="130E7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F44CBA"/>
    <w:multiLevelType w:val="multilevel"/>
    <w:tmpl w:val="6ADC0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27C0CD3"/>
    <w:multiLevelType w:val="multilevel"/>
    <w:tmpl w:val="4E2C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23126A"/>
    <w:multiLevelType w:val="multilevel"/>
    <w:tmpl w:val="594C3C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4204402"/>
    <w:multiLevelType w:val="multilevel"/>
    <w:tmpl w:val="8348D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254899"/>
    <w:multiLevelType w:val="multilevel"/>
    <w:tmpl w:val="BC9AF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9A331A7"/>
    <w:multiLevelType w:val="multilevel"/>
    <w:tmpl w:val="FC969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170828003">
    <w:abstractNumId w:val="11"/>
  </w:num>
  <w:num w:numId="2" w16cid:durableId="1445418831">
    <w:abstractNumId w:val="13"/>
  </w:num>
  <w:num w:numId="3" w16cid:durableId="2113237704">
    <w:abstractNumId w:val="12"/>
  </w:num>
  <w:num w:numId="4" w16cid:durableId="1636913681">
    <w:abstractNumId w:val="5"/>
  </w:num>
  <w:num w:numId="5" w16cid:durableId="1032727286">
    <w:abstractNumId w:val="0"/>
  </w:num>
  <w:num w:numId="6" w16cid:durableId="1437946788">
    <w:abstractNumId w:val="18"/>
  </w:num>
  <w:num w:numId="7" w16cid:durableId="1234698440">
    <w:abstractNumId w:val="24"/>
  </w:num>
  <w:num w:numId="8" w16cid:durableId="108209642">
    <w:abstractNumId w:val="3"/>
  </w:num>
  <w:num w:numId="9" w16cid:durableId="801192854">
    <w:abstractNumId w:val="16"/>
  </w:num>
  <w:num w:numId="10" w16cid:durableId="1857112416">
    <w:abstractNumId w:val="8"/>
  </w:num>
  <w:num w:numId="11" w16cid:durableId="1588807198">
    <w:abstractNumId w:val="6"/>
  </w:num>
  <w:num w:numId="12" w16cid:durableId="503932393">
    <w:abstractNumId w:val="4"/>
  </w:num>
  <w:num w:numId="13" w16cid:durableId="1257251206">
    <w:abstractNumId w:val="20"/>
  </w:num>
  <w:num w:numId="14" w16cid:durableId="915044683">
    <w:abstractNumId w:val="19"/>
  </w:num>
  <w:num w:numId="15" w16cid:durableId="572664799">
    <w:abstractNumId w:val="23"/>
  </w:num>
  <w:num w:numId="16" w16cid:durableId="1677806761">
    <w:abstractNumId w:val="15"/>
  </w:num>
  <w:num w:numId="17" w16cid:durableId="1179083377">
    <w:abstractNumId w:val="2"/>
  </w:num>
  <w:num w:numId="18" w16cid:durableId="1411584446">
    <w:abstractNumId w:val="17"/>
  </w:num>
  <w:num w:numId="19" w16cid:durableId="2095005947">
    <w:abstractNumId w:val="14"/>
  </w:num>
  <w:num w:numId="20" w16cid:durableId="1522547364">
    <w:abstractNumId w:val="1"/>
  </w:num>
  <w:num w:numId="21" w16cid:durableId="1785078737">
    <w:abstractNumId w:val="22"/>
  </w:num>
  <w:num w:numId="22" w16cid:durableId="1650473468">
    <w:abstractNumId w:val="10"/>
  </w:num>
  <w:num w:numId="23" w16cid:durableId="1504659776">
    <w:abstractNumId w:val="9"/>
  </w:num>
  <w:num w:numId="24" w16cid:durableId="872957699">
    <w:abstractNumId w:val="21"/>
  </w:num>
  <w:num w:numId="25" w16cid:durableId="201137965">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11E5"/>
    <w:rsid w:val="002349DF"/>
    <w:rsid w:val="003B6190"/>
    <w:rsid w:val="004C1182"/>
    <w:rsid w:val="005B445E"/>
    <w:rsid w:val="00691E92"/>
    <w:rsid w:val="00757BD6"/>
    <w:rsid w:val="009406DC"/>
    <w:rsid w:val="00A00493"/>
    <w:rsid w:val="00A31439"/>
    <w:rsid w:val="00C911E5"/>
    <w:rsid w:val="00F8119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C1812A"/>
  <w15:chartTrackingRefBased/>
  <w15:docId w15:val="{4CEDD907-4916-4106-ACE2-7808908C5A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911E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911E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911E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911E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911E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911E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911E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911E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911E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911E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911E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911E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911E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911E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911E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911E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911E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911E5"/>
    <w:rPr>
      <w:rFonts w:eastAsiaTheme="majorEastAsia" w:cstheme="majorBidi"/>
      <w:color w:val="272727" w:themeColor="text1" w:themeTint="D8"/>
    </w:rPr>
  </w:style>
  <w:style w:type="paragraph" w:styleId="Title">
    <w:name w:val="Title"/>
    <w:basedOn w:val="Normal"/>
    <w:next w:val="Normal"/>
    <w:link w:val="TitleChar"/>
    <w:uiPriority w:val="10"/>
    <w:qFormat/>
    <w:rsid w:val="00C911E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911E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911E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911E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911E5"/>
    <w:pPr>
      <w:spacing w:before="160"/>
      <w:jc w:val="center"/>
    </w:pPr>
    <w:rPr>
      <w:i/>
      <w:iCs/>
      <w:color w:val="404040" w:themeColor="text1" w:themeTint="BF"/>
    </w:rPr>
  </w:style>
  <w:style w:type="character" w:customStyle="1" w:styleId="QuoteChar">
    <w:name w:val="Quote Char"/>
    <w:basedOn w:val="DefaultParagraphFont"/>
    <w:link w:val="Quote"/>
    <w:uiPriority w:val="29"/>
    <w:rsid w:val="00C911E5"/>
    <w:rPr>
      <w:i/>
      <w:iCs/>
      <w:color w:val="404040" w:themeColor="text1" w:themeTint="BF"/>
    </w:rPr>
  </w:style>
  <w:style w:type="paragraph" w:styleId="ListParagraph">
    <w:name w:val="List Paragraph"/>
    <w:basedOn w:val="Normal"/>
    <w:uiPriority w:val="34"/>
    <w:qFormat/>
    <w:rsid w:val="00C911E5"/>
    <w:pPr>
      <w:ind w:left="720"/>
      <w:contextualSpacing/>
    </w:pPr>
  </w:style>
  <w:style w:type="character" w:styleId="IntenseEmphasis">
    <w:name w:val="Intense Emphasis"/>
    <w:basedOn w:val="DefaultParagraphFont"/>
    <w:uiPriority w:val="21"/>
    <w:qFormat/>
    <w:rsid w:val="00C911E5"/>
    <w:rPr>
      <w:i/>
      <w:iCs/>
      <w:color w:val="2F5496" w:themeColor="accent1" w:themeShade="BF"/>
    </w:rPr>
  </w:style>
  <w:style w:type="paragraph" w:styleId="IntenseQuote">
    <w:name w:val="Intense Quote"/>
    <w:basedOn w:val="Normal"/>
    <w:next w:val="Normal"/>
    <w:link w:val="IntenseQuoteChar"/>
    <w:uiPriority w:val="30"/>
    <w:qFormat/>
    <w:rsid w:val="00C911E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911E5"/>
    <w:rPr>
      <w:i/>
      <w:iCs/>
      <w:color w:val="2F5496" w:themeColor="accent1" w:themeShade="BF"/>
    </w:rPr>
  </w:style>
  <w:style w:type="character" w:styleId="IntenseReference">
    <w:name w:val="Intense Reference"/>
    <w:basedOn w:val="DefaultParagraphFont"/>
    <w:uiPriority w:val="32"/>
    <w:qFormat/>
    <w:rsid w:val="00C911E5"/>
    <w:rPr>
      <w:b/>
      <w:bCs/>
      <w:smallCaps/>
      <w:color w:val="2F5496" w:themeColor="accent1" w:themeShade="BF"/>
      <w:spacing w:val="5"/>
    </w:rPr>
  </w:style>
  <w:style w:type="paragraph" w:styleId="Header">
    <w:name w:val="header"/>
    <w:basedOn w:val="Normal"/>
    <w:link w:val="HeaderChar"/>
    <w:uiPriority w:val="99"/>
    <w:unhideWhenUsed/>
    <w:rsid w:val="00757BD6"/>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7BD6"/>
  </w:style>
  <w:style w:type="paragraph" w:styleId="Footer">
    <w:name w:val="footer"/>
    <w:basedOn w:val="Normal"/>
    <w:link w:val="FooterChar"/>
    <w:uiPriority w:val="99"/>
    <w:unhideWhenUsed/>
    <w:rsid w:val="00757BD6"/>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7BD6"/>
  </w:style>
  <w:style w:type="character" w:styleId="Hyperlink">
    <w:name w:val="Hyperlink"/>
    <w:basedOn w:val="DefaultParagraphFont"/>
    <w:uiPriority w:val="99"/>
    <w:unhideWhenUsed/>
    <w:rsid w:val="00757BD6"/>
    <w:rPr>
      <w:color w:val="0563C1" w:themeColor="hyperlink"/>
      <w:u w:val="single"/>
    </w:rPr>
  </w:style>
  <w:style w:type="character" w:styleId="UnresolvedMention">
    <w:name w:val="Unresolved Mention"/>
    <w:basedOn w:val="DefaultParagraphFont"/>
    <w:uiPriority w:val="99"/>
    <w:semiHidden/>
    <w:unhideWhenUsed/>
    <w:rsid w:val="00757BD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info@swalifebiotech.com" TargetMode="External"/><Relationship Id="rId13" Type="http://schemas.openxmlformats.org/officeDocument/2006/relationships/hyperlink" Target="https://doi.org/10.1208/S12248-012-9358-1" TargetMode="Externa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doi.org/10.1002/1097-0142(19920315)69:6+%3c1567::AID-CNCR2820691310%3e3.0.CO;2-U" TargetMode="Externa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oi.org/10.1007/S00412-018-0660-2"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https://doi.org/10.3791/64549" TargetMode="External"/><Relationship Id="rId4" Type="http://schemas.openxmlformats.org/officeDocument/2006/relationships/webSettings" Target="webSettings.xml"/><Relationship Id="rId9" Type="http://schemas.openxmlformats.org/officeDocument/2006/relationships/hyperlink" Target="https://doi.org/10.3390/mps8040088" TargetMode="External"/><Relationship Id="rId14"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8</Pages>
  <Words>1730</Words>
  <Characters>9862</Characters>
  <Application>Microsoft Office Word</Application>
  <DocSecurity>0</DocSecurity>
  <Lines>82</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11569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Shruti Joshi</dc:creator>
  <cp:keywords/>
  <dc:description/>
  <cp:lastModifiedBy>Shruti Joshi</cp:lastModifiedBy>
  <cp:revision>5</cp:revision>
  <dcterms:created xsi:type="dcterms:W3CDTF">2025-11-21T12:06:00Z</dcterms:created>
  <dcterms:modified xsi:type="dcterms:W3CDTF">2025-11-21T12:24:00Z</dcterms:modified>
</cp:coreProperties>
</file>