
<file path=[Content_Types].xml><?xml version="1.0" encoding="utf-8"?>
<Types xmlns="http://schemas.openxmlformats.org/package/2006/content-types">
  <Default Extension="tiff" ContentType="image/tiff"/>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EEE39CA">
      <w:pPr>
        <w:spacing w:line="480" w:lineRule="auto"/>
        <w:jc w:val="center"/>
        <w:rPr>
          <w:rFonts w:hint="eastAsia" w:ascii="Times New Roman" w:hAnsi="Times New Roman" w:cs="Times New Roman"/>
          <w:b/>
          <w:sz w:val="28"/>
          <w:szCs w:val="28"/>
        </w:rPr>
      </w:pPr>
      <w:r>
        <w:rPr>
          <w:rFonts w:hint="eastAsia" w:ascii="Times New Roman" w:hAnsi="Times New Roman" w:cs="Times New Roman"/>
          <w:b/>
          <w:sz w:val="28"/>
          <w:szCs w:val="28"/>
        </w:rPr>
        <w:t>Artificial reef eco-engineering enhances the sediment microbial carbon pump via substrate-driven activation of the mevalonate pathway</w:t>
      </w:r>
    </w:p>
    <w:p w14:paraId="63229D0C">
      <w:pPr>
        <w:spacing w:line="480" w:lineRule="auto"/>
        <w:jc w:val="center"/>
        <w:rPr>
          <w:rFonts w:hint="default" w:ascii="Times New Roman" w:hAnsi="Times New Roman" w:cs="Times New Roman" w:eastAsiaTheme="minorEastAsia"/>
          <w:b/>
          <w:sz w:val="28"/>
          <w:szCs w:val="28"/>
          <w:lang w:val="en-US" w:eastAsia="zh-CN"/>
        </w:rPr>
      </w:pPr>
      <w:r>
        <w:rPr>
          <w:rFonts w:hint="eastAsia" w:ascii="Times New Roman" w:hAnsi="Times New Roman" w:cs="Times New Roman"/>
          <w:b/>
          <w:sz w:val="28"/>
          <w:szCs w:val="28"/>
          <w:lang w:val="en-US" w:eastAsia="zh-CN"/>
        </w:rPr>
        <w:t>Supplementary File 2</w:t>
      </w:r>
      <w:bookmarkStart w:id="1" w:name="_GoBack"/>
      <w:bookmarkEnd w:id="1"/>
    </w:p>
    <w:p w14:paraId="3514A3E8">
      <w:pPr>
        <w:spacing w:line="480" w:lineRule="auto"/>
        <w:rPr>
          <w:rFonts w:asciiTheme="majorEastAsia" w:hAnsiTheme="majorEastAsia" w:eastAsiaTheme="majorEastAsia" w:cstheme="majorEastAsia"/>
        </w:rPr>
      </w:pPr>
      <w:r>
        <w:rPr>
          <w:rFonts w:ascii="Times New Roman" w:hAnsi="Times New Roman" w:cs="Times New Roman" w:eastAsiaTheme="majorEastAsia"/>
          <w:i/>
          <w:iCs/>
        </w:rPr>
        <w:t>Jun</w:t>
      </w:r>
      <w:r>
        <w:rPr>
          <w:rFonts w:hint="eastAsia" w:ascii="Times New Roman" w:hAnsi="Times New Roman" w:cs="Times New Roman" w:eastAsiaTheme="majorEastAsia"/>
          <w:i/>
          <w:iCs/>
        </w:rPr>
        <w:t>y</w:t>
      </w:r>
      <w:r>
        <w:rPr>
          <w:rFonts w:ascii="Times New Roman" w:hAnsi="Times New Roman" w:cs="Times New Roman" w:eastAsiaTheme="majorEastAsia"/>
          <w:i/>
          <w:iCs/>
        </w:rPr>
        <w:t>ang Ma</w:t>
      </w:r>
      <w:r>
        <w:rPr>
          <w:rFonts w:hint="eastAsia" w:ascii="Times New Roman" w:hAnsi="Times New Roman" w:cs="Times New Roman" w:eastAsiaTheme="majorEastAsia"/>
          <w:vertAlign w:val="superscript"/>
        </w:rPr>
        <w:t>a,b</w:t>
      </w:r>
      <w:r>
        <w:rPr>
          <w:rFonts w:ascii="Times New Roman" w:hAnsi="Times New Roman" w:cs="Times New Roman" w:eastAsiaTheme="majorEastAsia"/>
          <w:vertAlign w:val="superscript"/>
        </w:rPr>
        <w:t>,</w:t>
      </w:r>
      <w:r>
        <w:rPr>
          <w:rFonts w:hint="eastAsia" w:ascii="Times New Roman" w:hAnsi="Times New Roman" w:cs="Times New Roman" w:eastAsiaTheme="majorEastAsia"/>
          <w:vertAlign w:val="superscript"/>
          <w:lang w:val="en-US" w:eastAsia="zh-CN"/>
        </w:rPr>
        <w:t>c</w:t>
      </w:r>
      <w:r>
        <w:rPr>
          <w:rFonts w:ascii="Times New Roman" w:hAnsi="Times New Roman" w:cs="Times New Roman" w:eastAsiaTheme="majorEastAsia"/>
        </w:rPr>
        <w:t xml:space="preserve">, </w:t>
      </w:r>
      <w:r>
        <w:rPr>
          <w:rFonts w:ascii="Times New Roman" w:hAnsi="Times New Roman" w:cs="Times New Roman" w:eastAsiaTheme="majorEastAsia"/>
          <w:i/>
          <w:iCs/>
        </w:rPr>
        <w:t>Jihua</w:t>
      </w:r>
      <w:r>
        <w:rPr>
          <w:rFonts w:ascii="Times New Roman" w:hAnsi="Times New Roman" w:cs="Times New Roman" w:eastAsiaTheme="majorEastAsia"/>
        </w:rPr>
        <w:t xml:space="preserve"> </w:t>
      </w:r>
      <w:r>
        <w:rPr>
          <w:rFonts w:ascii="Times New Roman" w:hAnsi="Times New Roman" w:cs="Times New Roman" w:eastAsiaTheme="majorEastAsia"/>
          <w:i/>
          <w:iCs/>
        </w:rPr>
        <w:t>Liu</w:t>
      </w:r>
      <w:r>
        <w:rPr>
          <w:rFonts w:ascii="Times New Roman" w:hAnsi="Times New Roman" w:cs="Times New Roman" w:eastAsiaTheme="majorEastAsia"/>
          <w:vertAlign w:val="superscript"/>
        </w:rPr>
        <w:t>a</w:t>
      </w:r>
      <w:r>
        <w:rPr>
          <w:rFonts w:ascii="Times New Roman" w:hAnsi="Times New Roman" w:cs="Times New Roman" w:eastAsiaTheme="majorEastAsia"/>
        </w:rPr>
        <w:t xml:space="preserve">, </w:t>
      </w:r>
      <w:r>
        <w:rPr>
          <w:rFonts w:hint="eastAsia" w:ascii="Times New Roman" w:hAnsi="Times New Roman" w:cs="Times New Roman" w:eastAsiaTheme="majorEastAsia"/>
          <w:i/>
          <w:iCs/>
        </w:rPr>
        <w:t>Zhan</w:t>
      </w:r>
      <w:r>
        <w:rPr>
          <w:rFonts w:ascii="Times New Roman" w:hAnsi="Times New Roman" w:cs="Times New Roman" w:eastAsiaTheme="majorEastAsia"/>
          <w:i/>
          <w:iCs/>
        </w:rPr>
        <w:t>s</w:t>
      </w:r>
      <w:r>
        <w:rPr>
          <w:rFonts w:hint="eastAsia" w:ascii="Times New Roman" w:hAnsi="Times New Roman" w:cs="Times New Roman" w:eastAsiaTheme="majorEastAsia"/>
          <w:i/>
          <w:iCs/>
        </w:rPr>
        <w:t>heng Guo</w:t>
      </w:r>
      <w:r>
        <w:rPr>
          <w:rFonts w:hint="eastAsia" w:ascii="Times New Roman" w:hAnsi="Times New Roman" w:cs="Times New Roman" w:eastAsiaTheme="majorEastAsia"/>
          <w:vertAlign w:val="superscript"/>
        </w:rPr>
        <w:t>b</w:t>
      </w:r>
      <w:r>
        <w:rPr>
          <w:rFonts w:ascii="Times New Roman" w:hAnsi="Times New Roman" w:cs="Times New Roman" w:eastAsiaTheme="majorEastAsia"/>
          <w:vertAlign w:val="superscript"/>
        </w:rPr>
        <w:t>,</w:t>
      </w:r>
      <w:r>
        <w:rPr>
          <w:rFonts w:hint="eastAsia" w:ascii="Times New Roman" w:hAnsi="Times New Roman" w:cs="Times New Roman" w:eastAsiaTheme="majorEastAsia"/>
          <w:vertAlign w:val="superscript"/>
          <w:lang w:val="en-US" w:eastAsia="zh-CN"/>
        </w:rPr>
        <w:t>c</w:t>
      </w:r>
      <w:r>
        <w:rPr>
          <w:rFonts w:hint="eastAsia" w:ascii="Times New Roman" w:hAnsi="Times New Roman" w:cs="Times New Roman" w:eastAsiaTheme="majorEastAsia"/>
        </w:rPr>
        <w:t>,</w:t>
      </w:r>
      <w:r>
        <w:rPr>
          <w:rFonts w:ascii="Times New Roman" w:hAnsi="Times New Roman" w:cs="Times New Roman" w:eastAsiaTheme="majorEastAsia"/>
        </w:rPr>
        <w:t xml:space="preserve"> </w:t>
      </w:r>
      <w:r>
        <w:rPr>
          <w:rFonts w:hint="eastAsia" w:ascii="Times New Roman" w:hAnsi="Times New Roman" w:cs="Times New Roman" w:eastAsiaTheme="majorEastAsia"/>
          <w:i/>
          <w:iCs/>
        </w:rPr>
        <w:t>Zi</w:t>
      </w:r>
      <w:r>
        <w:rPr>
          <w:rFonts w:ascii="Times New Roman" w:hAnsi="Times New Roman" w:cs="Times New Roman" w:eastAsiaTheme="majorEastAsia"/>
          <w:i/>
          <w:iCs/>
        </w:rPr>
        <w:t>t</w:t>
      </w:r>
      <w:r>
        <w:rPr>
          <w:rFonts w:hint="eastAsia" w:ascii="Times New Roman" w:hAnsi="Times New Roman" w:cs="Times New Roman" w:eastAsiaTheme="majorEastAsia"/>
          <w:i/>
          <w:iCs/>
        </w:rPr>
        <w:t>ong Chai</w:t>
      </w:r>
      <w:r>
        <w:rPr>
          <w:rFonts w:hint="eastAsia" w:ascii="Times New Roman" w:hAnsi="Times New Roman" w:cs="Times New Roman" w:eastAsiaTheme="majorEastAsia"/>
          <w:vertAlign w:val="superscript"/>
        </w:rPr>
        <w:t>b</w:t>
      </w:r>
      <w:r>
        <w:rPr>
          <w:rFonts w:ascii="Times New Roman" w:hAnsi="Times New Roman" w:cs="Times New Roman" w:eastAsiaTheme="majorEastAsia"/>
          <w:vertAlign w:val="superscript"/>
        </w:rPr>
        <w:t>,</w:t>
      </w:r>
      <w:r>
        <w:rPr>
          <w:rFonts w:hint="eastAsia" w:ascii="Times New Roman" w:hAnsi="Times New Roman" w:cs="Times New Roman" w:eastAsiaTheme="majorEastAsia"/>
          <w:vertAlign w:val="superscript"/>
          <w:lang w:val="en-US" w:eastAsia="zh-CN"/>
        </w:rPr>
        <w:t>c</w:t>
      </w:r>
      <w:r>
        <w:rPr>
          <w:rFonts w:hint="eastAsia" w:ascii="Times New Roman" w:hAnsi="Times New Roman" w:cs="Times New Roman" w:eastAsiaTheme="majorEastAsia"/>
        </w:rPr>
        <w:t>,</w:t>
      </w:r>
      <w:r>
        <w:rPr>
          <w:rFonts w:ascii="Times New Roman" w:hAnsi="Times New Roman" w:cs="Times New Roman" w:eastAsiaTheme="majorEastAsia"/>
          <w:i/>
        </w:rPr>
        <w:t>Feng Jiang</w:t>
      </w:r>
      <w:r>
        <w:rPr>
          <w:rFonts w:hint="eastAsia" w:ascii="Times New Roman" w:hAnsi="Times New Roman" w:cs="Times New Roman" w:eastAsiaTheme="majorEastAsia"/>
          <w:vertAlign w:val="superscript"/>
        </w:rPr>
        <w:t>b</w:t>
      </w:r>
      <w:r>
        <w:rPr>
          <w:rFonts w:ascii="Times New Roman" w:hAnsi="Times New Roman" w:cs="Times New Roman" w:eastAsiaTheme="majorEastAsia"/>
          <w:vertAlign w:val="superscript"/>
        </w:rPr>
        <w:t>,</w:t>
      </w:r>
      <w:r>
        <w:rPr>
          <w:rFonts w:hint="eastAsia" w:ascii="Times New Roman" w:hAnsi="Times New Roman" w:cs="Times New Roman" w:eastAsiaTheme="majorEastAsia"/>
          <w:vertAlign w:val="superscript"/>
          <w:lang w:val="en-US" w:eastAsia="zh-CN"/>
        </w:rPr>
        <w:t>c</w:t>
      </w:r>
      <w:r>
        <w:rPr>
          <w:rFonts w:ascii="Times New Roman" w:hAnsi="Times New Roman" w:cs="Times New Roman" w:eastAsiaTheme="majorEastAsia"/>
        </w:rPr>
        <w:t xml:space="preserve">, </w:t>
      </w:r>
      <w:r>
        <w:rPr>
          <w:rFonts w:ascii="Times New Roman" w:hAnsi="Times New Roman" w:cs="Times New Roman" w:eastAsiaTheme="majorEastAsia"/>
          <w:i/>
        </w:rPr>
        <w:t>Zhu Li</w:t>
      </w:r>
      <w:r>
        <w:rPr>
          <w:rFonts w:hint="eastAsia" w:ascii="Times New Roman" w:hAnsi="Times New Roman" w:cs="Times New Roman" w:eastAsiaTheme="majorEastAsia"/>
          <w:vertAlign w:val="superscript"/>
        </w:rPr>
        <w:t>b</w:t>
      </w:r>
      <w:r>
        <w:rPr>
          <w:rFonts w:ascii="Times New Roman" w:hAnsi="Times New Roman" w:cs="Times New Roman" w:eastAsiaTheme="majorEastAsia"/>
          <w:vertAlign w:val="superscript"/>
        </w:rPr>
        <w:t>,</w:t>
      </w:r>
      <w:r>
        <w:rPr>
          <w:rFonts w:hint="eastAsia" w:ascii="Times New Roman" w:hAnsi="Times New Roman" w:cs="Times New Roman" w:eastAsiaTheme="majorEastAsia"/>
          <w:vertAlign w:val="superscript"/>
          <w:lang w:val="en-US" w:eastAsia="zh-CN"/>
        </w:rPr>
        <w:t>c</w:t>
      </w:r>
      <w:r>
        <w:rPr>
          <w:rFonts w:ascii="Times New Roman" w:hAnsi="Times New Roman" w:cs="Times New Roman" w:eastAsiaTheme="majorEastAsia"/>
        </w:rPr>
        <w:t>,</w:t>
      </w:r>
      <w:r>
        <w:rPr>
          <w:rFonts w:hint="eastAsia" w:ascii="Times New Roman" w:hAnsi="Times New Roman" w:cs="Times New Roman" w:eastAsiaTheme="majorEastAsia"/>
        </w:rPr>
        <w:t xml:space="preserve"> </w:t>
      </w:r>
      <w:r>
        <w:rPr>
          <w:rFonts w:hint="eastAsia" w:ascii="Times New Roman" w:hAnsi="Times New Roman" w:cs="Times New Roman" w:eastAsiaTheme="majorEastAsia"/>
          <w:i/>
          <w:iCs/>
        </w:rPr>
        <w:t>Zhen</w:t>
      </w:r>
      <w:r>
        <w:rPr>
          <w:rFonts w:ascii="Times New Roman" w:hAnsi="Times New Roman" w:cs="Times New Roman" w:eastAsiaTheme="majorEastAsia"/>
          <w:i/>
          <w:iCs/>
        </w:rPr>
        <w:t>lin</w:t>
      </w:r>
      <w:r>
        <w:rPr>
          <w:rFonts w:ascii="Times New Roman" w:hAnsi="Times New Roman" w:cs="Times New Roman" w:eastAsiaTheme="majorEastAsia"/>
        </w:rPr>
        <w:t xml:space="preserve"> </w:t>
      </w:r>
      <w:r>
        <w:rPr>
          <w:rFonts w:ascii="Times New Roman" w:hAnsi="Times New Roman" w:cs="Times New Roman" w:eastAsiaTheme="majorEastAsia"/>
          <w:i/>
          <w:iCs/>
        </w:rPr>
        <w:t>Liang</w:t>
      </w:r>
      <w:r>
        <w:rPr>
          <w:rFonts w:ascii="Times New Roman" w:hAnsi="Times New Roman" w:cs="Times New Roman" w:eastAsiaTheme="majorEastAsia"/>
          <w:vertAlign w:val="superscript"/>
        </w:rPr>
        <w:t>b,</w:t>
      </w:r>
      <w:r>
        <w:rPr>
          <w:rFonts w:hint="eastAsia" w:ascii="Times New Roman" w:hAnsi="Times New Roman" w:cs="Times New Roman" w:eastAsiaTheme="majorEastAsia"/>
          <w:vertAlign w:val="superscript"/>
          <w:lang w:val="en-US" w:eastAsia="zh-CN"/>
        </w:rPr>
        <w:t>c</w:t>
      </w:r>
      <w:r>
        <w:rPr>
          <w:rFonts w:ascii="Times New Roman" w:hAnsi="Times New Roman" w:cs="Times New Roman" w:eastAsiaTheme="majorEastAsia"/>
        </w:rPr>
        <w:t xml:space="preserve">, </w:t>
      </w:r>
      <w:r>
        <w:rPr>
          <w:rFonts w:ascii="Times New Roman" w:hAnsi="Times New Roman" w:cs="Times New Roman" w:eastAsiaTheme="majorEastAsia"/>
          <w:i/>
          <w:iCs/>
        </w:rPr>
        <w:t>Zhaoyang</w:t>
      </w:r>
      <w:r>
        <w:rPr>
          <w:rFonts w:ascii="Times New Roman" w:hAnsi="Times New Roman" w:cs="Times New Roman" w:eastAsiaTheme="majorEastAsia"/>
        </w:rPr>
        <w:t xml:space="preserve"> </w:t>
      </w:r>
      <w:r>
        <w:rPr>
          <w:rFonts w:ascii="Times New Roman" w:hAnsi="Times New Roman" w:cs="Times New Roman" w:eastAsiaTheme="majorEastAsia"/>
          <w:i/>
          <w:iCs/>
        </w:rPr>
        <w:t>Jiang</w:t>
      </w:r>
      <w:r>
        <w:rPr>
          <w:rFonts w:ascii="Times New Roman" w:hAnsi="Times New Roman" w:cs="Times New Roman" w:eastAsiaTheme="majorEastAsia"/>
          <w:i/>
          <w:iCs/>
          <w:vertAlign w:val="superscript"/>
        </w:rPr>
        <w:t>a,</w:t>
      </w:r>
      <w:r>
        <w:rPr>
          <w:rFonts w:ascii="Times New Roman" w:hAnsi="Times New Roman" w:cs="Times New Roman" w:eastAsiaTheme="majorEastAsia"/>
          <w:vertAlign w:val="superscript"/>
        </w:rPr>
        <w:t>b,</w:t>
      </w:r>
      <w:r>
        <w:rPr>
          <w:rFonts w:hint="eastAsia" w:ascii="Times New Roman" w:hAnsi="Times New Roman" w:cs="Times New Roman" w:eastAsiaTheme="majorEastAsia"/>
          <w:vertAlign w:val="superscript"/>
          <w:lang w:val="en-US" w:eastAsia="zh-CN"/>
        </w:rPr>
        <w:t>c</w:t>
      </w:r>
      <w:r>
        <w:rPr>
          <w:rFonts w:hint="eastAsia" w:ascii="Times New Roman" w:hAnsi="Times New Roman" w:cs="Times New Roman" w:eastAsiaTheme="majorEastAsia"/>
          <w:vertAlign w:val="superscript"/>
        </w:rPr>
        <w:t>,</w:t>
      </w:r>
      <w:r>
        <w:rPr>
          <w:rStyle w:val="5"/>
          <w:rFonts w:ascii="Times New Roman" w:hAnsi="Times New Roman" w:cs="Times New Roman" w:eastAsiaTheme="majorEastAsia"/>
        </w:rPr>
        <w:footnoteReference w:id="0"/>
      </w:r>
    </w:p>
    <w:p w14:paraId="005EE038">
      <w:pPr>
        <w:spacing w:line="480" w:lineRule="auto"/>
        <w:rPr>
          <w:rFonts w:ascii="Times New Roman" w:hAnsi="Times New Roman" w:cs="Times New Roman" w:eastAsiaTheme="majorEastAsia"/>
        </w:rPr>
      </w:pPr>
      <w:r>
        <w:rPr>
          <w:rFonts w:ascii="Times New Roman" w:hAnsi="Times New Roman" w:cs="Times New Roman" w:eastAsiaTheme="majorEastAsia"/>
          <w:vertAlign w:val="superscript"/>
        </w:rPr>
        <w:t>a</w:t>
      </w:r>
      <w:r>
        <w:rPr>
          <w:rFonts w:ascii="Times New Roman" w:hAnsi="Times New Roman" w:cs="Times New Roman" w:eastAsiaTheme="majorEastAsia"/>
        </w:rPr>
        <w:t xml:space="preserve"> Institute of Marine Science and Technology, Shandong University, Qingdao, </w:t>
      </w:r>
      <w:r>
        <w:rPr>
          <w:rFonts w:hint="eastAsia" w:ascii="Times New Roman" w:hAnsi="Times New Roman" w:cs="Times New Roman" w:eastAsiaTheme="majorEastAsia"/>
        </w:rPr>
        <w:t xml:space="preserve">Shandong 266237, PR </w:t>
      </w:r>
      <w:r>
        <w:rPr>
          <w:rFonts w:ascii="Times New Roman" w:hAnsi="Times New Roman" w:cs="Times New Roman" w:eastAsiaTheme="majorEastAsia"/>
        </w:rPr>
        <w:t>China</w:t>
      </w:r>
    </w:p>
    <w:p w14:paraId="7E39936B">
      <w:pPr>
        <w:spacing w:line="480" w:lineRule="auto"/>
        <w:rPr>
          <w:rFonts w:ascii="Times New Roman" w:hAnsi="Times New Roman" w:cs="Times New Roman" w:eastAsiaTheme="majorEastAsia"/>
        </w:rPr>
      </w:pPr>
      <w:r>
        <w:rPr>
          <w:rFonts w:ascii="Times New Roman" w:hAnsi="Times New Roman" w:cs="Times New Roman" w:eastAsiaTheme="majorEastAsia"/>
          <w:vertAlign w:val="superscript"/>
        </w:rPr>
        <w:t>b</w:t>
      </w:r>
      <w:r>
        <w:rPr>
          <w:rFonts w:ascii="Times New Roman" w:hAnsi="Times New Roman" w:cs="Times New Roman" w:eastAsiaTheme="majorEastAsia"/>
        </w:rPr>
        <w:t xml:space="preserve"> Marine College, Shandong University, Weihai, Shandong 264209, PR China</w:t>
      </w:r>
    </w:p>
    <w:p w14:paraId="30D880DD">
      <w:pPr>
        <w:spacing w:line="480" w:lineRule="auto"/>
        <w:rPr>
          <w:rFonts w:ascii="Times New Roman" w:hAnsi="Times New Roman" w:cs="Times New Roman"/>
          <w:szCs w:val="21"/>
          <w:lang w:val="en-GB"/>
        </w:rPr>
      </w:pPr>
      <w:r>
        <w:rPr>
          <w:rFonts w:hint="eastAsia" w:ascii="Times New Roman" w:hAnsi="Times New Roman" w:cs="Times New Roman"/>
          <w:szCs w:val="21"/>
          <w:vertAlign w:val="superscript"/>
          <w:lang w:val="en-US" w:eastAsia="zh-CN"/>
        </w:rPr>
        <w:t>c</w:t>
      </w:r>
      <w:r>
        <w:rPr>
          <w:rFonts w:ascii="Times New Roman" w:hAnsi="Times New Roman" w:cs="Times New Roman"/>
          <w:szCs w:val="21"/>
          <w:lang w:val="en-GB"/>
        </w:rPr>
        <w:t xml:space="preserve"> Key Laboratory of Modern Marine Ranching Technology of Weihai, Weihai 264209, </w:t>
      </w:r>
      <w:bookmarkStart w:id="0" w:name="_Hlk154480989"/>
      <w:r>
        <w:rPr>
          <w:rFonts w:ascii="Times New Roman" w:hAnsi="Times New Roman" w:cs="Times New Roman"/>
          <w:szCs w:val="21"/>
          <w:lang w:val="en-GB"/>
        </w:rPr>
        <w:t xml:space="preserve">Shandong, </w:t>
      </w:r>
      <w:bookmarkEnd w:id="0"/>
      <w:r>
        <w:rPr>
          <w:rFonts w:ascii="Times New Roman" w:hAnsi="Times New Roman" w:cs="Times New Roman"/>
          <w:szCs w:val="21"/>
          <w:lang w:val="en-GB"/>
        </w:rPr>
        <w:t>China</w:t>
      </w:r>
    </w:p>
    <w:p w14:paraId="6FC5BAAF">
      <w:pPr>
        <w:rPr>
          <w:rFonts w:ascii="Times New Roman" w:hAnsi="Times New Roman" w:cs="Times New Roman"/>
          <w:bCs/>
          <w:lang w:val="en-GB"/>
        </w:rPr>
      </w:pPr>
    </w:p>
    <w:p w14:paraId="2C192B44">
      <w:pPr>
        <w:rPr>
          <w:rFonts w:ascii="Times New Roman" w:hAnsi="Times New Roman" w:cs="Times New Roman"/>
          <w:bCs/>
          <w:lang w:val="en-GB"/>
        </w:rPr>
      </w:pPr>
    </w:p>
    <w:p w14:paraId="0E70D77E">
      <w:pPr>
        <w:rPr>
          <w:rFonts w:ascii="Times New Roman" w:hAnsi="Times New Roman" w:cs="Times New Roman"/>
          <w:bCs/>
          <w:lang w:val="en-GB"/>
        </w:rPr>
      </w:pPr>
    </w:p>
    <w:p w14:paraId="299D677A">
      <w:pPr>
        <w:rPr>
          <w:rFonts w:ascii="Times New Roman" w:hAnsi="Times New Roman" w:cs="Times New Roman"/>
          <w:bCs/>
          <w:lang w:val="en-GB"/>
        </w:rPr>
        <w:sectPr>
          <w:pgSz w:w="11906" w:h="16838"/>
          <w:pgMar w:top="1440" w:right="1800" w:bottom="1440" w:left="1800" w:header="851" w:footer="992" w:gutter="0"/>
          <w:cols w:space="425" w:num="1"/>
          <w:docGrid w:type="lines" w:linePitch="312" w:charSpace="0"/>
        </w:sectPr>
      </w:pPr>
    </w:p>
    <w:p w14:paraId="64338DFD">
      <w:pPr>
        <w:rPr>
          <w:rFonts w:ascii="Times New Roman" w:hAnsi="Times New Roman" w:cs="Times New Roman"/>
          <w:bCs/>
          <w:lang w:val="en-GB"/>
        </w:rPr>
      </w:pPr>
      <w:r>
        <w:rPr>
          <w:rFonts w:ascii="Times New Roman" w:hAnsi="Times New Roman" w:cs="Times New Roman"/>
          <w:bCs/>
        </w:rPr>
        <w:drawing>
          <wp:inline distT="0" distB="0" distL="114300" distR="114300">
            <wp:extent cx="8851265" cy="3094355"/>
            <wp:effectExtent l="0" t="0" r="0" b="0"/>
            <wp:docPr id="1" name="图片 1" descr="采样点_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采样点_01"/>
                    <pic:cNvPicPr>
                      <a:picLocks noChangeAspect="1"/>
                    </pic:cNvPicPr>
                  </pic:nvPicPr>
                  <pic:blipFill>
                    <a:blip r:embed="rId5"/>
                    <a:srcRect t="11644" b="26208"/>
                    <a:stretch>
                      <a:fillRect/>
                    </a:stretch>
                  </pic:blipFill>
                  <pic:spPr>
                    <a:xfrm>
                      <a:off x="0" y="0"/>
                      <a:ext cx="8851265" cy="3094355"/>
                    </a:xfrm>
                    <a:prstGeom prst="rect">
                      <a:avLst/>
                    </a:prstGeom>
                  </pic:spPr>
                </pic:pic>
              </a:graphicData>
            </a:graphic>
          </wp:inline>
        </w:drawing>
      </w:r>
    </w:p>
    <w:p w14:paraId="7B715842">
      <w:pPr>
        <w:jc w:val="center"/>
        <w:rPr>
          <w:rFonts w:ascii="Times New Roman" w:hAnsi="Times New Roman" w:cs="Times New Roman"/>
          <w:b/>
        </w:rPr>
        <w:sectPr>
          <w:pgSz w:w="16838" w:h="11906" w:orient="landscape"/>
          <w:pgMar w:top="1800" w:right="1440" w:bottom="1800" w:left="1440" w:header="851" w:footer="992" w:gutter="0"/>
          <w:cols w:space="425" w:num="1"/>
          <w:docGrid w:type="lines" w:linePitch="312" w:charSpace="0"/>
        </w:sectPr>
      </w:pPr>
      <w:r>
        <w:rPr>
          <w:rFonts w:ascii="Times New Roman" w:hAnsi="Times New Roman" w:cs="Times New Roman"/>
          <w:b/>
        </w:rPr>
        <w:t>Fig. S1. Map of the study area and sampling stations. The left panel shows the general location of the Yandunjiao Marine Ranch in Linluo Bay (marked by a star). The right panel displays the specific distribution of sampling sites, where triangles represent the artificial reef (AR) deployment area and squares denote the adjacent non-reef (NR) reference area.</w:t>
      </w:r>
    </w:p>
    <w:p w14:paraId="7125D5AC">
      <w:pPr>
        <w:jc w:val="center"/>
        <w:rPr>
          <w:rFonts w:hint="default" w:ascii="Times New Roman" w:hAnsi="Times New Roman" w:cs="Times New Roman" w:eastAsiaTheme="minorEastAsia"/>
          <w:b/>
          <w:lang w:val="en-US" w:eastAsia="zh-CN"/>
        </w:rPr>
      </w:pPr>
      <w:r>
        <w:rPr>
          <w:rFonts w:hint="eastAsia" w:ascii="Times New Roman" w:hAnsi="Times New Roman" w:cs="Times New Roman" w:eastAsiaTheme="minorEastAsia"/>
          <w:b/>
          <w:lang w:eastAsia="zh-CN"/>
        </w:rPr>
        <w:drawing>
          <wp:anchor distT="0" distB="0" distL="114300" distR="114300" simplePos="0" relativeHeight="251664384" behindDoc="0" locked="0" layoutInCell="1" allowOverlap="1">
            <wp:simplePos x="0" y="0"/>
            <wp:positionH relativeFrom="column">
              <wp:posOffset>440690</wp:posOffset>
            </wp:positionH>
            <wp:positionV relativeFrom="paragraph">
              <wp:posOffset>115570</wp:posOffset>
            </wp:positionV>
            <wp:extent cx="7973695" cy="1859280"/>
            <wp:effectExtent l="0" t="0" r="8255" b="7620"/>
            <wp:wrapTopAndBottom/>
            <wp:docPr id="5" name="图片 5" descr="FDOM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FDOM图"/>
                    <pic:cNvPicPr>
                      <a:picLocks noChangeAspect="1"/>
                    </pic:cNvPicPr>
                  </pic:nvPicPr>
                  <pic:blipFill>
                    <a:blip r:embed="rId6"/>
                    <a:stretch>
                      <a:fillRect/>
                    </a:stretch>
                  </pic:blipFill>
                  <pic:spPr>
                    <a:xfrm>
                      <a:off x="0" y="0"/>
                      <a:ext cx="7973695" cy="1859280"/>
                    </a:xfrm>
                    <a:prstGeom prst="rect">
                      <a:avLst/>
                    </a:prstGeom>
                  </pic:spPr>
                </pic:pic>
              </a:graphicData>
            </a:graphic>
          </wp:anchor>
        </w:drawing>
      </w:r>
      <w:r>
        <w:rPr>
          <w:rFonts w:hint="eastAsia" w:ascii="Times New Roman" w:hAnsi="Times New Roman" w:cs="Times New Roman"/>
          <w:b/>
          <w:lang w:val="en-US" w:eastAsia="zh-CN"/>
        </w:rPr>
        <w:t>Fig. S2. Fluorescence excitation-emission matrices (EEMs) of the three parallel factor analysis (PARAFAC) components identified in the sediment dissolved organic matter (DOM) from the marine ranching. Components are labeled as follows: C1, microbial humic-like; C2, protein-like; C3, terrestrial humic-like.</w:t>
      </w:r>
    </w:p>
    <w:p w14:paraId="25C7BD56">
      <w:pPr>
        <w:rPr>
          <w:rFonts w:ascii="Times New Roman" w:hAnsi="Times New Roman" w:cs="Times New Roman"/>
          <w:bCs/>
          <w:lang w:val="en-GB"/>
        </w:rPr>
      </w:pPr>
    </w:p>
    <w:p w14:paraId="31B71A8A">
      <w:pPr>
        <w:rPr>
          <w:rFonts w:hint="eastAsia" w:ascii="Times New Roman" w:hAnsi="Times New Roman" w:cs="Times New Roman"/>
          <w:bCs/>
          <w:lang w:val="en-GB"/>
        </w:rPr>
        <w:sectPr>
          <w:pgSz w:w="16838" w:h="11906" w:orient="landscape"/>
          <w:pgMar w:top="1800" w:right="1440" w:bottom="1800" w:left="1440" w:header="851" w:footer="992" w:gutter="0"/>
          <w:cols w:space="425" w:num="1"/>
          <w:docGrid w:type="lines" w:linePitch="312" w:charSpace="0"/>
        </w:sectPr>
      </w:pPr>
    </w:p>
    <w:p w14:paraId="396D6710">
      <w:pPr>
        <w:rPr>
          <w:rStyle w:val="7"/>
          <w:rFonts w:ascii="Times New Roman" w:hAnsi="Times New Roman" w:cs="Times New Roman"/>
          <w:b/>
          <w:sz w:val="18"/>
          <w:szCs w:val="18"/>
        </w:rPr>
        <w:sectPr>
          <w:pgSz w:w="11906" w:h="16838"/>
          <w:pgMar w:top="1440" w:right="1800" w:bottom="1440" w:left="1800" w:header="851" w:footer="992" w:gutter="0"/>
          <w:cols w:space="425" w:num="1"/>
          <w:docGrid w:type="lines" w:linePitch="312" w:charSpace="0"/>
        </w:sectPr>
      </w:pPr>
      <w:r>
        <w:rPr>
          <w:rFonts w:ascii="Times New Roman" w:hAnsi="Times New Roman" w:cs="Times New Roman"/>
          <w:b/>
          <w:sz w:val="18"/>
          <w:szCs w:val="18"/>
        </w:rPr>
        <w:drawing>
          <wp:anchor distT="0" distB="0" distL="114300" distR="114300" simplePos="0" relativeHeight="251659264" behindDoc="0" locked="0" layoutInCell="1" allowOverlap="1">
            <wp:simplePos x="0" y="0"/>
            <wp:positionH relativeFrom="column">
              <wp:posOffset>880745</wp:posOffset>
            </wp:positionH>
            <wp:positionV relativeFrom="paragraph">
              <wp:posOffset>-37465</wp:posOffset>
            </wp:positionV>
            <wp:extent cx="3476625" cy="7470140"/>
            <wp:effectExtent l="0" t="0" r="9525" b="16510"/>
            <wp:wrapTopAndBottom/>
            <wp:docPr id="3" name="图片 3" descr="D:\total_sediment_gene_20250222\作图\柱状图.t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D:\total_sediment_gene_20250222\作图\柱状图.tif"/>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a:xfrm>
                      <a:off x="0" y="0"/>
                      <a:ext cx="3476625" cy="7470140"/>
                    </a:xfrm>
                    <a:prstGeom prst="rect">
                      <a:avLst/>
                    </a:prstGeom>
                    <a:noFill/>
                    <a:ln>
                      <a:noFill/>
                    </a:ln>
                  </pic:spPr>
                </pic:pic>
              </a:graphicData>
            </a:graphic>
          </wp:anchor>
        </w:drawing>
      </w:r>
      <w:r>
        <w:rPr>
          <w:rFonts w:ascii="Times New Roman" w:hAnsi="Times New Roman" w:cs="Times New Roman"/>
          <w:b/>
          <w:sz w:val="18"/>
          <w:szCs w:val="18"/>
        </w:rPr>
        <w:t xml:space="preserve">Fig. </w:t>
      </w:r>
      <w:r>
        <w:rPr>
          <w:rFonts w:hint="eastAsia" w:ascii="Times New Roman" w:hAnsi="Times New Roman" w:cs="Times New Roman"/>
          <w:b/>
          <w:sz w:val="18"/>
          <w:szCs w:val="18"/>
        </w:rPr>
        <w:t>S</w:t>
      </w:r>
      <w:r>
        <w:rPr>
          <w:rFonts w:hint="eastAsia" w:ascii="Times New Roman" w:hAnsi="Times New Roman" w:cs="Times New Roman"/>
          <w:b/>
          <w:sz w:val="18"/>
          <w:szCs w:val="18"/>
          <w:lang w:val="en-US" w:eastAsia="zh-CN"/>
        </w:rPr>
        <w:t>3</w:t>
      </w:r>
      <w:r>
        <w:rPr>
          <w:rFonts w:ascii="Times New Roman" w:hAnsi="Times New Roman" w:cs="Times New Roman"/>
          <w:b/>
          <w:sz w:val="18"/>
          <w:szCs w:val="18"/>
        </w:rPr>
        <w:t>. Seasonal and spatial dynamics of dissolved organic matter (DOM) composition in marine ranch sediments. The panel of bar graphs presents data across four seasons (Spring, Summer, Autumn, Winter) for artificial reef (AR) and non-reef (NR) sites. The six measured parameters (from top to bottom) are: the humification index (HIX), the fluorescence intensities of humic-like peaks A, C, and M, and the abundances of PARAFAC-derived components C1 (microbial humic-like) and C3 (terrestrial humic-like).</w:t>
      </w:r>
      <w:r>
        <w:rPr>
          <w:rStyle w:val="7"/>
          <w:rFonts w:ascii="Times New Roman" w:hAnsi="Times New Roman" w:cs="Times New Roman"/>
          <w:b/>
          <w:sz w:val="18"/>
          <w:szCs w:val="18"/>
        </w:rPr>
        <w:t xml:space="preserve"> Data are presented as mean ± SD. Asterisks indicate statistically significant differences between AR and NR within a given season (one-way ANOVA, *</w:t>
      </w:r>
      <w:r>
        <w:rPr>
          <w:rStyle w:val="7"/>
          <w:rFonts w:ascii="Times New Roman" w:hAnsi="Times New Roman" w:cs="Times New Roman"/>
          <w:b/>
          <w:i/>
          <w:sz w:val="18"/>
          <w:szCs w:val="18"/>
        </w:rPr>
        <w:t>p</w:t>
      </w:r>
      <w:r>
        <w:rPr>
          <w:rStyle w:val="7"/>
          <w:rFonts w:ascii="Times New Roman" w:hAnsi="Times New Roman" w:cs="Times New Roman"/>
          <w:b/>
          <w:sz w:val="18"/>
          <w:szCs w:val="18"/>
        </w:rPr>
        <w:t xml:space="preserve"> &lt; 0.05).</w:t>
      </w:r>
    </w:p>
    <w:p w14:paraId="4AB219FF">
      <w:pPr>
        <w:rPr>
          <w:rFonts w:ascii="Times New Roman" w:hAnsi="Times New Roman" w:cs="Times New Roman"/>
          <w:b/>
          <w:sz w:val="18"/>
          <w:szCs w:val="18"/>
        </w:rPr>
        <w:sectPr>
          <w:pgSz w:w="11906" w:h="16838"/>
          <w:pgMar w:top="1440" w:right="1800" w:bottom="1440" w:left="1800" w:header="851" w:footer="992" w:gutter="0"/>
          <w:cols w:space="425" w:num="1"/>
          <w:docGrid w:type="lines" w:linePitch="312" w:charSpace="0"/>
        </w:sectPr>
      </w:pPr>
      <w:r>
        <w:rPr>
          <w:rFonts w:ascii="Times New Roman" w:hAnsi="Times New Roman" w:cs="Times New Roman"/>
          <w:b/>
          <w:sz w:val="18"/>
          <w:szCs w:val="18"/>
        </w:rPr>
        <w:drawing>
          <wp:anchor distT="0" distB="0" distL="114300" distR="114300" simplePos="0" relativeHeight="251660288" behindDoc="0" locked="0" layoutInCell="1" allowOverlap="1">
            <wp:simplePos x="0" y="0"/>
            <wp:positionH relativeFrom="column">
              <wp:posOffset>-88900</wp:posOffset>
            </wp:positionH>
            <wp:positionV relativeFrom="paragraph">
              <wp:posOffset>109855</wp:posOffset>
            </wp:positionV>
            <wp:extent cx="5274310" cy="5190490"/>
            <wp:effectExtent l="0" t="0" r="2540" b="10160"/>
            <wp:wrapTopAndBottom/>
            <wp:docPr id="6" name="图片 6" descr="D:\total_sediment_gene_20250222\作图\Fig.4.t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D:\total_sediment_gene_20250222\作图\Fig.4.tif"/>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a:xfrm>
                      <a:off x="0" y="0"/>
                      <a:ext cx="5274310" cy="5190490"/>
                    </a:xfrm>
                    <a:prstGeom prst="rect">
                      <a:avLst/>
                    </a:prstGeom>
                    <a:noFill/>
                    <a:ln>
                      <a:noFill/>
                    </a:ln>
                  </pic:spPr>
                </pic:pic>
              </a:graphicData>
            </a:graphic>
          </wp:anchor>
        </w:drawing>
      </w:r>
      <w:r>
        <w:rPr>
          <w:rFonts w:ascii="Times New Roman" w:hAnsi="Times New Roman" w:cs="Times New Roman"/>
          <w:b/>
          <w:sz w:val="18"/>
          <w:szCs w:val="18"/>
        </w:rPr>
        <w:t xml:space="preserve">Fig. </w:t>
      </w:r>
      <w:r>
        <w:rPr>
          <w:rFonts w:hint="eastAsia" w:ascii="Times New Roman" w:hAnsi="Times New Roman" w:cs="Times New Roman"/>
          <w:b/>
          <w:sz w:val="18"/>
          <w:szCs w:val="18"/>
        </w:rPr>
        <w:t>S</w:t>
      </w:r>
      <w:r>
        <w:rPr>
          <w:rFonts w:hint="eastAsia" w:ascii="Times New Roman" w:hAnsi="Times New Roman" w:cs="Times New Roman"/>
          <w:b/>
          <w:sz w:val="18"/>
          <w:szCs w:val="18"/>
          <w:lang w:val="en-US" w:eastAsia="zh-CN"/>
        </w:rPr>
        <w:t>4</w:t>
      </w:r>
      <w:r>
        <w:rPr>
          <w:rFonts w:ascii="Times New Roman" w:hAnsi="Times New Roman" w:cs="Times New Roman"/>
          <w:b/>
          <w:sz w:val="18"/>
          <w:szCs w:val="18"/>
        </w:rPr>
        <w:t>. Redundancy analysis (RDA) of microbial community structure constrained by environmental variables. The ordination plots display the relationships between sediment microbial communities (based on 16S rRNA gene amplicon sequencing) and measured environmental parameters across the four seasons. Explanatory variables include bottom water parameters (Chla, TSS, DO, Temp), sediment nutrients (NO₃⁻, NO₂⁻, NH₄⁺, PO₄³⁻), dissolved organic carbon (DOC), and optical DOM properties (BIX, HIX). Samples from artificial reef (AR, purple) and non-reef (NR, green) sites are represented by different colors. Red arrows indicate environmental parameters that exerted a significant (</w:t>
      </w:r>
      <w:r>
        <w:rPr>
          <w:rFonts w:ascii="Times New Roman" w:hAnsi="Times New Roman" w:cs="Times New Roman"/>
          <w:b/>
          <w:i/>
          <w:sz w:val="18"/>
          <w:szCs w:val="18"/>
        </w:rPr>
        <w:t>p</w:t>
      </w:r>
      <w:r>
        <w:rPr>
          <w:rFonts w:ascii="Times New Roman" w:hAnsi="Times New Roman" w:cs="Times New Roman"/>
          <w:b/>
          <w:sz w:val="18"/>
          <w:szCs w:val="18"/>
        </w:rPr>
        <w:t xml:space="preserve"> &lt; 0.05) influence on community composition, as determined by permutation test. </w:t>
      </w:r>
    </w:p>
    <w:p w14:paraId="74BBE107">
      <w:pPr>
        <w:rPr>
          <w:rFonts w:ascii="Times New Roman" w:hAnsi="Times New Roman" w:cs="Times New Roman"/>
          <w:b/>
          <w:sz w:val="18"/>
          <w:szCs w:val="18"/>
        </w:rPr>
        <w:sectPr>
          <w:pgSz w:w="11906" w:h="16838"/>
          <w:pgMar w:top="1440" w:right="1800" w:bottom="1440" w:left="1800" w:header="851" w:footer="992" w:gutter="0"/>
          <w:cols w:space="425" w:num="1"/>
          <w:docGrid w:type="lines" w:linePitch="312" w:charSpace="0"/>
        </w:sectPr>
      </w:pPr>
      <w:r>
        <w:rPr>
          <w:rFonts w:hint="eastAsia" w:ascii="Times New Roman" w:hAnsi="Times New Roman" w:cs="Times New Roman"/>
          <w:b/>
          <w:sz w:val="18"/>
          <w:szCs w:val="18"/>
        </w:rPr>
        <w:drawing>
          <wp:anchor distT="0" distB="0" distL="114300" distR="114300" simplePos="0" relativeHeight="251661312" behindDoc="0" locked="0" layoutInCell="1" allowOverlap="1">
            <wp:simplePos x="0" y="0"/>
            <wp:positionH relativeFrom="column">
              <wp:posOffset>0</wp:posOffset>
            </wp:positionH>
            <wp:positionV relativeFrom="paragraph">
              <wp:posOffset>53340</wp:posOffset>
            </wp:positionV>
            <wp:extent cx="5273040" cy="2653665"/>
            <wp:effectExtent l="0" t="0" r="3810" b="13335"/>
            <wp:wrapTopAndBottom/>
            <wp:docPr id="2" name="图片 2" descr="生产力附图_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生产力附图_01"/>
                    <pic:cNvPicPr>
                      <a:picLocks noChangeAspect="1"/>
                    </pic:cNvPicPr>
                  </pic:nvPicPr>
                  <pic:blipFill>
                    <a:blip r:embed="rId9"/>
                    <a:stretch>
                      <a:fillRect/>
                    </a:stretch>
                  </pic:blipFill>
                  <pic:spPr>
                    <a:xfrm>
                      <a:off x="0" y="0"/>
                      <a:ext cx="5273040" cy="2653665"/>
                    </a:xfrm>
                    <a:prstGeom prst="rect">
                      <a:avLst/>
                    </a:prstGeom>
                  </pic:spPr>
                </pic:pic>
              </a:graphicData>
            </a:graphic>
          </wp:anchor>
        </w:drawing>
      </w:r>
      <w:r>
        <w:rPr>
          <w:rFonts w:hint="eastAsia" w:ascii="Times New Roman" w:hAnsi="Times New Roman" w:cs="Times New Roman"/>
          <w:b/>
          <w:sz w:val="18"/>
          <w:szCs w:val="18"/>
        </w:rPr>
        <w:t>Fig. S</w:t>
      </w:r>
      <w:r>
        <w:rPr>
          <w:rFonts w:hint="eastAsia" w:ascii="Times New Roman" w:hAnsi="Times New Roman" w:cs="Times New Roman"/>
          <w:b/>
          <w:sz w:val="18"/>
          <w:szCs w:val="18"/>
          <w:lang w:val="en-US" w:eastAsia="zh-CN"/>
        </w:rPr>
        <w:t>5</w:t>
      </w:r>
      <w:r>
        <w:rPr>
          <w:rFonts w:hint="eastAsia" w:ascii="Times New Roman" w:hAnsi="Times New Roman" w:cs="Times New Roman"/>
          <w:b/>
          <w:sz w:val="18"/>
          <w:szCs w:val="18"/>
        </w:rPr>
        <w:t>. Comparison of Chlorophyll a (Chla), Dissolved Organic Carbon (DOC), and Biological Index (BIX) between artificial reef (AR) and non-reef (NR) areas. The bars represent the mean values, and error bars indicate the standard deviation. Asterisks (*) denote statistically significant differences between the two habitats (</w:t>
      </w:r>
      <w:r>
        <w:rPr>
          <w:rFonts w:hint="eastAsia" w:ascii="Times New Roman" w:hAnsi="Times New Roman" w:cs="Times New Roman"/>
          <w:b/>
          <w:i/>
          <w:iCs/>
          <w:sz w:val="18"/>
          <w:szCs w:val="18"/>
        </w:rPr>
        <w:t>p</w:t>
      </w:r>
      <w:r>
        <w:rPr>
          <w:rFonts w:hint="eastAsia" w:ascii="Times New Roman" w:hAnsi="Times New Roman" w:cs="Times New Roman"/>
          <w:b/>
          <w:sz w:val="18"/>
          <w:szCs w:val="18"/>
        </w:rPr>
        <w:t xml:space="preserve"> &lt; 0.05). </w:t>
      </w:r>
    </w:p>
    <w:p w14:paraId="40C3DC7B">
      <w:pPr>
        <w:rPr>
          <w:rFonts w:ascii="Times New Roman" w:hAnsi="Times New Roman" w:cs="Times New Roman"/>
          <w:b/>
          <w:sz w:val="18"/>
          <w:szCs w:val="18"/>
        </w:rPr>
        <w:sectPr>
          <w:pgSz w:w="11906" w:h="16838"/>
          <w:pgMar w:top="1440" w:right="1800" w:bottom="1440" w:left="1800" w:header="851" w:footer="992" w:gutter="0"/>
          <w:cols w:space="425" w:num="1"/>
          <w:docGrid w:type="lines" w:linePitch="312" w:charSpace="0"/>
        </w:sectPr>
      </w:pPr>
      <w:r>
        <w:rPr>
          <w:rFonts w:ascii="Times New Roman" w:hAnsi="Times New Roman" w:cs="Times New Roman"/>
          <w:b/>
          <w:sz w:val="18"/>
          <w:szCs w:val="18"/>
        </w:rPr>
        <w:drawing>
          <wp:anchor distT="0" distB="0" distL="114300" distR="114300" simplePos="0" relativeHeight="251662336" behindDoc="0" locked="0" layoutInCell="1" allowOverlap="1">
            <wp:simplePos x="0" y="0"/>
            <wp:positionH relativeFrom="column">
              <wp:posOffset>-16510</wp:posOffset>
            </wp:positionH>
            <wp:positionV relativeFrom="paragraph">
              <wp:posOffset>110490</wp:posOffset>
            </wp:positionV>
            <wp:extent cx="5274310" cy="5426075"/>
            <wp:effectExtent l="0" t="0" r="2540" b="3175"/>
            <wp:wrapTopAndBottom/>
            <wp:docPr id="9" name="图片 9" descr="D:\total_sediment_gene_20250222\作图\Fig. 6.t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D:\total_sediment_gene_20250222\作图\Fig. 6.tif"/>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a:xfrm>
                      <a:off x="0" y="0"/>
                      <a:ext cx="5274310" cy="5426075"/>
                    </a:xfrm>
                    <a:prstGeom prst="rect">
                      <a:avLst/>
                    </a:prstGeom>
                    <a:noFill/>
                    <a:ln>
                      <a:noFill/>
                    </a:ln>
                  </pic:spPr>
                </pic:pic>
              </a:graphicData>
            </a:graphic>
          </wp:anchor>
        </w:drawing>
      </w:r>
      <w:r>
        <w:rPr>
          <w:rFonts w:ascii="Times New Roman" w:hAnsi="Times New Roman" w:cs="Times New Roman"/>
          <w:b/>
          <w:sz w:val="18"/>
          <w:szCs w:val="18"/>
        </w:rPr>
        <w:t>Fig</w:t>
      </w:r>
      <w:r>
        <w:rPr>
          <w:rFonts w:hint="eastAsia" w:ascii="Times New Roman" w:hAnsi="Times New Roman" w:cs="Times New Roman"/>
          <w:b/>
          <w:sz w:val="18"/>
          <w:szCs w:val="18"/>
        </w:rPr>
        <w:t>.</w:t>
      </w:r>
      <w:r>
        <w:rPr>
          <w:rFonts w:ascii="Times New Roman" w:hAnsi="Times New Roman" w:cs="Times New Roman"/>
          <w:b/>
          <w:sz w:val="18"/>
          <w:szCs w:val="18"/>
        </w:rPr>
        <w:t xml:space="preserve"> </w:t>
      </w:r>
      <w:r>
        <w:rPr>
          <w:rFonts w:hint="eastAsia" w:ascii="Times New Roman" w:hAnsi="Times New Roman" w:cs="Times New Roman"/>
          <w:b/>
          <w:sz w:val="18"/>
          <w:szCs w:val="18"/>
        </w:rPr>
        <w:t>S</w:t>
      </w:r>
      <w:r>
        <w:rPr>
          <w:rFonts w:hint="eastAsia" w:ascii="Times New Roman" w:hAnsi="Times New Roman" w:cs="Times New Roman"/>
          <w:b/>
          <w:sz w:val="18"/>
          <w:szCs w:val="18"/>
          <w:lang w:val="en-US" w:eastAsia="zh-CN"/>
        </w:rPr>
        <w:t>6</w:t>
      </w:r>
      <w:r>
        <w:rPr>
          <w:rFonts w:ascii="Times New Roman" w:hAnsi="Times New Roman" w:cs="Times New Roman"/>
          <w:b/>
          <w:sz w:val="18"/>
          <w:szCs w:val="18"/>
        </w:rPr>
        <w:t>. RDA of microbial metabolic potential constrained by environmental variables. The ordination plots display the relationships between the relative abundance of KEGG ortholog (KO) genes and measured environmental parameters across the four seasons. Explanatory variables are consistent with Fig. 4 and include bottom water parameters (Chla, TSS, DO, Temp), sediment porewater nutrients (NO₃⁻, NO₂⁻, NH₄⁺, PO₄³⁻), DOC, and optical DOM properties (BIX, HIX). Samples from artificial reef (AR, purple) and non-reef (NR, green) sites are represented by different colors. Red arrows indicate environmental parameters that exerted a significant (</w:t>
      </w:r>
      <w:r>
        <w:rPr>
          <w:rFonts w:ascii="Times New Roman" w:hAnsi="Times New Roman" w:cs="Times New Roman"/>
          <w:b/>
          <w:i/>
          <w:sz w:val="18"/>
          <w:szCs w:val="18"/>
        </w:rPr>
        <w:t>p</w:t>
      </w:r>
      <w:r>
        <w:rPr>
          <w:rFonts w:ascii="Times New Roman" w:hAnsi="Times New Roman" w:cs="Times New Roman"/>
          <w:b/>
          <w:sz w:val="18"/>
          <w:szCs w:val="18"/>
        </w:rPr>
        <w:t xml:space="preserve"> &lt; 0.05) influence on the overall metabolic functional profile, as determined by permutation test.</w:t>
      </w:r>
      <w:r>
        <w:rPr>
          <w:rFonts w:hint="eastAsia" w:ascii="Times New Roman" w:hAnsi="Times New Roman" w:cs="Times New Roman"/>
          <w:b/>
          <w:sz w:val="18"/>
          <w:szCs w:val="18"/>
        </w:rPr>
        <w:t xml:space="preserve"> </w:t>
      </w:r>
    </w:p>
    <w:p w14:paraId="4E1243BC">
      <w:pPr>
        <w:rPr>
          <w:rFonts w:ascii="Times New Roman" w:hAnsi="Times New Roman" w:cs="Times New Roman"/>
          <w:b/>
          <w:sz w:val="18"/>
          <w:szCs w:val="18"/>
        </w:rPr>
      </w:pPr>
      <w:r>
        <w:rPr>
          <w:rFonts w:hint="eastAsia" w:ascii="Times New Roman" w:hAnsi="Times New Roman" w:cs="Times New Roman"/>
          <w:b/>
          <w:sz w:val="18"/>
          <w:szCs w:val="18"/>
        </w:rPr>
        <w:drawing>
          <wp:inline distT="0" distB="0" distL="114300" distR="114300">
            <wp:extent cx="4572000" cy="4572000"/>
            <wp:effectExtent l="0" t="0" r="0" b="0"/>
            <wp:docPr id="4" name="图片 4" descr="mva通路与cazyme线性回归_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mva通路与cazyme线性回归_01"/>
                    <pic:cNvPicPr>
                      <a:picLocks noChangeAspect="1"/>
                    </pic:cNvPicPr>
                  </pic:nvPicPr>
                  <pic:blipFill>
                    <a:blip r:embed="rId11"/>
                    <a:stretch>
                      <a:fillRect/>
                    </a:stretch>
                  </pic:blipFill>
                  <pic:spPr>
                    <a:xfrm>
                      <a:off x="0" y="0"/>
                      <a:ext cx="4572000" cy="4572000"/>
                    </a:xfrm>
                    <a:prstGeom prst="rect">
                      <a:avLst/>
                    </a:prstGeom>
                  </pic:spPr>
                </pic:pic>
              </a:graphicData>
            </a:graphic>
          </wp:inline>
        </w:drawing>
      </w:r>
    </w:p>
    <w:p w14:paraId="38C961D7">
      <w:pPr>
        <w:rPr>
          <w:rFonts w:ascii="Times New Roman" w:hAnsi="Times New Roman" w:cs="Times New Roman"/>
          <w:b/>
          <w:sz w:val="18"/>
          <w:szCs w:val="18"/>
        </w:rPr>
        <w:sectPr>
          <w:pgSz w:w="11906" w:h="16838"/>
          <w:pgMar w:top="1440" w:right="1800" w:bottom="1440" w:left="1800" w:header="851" w:footer="992" w:gutter="0"/>
          <w:cols w:space="425" w:num="1"/>
          <w:docGrid w:type="lines" w:linePitch="312" w:charSpace="0"/>
        </w:sectPr>
      </w:pPr>
      <w:r>
        <w:rPr>
          <w:rFonts w:ascii="Times New Roman" w:hAnsi="Times New Roman" w:cs="Times New Roman"/>
          <w:b/>
          <w:sz w:val="18"/>
          <w:szCs w:val="18"/>
        </w:rPr>
        <w:t>Fig. S</w:t>
      </w:r>
      <w:r>
        <w:rPr>
          <w:rFonts w:hint="eastAsia" w:ascii="Times New Roman" w:hAnsi="Times New Roman" w:cs="Times New Roman"/>
          <w:b/>
          <w:sz w:val="18"/>
          <w:szCs w:val="18"/>
          <w:lang w:val="en-US" w:eastAsia="zh-CN"/>
        </w:rPr>
        <w:t>7</w:t>
      </w:r>
      <w:r>
        <w:rPr>
          <w:rFonts w:ascii="Times New Roman" w:hAnsi="Times New Roman" w:cs="Times New Roman"/>
          <w:b/>
          <w:sz w:val="18"/>
          <w:szCs w:val="18"/>
        </w:rPr>
        <w:t>. Linear regression analysis showing the positive correlation between mevalonate (MVA) pathway completeness and the diversity of complex carbon-degrading enzymes (GHs and PLs) at the MAG level. The diversity is quantified by the number of unique Glycoside Hydrolases (GHs) and Polysaccharide Lyases (PLs) identified in each MAG. The solid line represents the linear fit, and the shaded region indicates the 95% confidence interval.</w:t>
      </w:r>
      <w:r>
        <w:rPr>
          <w:rFonts w:hint="eastAsia" w:ascii="Times New Roman" w:hAnsi="Times New Roman" w:cs="Times New Roman"/>
          <w:b/>
          <w:sz w:val="18"/>
          <w:szCs w:val="18"/>
        </w:rPr>
        <w:t xml:space="preserve"> </w:t>
      </w:r>
    </w:p>
    <w:p w14:paraId="55A7EE26">
      <w:pPr>
        <w:rPr>
          <w:rFonts w:ascii="Times New Roman" w:hAnsi="Times New Roman" w:cs="Times New Roman"/>
          <w:b/>
          <w:sz w:val="18"/>
          <w:szCs w:val="18"/>
        </w:rPr>
      </w:pPr>
      <w:r>
        <w:rPr>
          <w:rFonts w:ascii="Times New Roman" w:hAnsi="Times New Roman" w:cs="Times New Roman"/>
          <w:b/>
          <w:sz w:val="18"/>
          <w:szCs w:val="18"/>
        </w:rPr>
        <w:drawing>
          <wp:anchor distT="0" distB="0" distL="114300" distR="114300" simplePos="0" relativeHeight="251663360" behindDoc="0" locked="0" layoutInCell="1" allowOverlap="1">
            <wp:simplePos x="0" y="0"/>
            <wp:positionH relativeFrom="column">
              <wp:posOffset>-54610</wp:posOffset>
            </wp:positionH>
            <wp:positionV relativeFrom="paragraph">
              <wp:posOffset>84455</wp:posOffset>
            </wp:positionV>
            <wp:extent cx="5274310" cy="5177790"/>
            <wp:effectExtent l="0" t="0" r="2540" b="3810"/>
            <wp:wrapTopAndBottom/>
            <wp:docPr id="12" name="图片 12" descr="D:\total_sediment_gene_20250222\作图\Fig. 8.t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descr="D:\total_sediment_gene_20250222\作图\Fig. 8.tif"/>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a:xfrm>
                      <a:off x="0" y="0"/>
                      <a:ext cx="5274310" cy="5177790"/>
                    </a:xfrm>
                    <a:prstGeom prst="rect">
                      <a:avLst/>
                    </a:prstGeom>
                    <a:noFill/>
                    <a:ln>
                      <a:noFill/>
                    </a:ln>
                  </pic:spPr>
                </pic:pic>
              </a:graphicData>
            </a:graphic>
          </wp:anchor>
        </w:drawing>
      </w:r>
      <w:r>
        <w:rPr>
          <w:rFonts w:ascii="Times New Roman" w:hAnsi="Times New Roman" w:cs="Times New Roman"/>
          <w:b/>
          <w:sz w:val="18"/>
          <w:szCs w:val="18"/>
        </w:rPr>
        <w:t>Fig. 8. RDA of MVA pathway-enriched MAGs constrained by environmental variables. The ordination plots display the relationships between the community composition of the 39 bacterial MAGs enriched for the MVA pathway and the measured environmental parameters across the four seasons. The set of explanatory variables is consistent with previous analyses and includes bottom water parameters (Chla, TSS, DO, Temp), sediment porewater nutrients (NO₃⁻, NO₂⁻, NH₄⁺, PO₄³⁻), DOC, and optical DOM properties (BIX, HIX). Samples from artificial reef (AR, purple) and non-reef (NR, green) sites are represented by different colors. Red arrows indicate environmental parameters that exerted a significant (</w:t>
      </w:r>
      <w:r>
        <w:rPr>
          <w:rFonts w:ascii="Times New Roman" w:hAnsi="Times New Roman" w:cs="Times New Roman"/>
          <w:b/>
          <w:i/>
          <w:sz w:val="18"/>
          <w:szCs w:val="18"/>
        </w:rPr>
        <w:t>p</w:t>
      </w:r>
      <w:r>
        <w:rPr>
          <w:rFonts w:ascii="Times New Roman" w:hAnsi="Times New Roman" w:cs="Times New Roman"/>
          <w:b/>
          <w:sz w:val="18"/>
          <w:szCs w:val="18"/>
        </w:rPr>
        <w:t xml:space="preserve"> &lt; 0.05) influence on the distribution of these functionally specialized MAGs, as determined by permutation test</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panose1 w:val="02010600030101010101"/>
    <w:charset w:val="86"/>
    <w:family w:val="auto"/>
    <w:pitch w:val="default"/>
    <w:sig w:usb0="A00002BF" w:usb1="38CF7CFA" w:usb2="00000016" w:usb3="00000000" w:csb0="0004000F" w:csb1="00000000"/>
  </w:font>
  <w:font w:name="等线 Light">
    <w:panose1 w:val="02010600030101010101"/>
    <w:charset w:val="86"/>
    <w:family w:val="auto"/>
    <w:pitch w:val="default"/>
    <w:sig w:usb0="A00002BF" w:usb1="38CF7CFA" w:usb2="00000016" w:usb3="00000000" w:csb0="0004000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2">
    <w:p>
      <w:r>
        <w:separator/>
      </w:r>
    </w:p>
  </w:footnote>
  <w:footnote w:type="continuationSeparator" w:id="3">
    <w:p>
      <w:r>
        <w:continuationSeparator/>
      </w:r>
    </w:p>
  </w:footnote>
  <w:footnote w:id="0">
    <w:p w14:paraId="642C1615">
      <w:pPr>
        <w:pStyle w:val="2"/>
      </w:pPr>
      <w:r>
        <w:rPr>
          <w:rStyle w:val="5"/>
        </w:rPr>
        <w:footnoteRef/>
      </w:r>
      <w:r>
        <w:t xml:space="preserve"> </w:t>
      </w:r>
      <w:r>
        <w:rPr>
          <w:rFonts w:ascii="Times New Roman" w:hAnsi="Times New Roman" w:cs="Times New Roman"/>
          <w:sz w:val="21"/>
          <w:szCs w:val="21"/>
        </w:rPr>
        <w:t>Corresponding author: jiangzy@sdu.edu.cn (Z, Jiang)</w:t>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footnotePr>
    <w:footnote w:id="2"/>
    <w:footnote w:id="3"/>
  </w:foot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41ACE"/>
    <w:rsid w:val="00310A50"/>
    <w:rsid w:val="003B6E3C"/>
    <w:rsid w:val="0077314F"/>
    <w:rsid w:val="00C15AAE"/>
    <w:rsid w:val="00F41ACE"/>
    <w:rsid w:val="00F63E57"/>
    <w:rsid w:val="284E28FF"/>
    <w:rsid w:val="3D0F04C0"/>
    <w:rsid w:val="3F3435AF"/>
    <w:rsid w:val="60241A8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qFormat="1" w:unhideWhenUsed="0" w:uiPriority="0" w:semiHidden="0"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qFormat="1" w:unhideWhenUsed="0" w:uiPriority="0" w:semiHidden="0"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iPriority="39"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character" w:default="1" w:styleId="4">
    <w:name w:val="Default Paragraph Font"/>
    <w:semiHidden/>
    <w:unhideWhenUsed/>
    <w:qFormat/>
    <w:uiPriority w:val="1"/>
  </w:style>
  <w:style w:type="table" w:default="1" w:styleId="3">
    <w:name w:val="Normal Table"/>
    <w:semiHidden/>
    <w:unhideWhenUsed/>
    <w:qFormat/>
    <w:uiPriority w:val="99"/>
    <w:tblPr>
      <w:tblCellMar>
        <w:top w:w="0" w:type="dxa"/>
        <w:left w:w="108" w:type="dxa"/>
        <w:bottom w:w="0" w:type="dxa"/>
        <w:right w:w="108" w:type="dxa"/>
      </w:tblCellMar>
    </w:tblPr>
  </w:style>
  <w:style w:type="paragraph" w:styleId="2">
    <w:name w:val="footnote text"/>
    <w:basedOn w:val="1"/>
    <w:link w:val="6"/>
    <w:qFormat/>
    <w:uiPriority w:val="0"/>
    <w:pPr>
      <w:snapToGrid w:val="0"/>
      <w:jc w:val="left"/>
    </w:pPr>
    <w:rPr>
      <w:sz w:val="18"/>
      <w:szCs w:val="18"/>
    </w:rPr>
  </w:style>
  <w:style w:type="character" w:styleId="5">
    <w:name w:val="footnote reference"/>
    <w:basedOn w:val="4"/>
    <w:qFormat/>
    <w:uiPriority w:val="0"/>
    <w:rPr>
      <w:vertAlign w:val="superscript"/>
    </w:rPr>
  </w:style>
  <w:style w:type="character" w:customStyle="1" w:styleId="6">
    <w:name w:val="脚注文本 字符"/>
    <w:basedOn w:val="4"/>
    <w:link w:val="2"/>
    <w:qFormat/>
    <w:uiPriority w:val="0"/>
    <w:rPr>
      <w:sz w:val="18"/>
      <w:szCs w:val="18"/>
    </w:rPr>
  </w:style>
  <w:style w:type="character" w:customStyle="1" w:styleId="7">
    <w:name w:val="hover-sent"/>
    <w:basedOn w:val="4"/>
    <w:qFormat/>
    <w:uiPriority w:val="0"/>
  </w:style>
</w:styles>
</file>

<file path=word/_rels/document.xml.rels><?xml version="1.0" encoding="UTF-8" standalone="yes"?>
<Relationships xmlns="http://schemas.openxmlformats.org/package/2006/relationships"><Relationship Id="rId9" Type="http://schemas.openxmlformats.org/officeDocument/2006/relationships/image" Target="media/image5.tiff"/><Relationship Id="rId8" Type="http://schemas.openxmlformats.org/officeDocument/2006/relationships/image" Target="media/image4.tiff"/><Relationship Id="rId7" Type="http://schemas.openxmlformats.org/officeDocument/2006/relationships/image" Target="media/image3.tiff"/><Relationship Id="rId6" Type="http://schemas.openxmlformats.org/officeDocument/2006/relationships/image" Target="media/image2.tiff"/><Relationship Id="rId5" Type="http://schemas.openxmlformats.org/officeDocument/2006/relationships/image" Target="media/image1.tiff"/><Relationship Id="rId4" Type="http://schemas.openxmlformats.org/officeDocument/2006/relationships/theme" Target="theme/theme1.xml"/><Relationship Id="rId3" Type="http://schemas.openxmlformats.org/officeDocument/2006/relationships/footnotes" Target="footnotes.xml"/><Relationship Id="rId2" Type="http://schemas.openxmlformats.org/officeDocument/2006/relationships/settings" Target="settings.xml"/><Relationship Id="rId13" Type="http://schemas.openxmlformats.org/officeDocument/2006/relationships/fontTable" Target="fontTable.xml"/><Relationship Id="rId12" Type="http://schemas.openxmlformats.org/officeDocument/2006/relationships/image" Target="media/image8.tiff"/><Relationship Id="rId11" Type="http://schemas.openxmlformats.org/officeDocument/2006/relationships/image" Target="media/image7.tiff"/><Relationship Id="rId10" Type="http://schemas.openxmlformats.org/officeDocument/2006/relationships/image" Target="media/image6.tiff"/><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9</Pages>
  <Words>671</Words>
  <Characters>4075</Characters>
  <Lines>33</Lines>
  <Paragraphs>9</Paragraphs>
  <TotalTime>0</TotalTime>
  <ScaleCrop>false</ScaleCrop>
  <LinksUpToDate>false</LinksUpToDate>
  <CharactersWithSpaces>4736</CharactersWithSpaces>
  <Application>WPS Office_12.1.0.23542_F1E327BC-269C-435d-A152-05C5408002CA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2025-11-21T07:22:00Z</dcterms:created>
  <dc:creator>MJY</dc:creator>
  <cp:lastModifiedBy>马珺杨</cp:lastModifiedBy>
  <dcterms:modified xsi:type="dcterms:W3CDTF">2025-11-27T08:55:49Z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eyJoZGlkIjoiODgxZjJlMzg0YzBmNzMwMjgyMTkzMTQwYzkyN2FlZGMiLCJ1c2VySWQiOiIxNTk1NjYwNzc5In0=</vt:lpwstr>
  </property>
  <property fmtid="{D5CDD505-2E9C-101B-9397-08002B2CF9AE}" pid="3" name="KSOProductBuildVer">
    <vt:lpwstr>2052-12.1.0.23542</vt:lpwstr>
  </property>
  <property fmtid="{D5CDD505-2E9C-101B-9397-08002B2CF9AE}" pid="4" name="ICV">
    <vt:lpwstr>02FCC8BCE51D440EBB16BBF6F8812853_12</vt:lpwstr>
  </property>
</Properties>
</file>