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2F7" w:rsidRDefault="00F922F7" w:rsidP="00F922F7">
      <w:pPr>
        <w:rPr>
          <w:b/>
          <w:sz w:val="28"/>
          <w:szCs w:val="28"/>
        </w:rPr>
      </w:pPr>
      <w:r>
        <w:rPr>
          <w:b/>
          <w:sz w:val="28"/>
          <w:szCs w:val="28"/>
        </w:rPr>
        <w:t>Supplementary material - Corporate emissions</w:t>
      </w:r>
    </w:p>
    <w:p w:rsidR="00F922F7" w:rsidRDefault="00F922F7" w:rsidP="00F922F7">
      <w:pPr>
        <w:jc w:val="both"/>
      </w:pPr>
      <w:r>
        <w:t xml:space="preserve">Table 1 breaks down the share of global emissions per sector and assumptions </w:t>
      </w:r>
      <w:proofErr w:type="gramStart"/>
      <w:r>
        <w:t>are made</w:t>
      </w:r>
      <w:proofErr w:type="gramEnd"/>
      <w:r>
        <w:t xml:space="preserve"> concerning corporate scope 1 coverage per sector. </w:t>
      </w:r>
      <w:proofErr w:type="gramStart"/>
      <w:r>
        <w:t>Based on conservative assumptions, the resulting non-corporate emissions are from energy use in residential buildings (10.9% of global emissions), passenger road transport (5.95% of global emissions), other energy uses including other energy conversion and energy use in agriculture and fishing (4.75% of global emissions), non-corporate waste management including municipal or unofficial practices (1.6% of global emissions), and agriculture, forestry and land-use (12.1% of global emissions).</w:t>
      </w:r>
      <w:proofErr w:type="gramEnd"/>
      <w:r>
        <w:t xml:space="preserve"> Thus, the non-corporate emissions add up to about 35% of global emissions, and the corporate emissions to 65% of global emissions. While Table 1 provides a basis for our reasoning, finding official statistics is difficult, especially for the agriculture, forestry and land-use sectors, which is why conservative numbers </w:t>
      </w:r>
      <w:proofErr w:type="gramStart"/>
      <w:r>
        <w:t>were assumed</w:t>
      </w:r>
      <w:proofErr w:type="gramEnd"/>
      <w:r>
        <w:t xml:space="preserve"> to make a rough estimate. However, it is likely that even small-scale farming, such as family farms, could be considered under the “company” or “business” umbrella </w:t>
      </w:r>
      <w:proofErr w:type="gramStart"/>
      <w:r>
        <w:t>to a larger extent</w:t>
      </w:r>
      <w:proofErr w:type="gramEnd"/>
      <w:r>
        <w:t xml:space="preserve"> than assumed. Furthermore, the net-zero frameworks included in the analysis do not only apply to corporations but also other organisations and entities such as municipalities and cities. Including such organisations would increase the share of global emissions that could fit under the analysed net-zero frameworks.</w:t>
      </w:r>
    </w:p>
    <w:p w:rsidR="00F922F7" w:rsidRDefault="00F922F7" w:rsidP="00F922F7">
      <w:pPr>
        <w:jc w:val="both"/>
      </w:pPr>
    </w:p>
    <w:p w:rsidR="00F922F7" w:rsidRDefault="00F922F7" w:rsidP="00F922F7">
      <w:pPr>
        <w:jc w:val="both"/>
      </w:pPr>
      <w:r>
        <w:t xml:space="preserve">Assuming, based on Table 1, that entities representing about 65% of global emissions would adopt and attain net-zero targets under net-zero frameworks, the effect illustrated in Figure 2 based on Equation (1) would be less dramatic. To be precise, the demand for CDR would be 3.25 times (instead of 5 times) what </w:t>
      </w:r>
      <w:proofErr w:type="gramStart"/>
      <w:r>
        <w:t>is needed</w:t>
      </w:r>
      <w:proofErr w:type="gramEnd"/>
      <w:r>
        <w:t xml:space="preserve"> to reach net-zero emissions. However, the actual numbers of this analysis are less important than the implications. The fact remains that counterbalancing emissions through CDR would result in a disproportional amount of CDR, if these net-zero frameworks were widely adopted and the targets achieved. How disproportional? That depends on how much of global emissions would fit under these specific frameworks, likely more than 65% considering other entities than companies can use the frameworks, and how the shares of scope 1, 2, and 3 emissions are divided. </w:t>
      </w:r>
    </w:p>
    <w:p w:rsidR="00F922F7" w:rsidRDefault="00F922F7" w:rsidP="00F922F7"/>
    <w:p w:rsidR="00F922F7" w:rsidRDefault="00F922F7" w:rsidP="00F922F7">
      <w:pPr>
        <w:rPr>
          <w:b/>
        </w:rPr>
      </w:pPr>
      <w:r>
        <w:rPr>
          <w:b/>
        </w:rPr>
        <w:t>Table 1: Sectoral shares of global emissions and assumptions for corporate scope 1 coverage per sector. Shares of global emissions based on [53].</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380"/>
        <w:gridCol w:w="1050"/>
        <w:gridCol w:w="1065"/>
        <w:gridCol w:w="645"/>
        <w:gridCol w:w="3540"/>
      </w:tblGrid>
      <w:tr w:rsidR="00F922F7" w:rsidTr="000812F6">
        <w:tc>
          <w:tcPr>
            <w:tcW w:w="133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bottom"/>
          </w:tcPr>
          <w:p w:rsidR="00F922F7" w:rsidRDefault="00F922F7" w:rsidP="000812F6">
            <w:pPr>
              <w:widowControl w:val="0"/>
              <w:spacing w:line="240" w:lineRule="auto"/>
              <w:rPr>
                <w:b/>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bottom"/>
          </w:tcPr>
          <w:p w:rsidR="00F922F7" w:rsidRDefault="00F922F7" w:rsidP="000812F6">
            <w:pPr>
              <w:widowControl w:val="0"/>
              <w:spacing w:line="240" w:lineRule="auto"/>
              <w:rPr>
                <w:sz w:val="22"/>
                <w:szCs w:val="22"/>
              </w:rPr>
            </w:pPr>
            <w:r>
              <w:rPr>
                <w:b/>
                <w:sz w:val="22"/>
                <w:szCs w:val="22"/>
              </w:rPr>
              <w:t>Sector</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bottom"/>
          </w:tcPr>
          <w:p w:rsidR="00F922F7" w:rsidRDefault="00F922F7" w:rsidP="000812F6">
            <w:pPr>
              <w:widowControl w:val="0"/>
              <w:spacing w:line="240" w:lineRule="auto"/>
              <w:rPr>
                <w:sz w:val="22"/>
                <w:szCs w:val="22"/>
              </w:rPr>
            </w:pPr>
            <w:r>
              <w:rPr>
                <w:b/>
                <w:sz w:val="22"/>
                <w:szCs w:val="22"/>
              </w:rPr>
              <w:t>Share of global emissions [%]</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bottom"/>
          </w:tcPr>
          <w:p w:rsidR="00F922F7" w:rsidRDefault="00F922F7" w:rsidP="000812F6">
            <w:pPr>
              <w:widowControl w:val="0"/>
              <w:spacing w:line="240" w:lineRule="auto"/>
              <w:rPr>
                <w:sz w:val="22"/>
                <w:szCs w:val="22"/>
              </w:rPr>
            </w:pPr>
            <w:r>
              <w:rPr>
                <w:b/>
                <w:sz w:val="22"/>
                <w:szCs w:val="22"/>
              </w:rPr>
              <w:t>Assumed scope 1 coverage [%]</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bottom"/>
          </w:tcPr>
          <w:p w:rsidR="00F922F7" w:rsidRDefault="00F922F7" w:rsidP="000812F6">
            <w:pPr>
              <w:widowControl w:val="0"/>
              <w:spacing w:line="240" w:lineRule="auto"/>
              <w:rPr>
                <w:sz w:val="22"/>
                <w:szCs w:val="22"/>
              </w:rPr>
            </w:pPr>
            <w:r>
              <w:rPr>
                <w:b/>
                <w:sz w:val="22"/>
                <w:szCs w:val="22"/>
              </w:rPr>
              <w:t>Total [%]</w:t>
            </w:r>
          </w:p>
        </w:tc>
        <w:tc>
          <w:tcPr>
            <w:tcW w:w="354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bottom"/>
          </w:tcPr>
          <w:p w:rsidR="00F922F7" w:rsidRDefault="00F922F7" w:rsidP="000812F6">
            <w:pPr>
              <w:widowControl w:val="0"/>
              <w:spacing w:line="240" w:lineRule="auto"/>
              <w:rPr>
                <w:sz w:val="22"/>
                <w:szCs w:val="22"/>
              </w:rPr>
            </w:pPr>
            <w:r>
              <w:rPr>
                <w:b/>
                <w:sz w:val="22"/>
                <w:szCs w:val="22"/>
              </w:rPr>
              <w:t>Comment</w:t>
            </w:r>
          </w:p>
        </w:tc>
      </w:tr>
      <w:tr w:rsidR="00F922F7" w:rsidTr="000812F6">
        <w:trPr>
          <w:trHeight w:val="330"/>
        </w:trPr>
        <w:tc>
          <w:tcPr>
            <w:tcW w:w="1335"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jc w:val="center"/>
              <w:rPr>
                <w:b/>
                <w:sz w:val="22"/>
                <w:szCs w:val="22"/>
              </w:rPr>
            </w:pPr>
            <w:r>
              <w:rPr>
                <w:b/>
                <w:sz w:val="22"/>
                <w:szCs w:val="22"/>
              </w:rPr>
              <w:t>Energy use in industry 24.2%</w:t>
            </w: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Iron &amp; steel</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7.2</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7.2</w:t>
            </w:r>
          </w:p>
        </w:tc>
        <w:tc>
          <w:tcPr>
            <w:tcW w:w="3540"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proofErr w:type="gramStart"/>
            <w:r>
              <w:rPr>
                <w:sz w:val="22"/>
                <w:szCs w:val="22"/>
              </w:rPr>
              <w:t>Assuming industry is dominated by companies</w:t>
            </w:r>
            <w:proofErr w:type="gramEnd"/>
            <w:r>
              <w:rPr>
                <w:sz w:val="22"/>
                <w:szCs w:val="22"/>
              </w:rPr>
              <w:t xml:space="preserve">. Some might not be structured as companies, e.g. state-owned operations or very </w:t>
            </w:r>
            <w:proofErr w:type="gramStart"/>
            <w:r>
              <w:rPr>
                <w:sz w:val="22"/>
                <w:szCs w:val="22"/>
              </w:rPr>
              <w:t>small scale</w:t>
            </w:r>
            <w:proofErr w:type="gramEnd"/>
            <w:r>
              <w:rPr>
                <w:sz w:val="22"/>
                <w:szCs w:val="22"/>
              </w:rPr>
              <w:t xml:space="preserve"> operations, but this is assumed to be negligible.</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Non-ferrous metals</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0.7</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0.7</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Chemical &amp; petrochemical</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3.6</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3.6</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Food &amp; tobacco</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Paper &amp; pulp</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0.6</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0.6</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Machinery</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0.5</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0.5</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Other industry</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10.6</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10.6</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jc w:val="center"/>
              <w:rPr>
                <w:b/>
                <w:sz w:val="22"/>
                <w:szCs w:val="22"/>
              </w:rPr>
            </w:pPr>
            <w:r>
              <w:rPr>
                <w:b/>
                <w:sz w:val="22"/>
                <w:szCs w:val="22"/>
              </w:rPr>
              <w:t>Energy use in transport 16.2%</w:t>
            </w: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Road transport</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11.9</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5.95</w:t>
            </w:r>
          </w:p>
        </w:tc>
        <w:tc>
          <w:tcPr>
            <w:tcW w:w="354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Approximately 40% comes from freight transport and 60% from passenger transport. Assuming all freight transport is corporate, and 20% of passenger transport is corporate.</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Aviation</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1.9</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1.9</w:t>
            </w:r>
          </w:p>
        </w:tc>
        <w:tc>
          <w:tcPr>
            <w:tcW w:w="3540"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Assuming negligible share of non-corporate flight, shipping, rail and pipeline transport.</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Shipping</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1.7</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1.7</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Rail</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0.4</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0.4</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Pipeline</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0.3</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0.3</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jc w:val="center"/>
              <w:rPr>
                <w:b/>
                <w:sz w:val="22"/>
                <w:szCs w:val="22"/>
              </w:rPr>
            </w:pPr>
            <w:r>
              <w:rPr>
                <w:b/>
                <w:sz w:val="22"/>
                <w:szCs w:val="22"/>
              </w:rPr>
              <w:t>Energy use in buildings 17.5%</w:t>
            </w: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Residential buildings</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10.9</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w:t>
            </w:r>
          </w:p>
        </w:tc>
        <w:tc>
          <w:tcPr>
            <w:tcW w:w="3540"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 xml:space="preserve">Residential buildings are assumed </w:t>
            </w:r>
            <w:proofErr w:type="gramStart"/>
            <w:r>
              <w:rPr>
                <w:sz w:val="22"/>
                <w:szCs w:val="22"/>
              </w:rPr>
              <w:t>to be 0</w:t>
            </w:r>
            <w:proofErr w:type="gramEnd"/>
            <w:r>
              <w:rPr>
                <w:sz w:val="22"/>
                <w:szCs w:val="22"/>
              </w:rPr>
              <w:t>% corporate while commercial buildings are assumed to be 100% corporate.</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Commercial buildings</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6.6</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6.6</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jc w:val="center"/>
              <w:rPr>
                <w:b/>
                <w:sz w:val="22"/>
                <w:szCs w:val="22"/>
              </w:rPr>
            </w:pPr>
            <w:r>
              <w:rPr>
                <w:b/>
                <w:sz w:val="22"/>
                <w:szCs w:val="22"/>
              </w:rPr>
              <w:t>Other energy 15.3%</w:t>
            </w: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Unallocated fuel combustion</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7.8</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3.9</w:t>
            </w:r>
          </w:p>
        </w:tc>
        <w:tc>
          <w:tcPr>
            <w:tcW w:w="354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Energy-related emissions from the production of energy from other fuels, including electricity and heat from biomass, on-site heat sources, combined heat and power, the nuclear industry, and pumped hydroelectric storage. Assumed to be 50% corporate.</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Fugitive emissions from energy production</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5.8</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5.8</w:t>
            </w:r>
          </w:p>
        </w:tc>
        <w:tc>
          <w:tcPr>
            <w:tcW w:w="354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Fugitive emissions from oil and gas extraction and coal mining. Assumed to be 100% corporate.</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Energy in agriculture &amp; fishing</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1.7</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0.85</w:t>
            </w:r>
          </w:p>
        </w:tc>
        <w:tc>
          <w:tcPr>
            <w:tcW w:w="354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 xml:space="preserve">Assuming a 50/50 share of corporate and non-corporate (e.g. </w:t>
            </w:r>
            <w:proofErr w:type="gramStart"/>
            <w:r>
              <w:rPr>
                <w:sz w:val="22"/>
                <w:szCs w:val="22"/>
              </w:rPr>
              <w:t>small scale</w:t>
            </w:r>
            <w:proofErr w:type="gramEnd"/>
            <w:r>
              <w:rPr>
                <w:sz w:val="22"/>
                <w:szCs w:val="22"/>
              </w:rPr>
              <w:t xml:space="preserve"> non-corporate farming) emissions.</w:t>
            </w:r>
          </w:p>
        </w:tc>
      </w:tr>
      <w:tr w:rsidR="00F922F7" w:rsidTr="000812F6">
        <w:trPr>
          <w:trHeight w:val="330"/>
        </w:trPr>
        <w:tc>
          <w:tcPr>
            <w:tcW w:w="1335"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jc w:val="center"/>
              <w:rPr>
                <w:b/>
                <w:sz w:val="22"/>
                <w:szCs w:val="22"/>
              </w:rPr>
            </w:pPr>
            <w:r>
              <w:rPr>
                <w:b/>
                <w:sz w:val="22"/>
                <w:szCs w:val="22"/>
              </w:rPr>
              <w:t>Industry 5.2%</w:t>
            </w: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Cement</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3</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3</w:t>
            </w:r>
          </w:p>
        </w:tc>
        <w:tc>
          <w:tcPr>
            <w:tcW w:w="3540"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 xml:space="preserve">Direct emissions from industrial processing are assumed </w:t>
            </w:r>
            <w:proofErr w:type="gramStart"/>
            <w:r>
              <w:rPr>
                <w:sz w:val="22"/>
                <w:szCs w:val="22"/>
              </w:rPr>
              <w:t>to be 100</w:t>
            </w:r>
            <w:proofErr w:type="gramEnd"/>
            <w:r>
              <w:rPr>
                <w:sz w:val="22"/>
                <w:szCs w:val="22"/>
              </w:rPr>
              <w:t>% corporate.</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Chemicals</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2.2</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100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2.2</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jc w:val="center"/>
              <w:rPr>
                <w:b/>
                <w:sz w:val="22"/>
                <w:szCs w:val="22"/>
              </w:rPr>
            </w:pPr>
            <w:r>
              <w:rPr>
                <w:b/>
                <w:sz w:val="22"/>
                <w:szCs w:val="22"/>
              </w:rPr>
              <w:t>Waste 3.2%</w:t>
            </w: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Landfills</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1.9</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0.95</w:t>
            </w:r>
          </w:p>
        </w:tc>
        <w:tc>
          <w:tcPr>
            <w:tcW w:w="3540"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Assuming a 50/50 share of corporate and non-corporate (e.g. municipal, uncontrolled) emissions.</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Wastewater</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1.3</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F922F7" w:rsidRDefault="00F922F7" w:rsidP="000812F6">
            <w:pPr>
              <w:widowControl w:val="0"/>
              <w:spacing w:line="240" w:lineRule="auto"/>
              <w:rPr>
                <w:sz w:val="22"/>
                <w:szCs w:val="22"/>
              </w:rPr>
            </w:pPr>
            <w:r>
              <w:rPr>
                <w:sz w:val="22"/>
                <w:szCs w:val="22"/>
              </w:rPr>
              <w:t>0.65</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jc w:val="center"/>
              <w:rPr>
                <w:b/>
                <w:sz w:val="22"/>
                <w:szCs w:val="22"/>
              </w:rPr>
            </w:pPr>
            <w:r>
              <w:rPr>
                <w:b/>
                <w:sz w:val="22"/>
                <w:szCs w:val="22"/>
              </w:rPr>
              <w:t>Agriculture, forestry &amp; land-use 18.4%</w:t>
            </w: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Livestock &amp; manure</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5.8</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2.9</w:t>
            </w:r>
          </w:p>
        </w:tc>
        <w:tc>
          <w:tcPr>
            <w:tcW w:w="3540"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 xml:space="preserve">Assuming a 50/50 share of corporate and non-corporate (e.g. </w:t>
            </w:r>
            <w:proofErr w:type="gramStart"/>
            <w:r>
              <w:rPr>
                <w:sz w:val="22"/>
                <w:szCs w:val="22"/>
              </w:rPr>
              <w:t>small scale</w:t>
            </w:r>
            <w:proofErr w:type="gramEnd"/>
            <w:r>
              <w:rPr>
                <w:sz w:val="22"/>
                <w:szCs w:val="22"/>
              </w:rPr>
              <w:t xml:space="preserve"> non-corporate farming) emissions.</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Agricultural soils</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4.1</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2.05</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Rice cultivation</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1.3</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0.65</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Cropland</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1.4</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50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0.7</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Crop burning</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3.5</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w:t>
            </w:r>
          </w:p>
        </w:tc>
        <w:tc>
          <w:tcPr>
            <w:tcW w:w="3540" w:type="dxa"/>
            <w:vMerge w:val="restart"/>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Assumed to be mostly non-corporate.</w:t>
            </w: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Deforestation</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2.2</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1335"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c>
          <w:tcPr>
            <w:tcW w:w="138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Grassland</w:t>
            </w:r>
          </w:p>
        </w:tc>
        <w:tc>
          <w:tcPr>
            <w:tcW w:w="105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0.1</w:t>
            </w:r>
          </w:p>
        </w:tc>
        <w:tc>
          <w:tcPr>
            <w:tcW w:w="106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sz w:val="22"/>
                <w:szCs w:val="22"/>
              </w:rPr>
            </w:pPr>
            <w:r>
              <w:rPr>
                <w:sz w:val="22"/>
                <w:szCs w:val="22"/>
              </w:rPr>
              <w:t>0</w:t>
            </w:r>
          </w:p>
        </w:tc>
        <w:tc>
          <w:tcPr>
            <w:tcW w:w="3540" w:type="dxa"/>
            <w:vMerge/>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pBdr>
                <w:top w:val="nil"/>
                <w:left w:val="nil"/>
                <w:bottom w:val="nil"/>
                <w:right w:val="nil"/>
                <w:between w:val="nil"/>
              </w:pBdr>
              <w:rPr>
                <w:sz w:val="22"/>
                <w:szCs w:val="22"/>
              </w:rPr>
            </w:pPr>
          </w:p>
        </w:tc>
      </w:tr>
      <w:tr w:rsidR="00F922F7" w:rsidTr="000812F6">
        <w:trPr>
          <w:trHeight w:val="330"/>
        </w:trPr>
        <w:tc>
          <w:tcPr>
            <w:tcW w:w="4830" w:type="dxa"/>
            <w:gridSpan w:val="4"/>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bottom"/>
          </w:tcPr>
          <w:p w:rsidR="00F922F7" w:rsidRDefault="00F922F7" w:rsidP="000812F6">
            <w:pPr>
              <w:widowControl w:val="0"/>
              <w:spacing w:line="240" w:lineRule="auto"/>
              <w:rPr>
                <w:b/>
              </w:rPr>
            </w:pPr>
            <w:r>
              <w:rPr>
                <w:b/>
              </w:rPr>
              <w:t>Sum</w:t>
            </w:r>
          </w:p>
        </w:tc>
        <w:tc>
          <w:tcPr>
            <w:tcW w:w="645"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bottom"/>
          </w:tcPr>
          <w:p w:rsidR="00F922F7" w:rsidRDefault="00F922F7" w:rsidP="000812F6">
            <w:pPr>
              <w:widowControl w:val="0"/>
              <w:spacing w:line="240" w:lineRule="auto"/>
              <w:rPr>
                <w:b/>
                <w:sz w:val="22"/>
                <w:szCs w:val="22"/>
              </w:rPr>
            </w:pPr>
            <w:r>
              <w:rPr>
                <w:b/>
                <w:sz w:val="22"/>
                <w:szCs w:val="22"/>
              </w:rPr>
              <w:t>65</w:t>
            </w:r>
          </w:p>
        </w:tc>
        <w:tc>
          <w:tcPr>
            <w:tcW w:w="3540" w:type="dxa"/>
            <w:tcBorders>
              <w:top w:val="single" w:sz="8" w:space="0" w:color="000000"/>
              <w:left w:val="single" w:sz="8" w:space="0" w:color="000000"/>
              <w:bottom w:val="single" w:sz="8" w:space="0" w:color="000000"/>
              <w:right w:val="single" w:sz="8" w:space="0" w:color="000000"/>
            </w:tcBorders>
            <w:tcMar>
              <w:top w:w="45" w:type="dxa"/>
              <w:left w:w="45" w:type="dxa"/>
              <w:bottom w:w="45" w:type="dxa"/>
              <w:right w:w="45" w:type="dxa"/>
            </w:tcMar>
            <w:vAlign w:val="center"/>
          </w:tcPr>
          <w:p w:rsidR="00F922F7" w:rsidRDefault="00F922F7" w:rsidP="000812F6">
            <w:pPr>
              <w:widowControl w:val="0"/>
              <w:spacing w:line="240" w:lineRule="auto"/>
              <w:rPr>
                <w:b/>
                <w:sz w:val="22"/>
                <w:szCs w:val="22"/>
              </w:rPr>
            </w:pPr>
            <w:r>
              <w:rPr>
                <w:b/>
                <w:sz w:val="22"/>
                <w:szCs w:val="22"/>
              </w:rPr>
              <w:t>Direct corporate emissions share of global emissions</w:t>
            </w:r>
          </w:p>
        </w:tc>
      </w:tr>
    </w:tbl>
    <w:p w:rsidR="00094786" w:rsidRDefault="00094786">
      <w:bookmarkStart w:id="0" w:name="_GoBack"/>
      <w:bookmarkEnd w:id="0"/>
    </w:p>
    <w:sectPr w:rsidR="00094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37A"/>
    <w:rsid w:val="00094786"/>
    <w:rsid w:val="003C237A"/>
    <w:rsid w:val="00F92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8CF979-5276-4FE0-9186-29D25CD6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22F7"/>
    <w:pPr>
      <w:spacing w:after="0" w:line="276" w:lineRule="auto"/>
    </w:pPr>
    <w:rPr>
      <w:rFonts w:ascii="Times New Roman" w:eastAsia="Times New Roman" w:hAnsi="Times New Roman" w:cs="Times New Roman"/>
      <w:sz w:val="24"/>
      <w:szCs w:val="24"/>
      <w:lang w:val="en-GB"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4260</Characters>
  <Application>Microsoft Office Word</Application>
  <DocSecurity>0</DocSecurity>
  <Lines>35</Lines>
  <Paragraphs>9</Paragraphs>
  <ScaleCrop>false</ScaleCrop>
  <Company>HP</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Bhatt</dc:creator>
  <cp:keywords/>
  <dc:description/>
  <cp:lastModifiedBy>Tarun Bhatt</cp:lastModifiedBy>
  <cp:revision>2</cp:revision>
  <dcterms:created xsi:type="dcterms:W3CDTF">2025-11-26T11:30:00Z</dcterms:created>
  <dcterms:modified xsi:type="dcterms:W3CDTF">2025-11-26T11:30:00Z</dcterms:modified>
</cp:coreProperties>
</file>