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0DEA" w14:textId="41C30283" w:rsidR="007E3F2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1 Alt Text</w:t>
      </w:r>
      <w:r w:rsidR="00DF69CB">
        <w:rPr>
          <w:rFonts w:ascii="Times New Roman" w:hAnsi="Times New Roman" w:cs="Times New Roman" w:hint="eastAsia"/>
          <w:b/>
          <w:bCs/>
        </w:rPr>
        <w:t xml:space="preserve">: </w:t>
      </w:r>
    </w:p>
    <w:p w14:paraId="052373DA" w14:textId="0BBA10DE" w:rsidR="007E3F20" w:rsidRDefault="00FA01D1">
      <w:pPr>
        <w:rPr>
          <w:rFonts w:ascii="Times New Roman" w:hAnsi="Times New Roman" w:cs="Times New Roman"/>
        </w:rPr>
      </w:pPr>
      <w:r w:rsidRPr="00FA01D1">
        <w:rPr>
          <w:rFonts w:ascii="Times New Roman" w:hAnsi="Times New Roman" w:cs="Times New Roman"/>
        </w:rPr>
        <w:t>A bar graph shows the transfection efficiency after ATF4 knockdown. A CCK-</w:t>
      </w:r>
      <w:proofErr w:type="gramStart"/>
      <w:r w:rsidRPr="00FA01D1">
        <w:rPr>
          <w:rFonts w:ascii="Times New Roman" w:hAnsi="Times New Roman" w:cs="Times New Roman"/>
        </w:rPr>
        <w:t>8 line</w:t>
      </w:r>
      <w:proofErr w:type="gramEnd"/>
      <w:r w:rsidRPr="00FA01D1">
        <w:rPr>
          <w:rFonts w:ascii="Times New Roman" w:hAnsi="Times New Roman" w:cs="Times New Roman"/>
        </w:rPr>
        <w:t xml:space="preserve"> graph, 4 representative EDU immunofluorescence images, and a bar graph quantifying the percentage of EDU</w:t>
      </w:r>
      <w:r w:rsidRPr="00FA01D1">
        <w:rPr>
          <w:rFonts w:ascii="Times New Roman" w:hAnsi="Times New Roman" w:cs="Times New Roman"/>
          <w:vertAlign w:val="superscript"/>
        </w:rPr>
        <w:t>+</w:t>
      </w:r>
      <w:r w:rsidRPr="00FA01D1">
        <w:rPr>
          <w:rFonts w:ascii="Times New Roman" w:hAnsi="Times New Roman" w:cs="Times New Roman"/>
        </w:rPr>
        <w:t xml:space="preserve"> positive cells demonstrate the proliferation of L929 cells after ATF4 knockdown. Additionally, 4 representative TUNEL immunofluorescence images, a bar graph quantifying the percentage of TUNEL</w:t>
      </w:r>
      <w:r w:rsidRPr="00E876EF">
        <w:rPr>
          <w:rFonts w:ascii="Times New Roman" w:hAnsi="Times New Roman" w:cs="Times New Roman"/>
          <w:vertAlign w:val="superscript"/>
        </w:rPr>
        <w:t>+</w:t>
      </w:r>
      <w:r w:rsidRPr="00FA01D1">
        <w:rPr>
          <w:rFonts w:ascii="Times New Roman" w:hAnsi="Times New Roman" w:cs="Times New Roman"/>
        </w:rPr>
        <w:t xml:space="preserve"> positive cells, representative Western blot images, and a bar graph quantifying the gray values show the expression levels of PCNA and Caspase-3 proteins to evaluate the apoptosis of L929 cells after ATF4 knockdown.</w:t>
      </w:r>
    </w:p>
    <w:p w14:paraId="69786449" w14:textId="77777777" w:rsidR="00FA01D1" w:rsidRDefault="00FA01D1">
      <w:pPr>
        <w:rPr>
          <w:rFonts w:ascii="Times New Roman" w:hAnsi="Times New Roman" w:cs="Times New Roman" w:hint="eastAsia"/>
        </w:rPr>
      </w:pPr>
    </w:p>
    <w:p w14:paraId="240DBD7C" w14:textId="35F120AB" w:rsidR="007E3F2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Alt Text</w:t>
      </w:r>
      <w:r w:rsidR="00DF69CB">
        <w:rPr>
          <w:rFonts w:ascii="Times New Roman" w:hAnsi="Times New Roman" w:cs="Times New Roman" w:hint="eastAsia"/>
          <w:b/>
          <w:bCs/>
        </w:rPr>
        <w:t>:</w:t>
      </w:r>
      <w:r w:rsidR="00DF69CB">
        <w:rPr>
          <w:rFonts w:ascii="Times New Roman" w:hAnsi="Times New Roman" w:cs="Times New Roman"/>
        </w:rPr>
        <w:t xml:space="preserve"> </w:t>
      </w:r>
    </w:p>
    <w:p w14:paraId="5957DF85" w14:textId="4C7E4EC9" w:rsidR="00100E66" w:rsidRDefault="00100E66">
      <w:pPr>
        <w:rPr>
          <w:rFonts w:ascii="Times New Roman" w:hAnsi="Times New Roman" w:cs="Times New Roman" w:hint="eastAsia"/>
        </w:rPr>
      </w:pPr>
      <w:r w:rsidRPr="00100E66">
        <w:rPr>
          <w:rFonts w:ascii="Times New Roman" w:hAnsi="Times New Roman" w:cs="Times New Roman"/>
        </w:rPr>
        <w:t>A schematic diagram illustrating the two binding sites between ATF4 and the promoter region of miR-93-3p, together with 3 bar graphs of interaction assays, shows that ATF4 protein directly binds to the promoter of miR-93-3p.</w:t>
      </w:r>
    </w:p>
    <w:p w14:paraId="172CE767" w14:textId="77777777" w:rsidR="007E3F20" w:rsidRDefault="007E3F20">
      <w:pPr>
        <w:rPr>
          <w:rFonts w:ascii="Times New Roman" w:hAnsi="Times New Roman" w:cs="Times New Roman"/>
        </w:rPr>
      </w:pPr>
    </w:p>
    <w:p w14:paraId="35402FFF" w14:textId="5DE764DC" w:rsidR="007E3F2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Figure 3 </w:t>
      </w:r>
      <w:r>
        <w:rPr>
          <w:rFonts w:ascii="Times New Roman" w:hAnsi="Times New Roman" w:cs="Times New Roman"/>
          <w:b/>
          <w:bCs/>
        </w:rPr>
        <w:t>Alt Text</w:t>
      </w:r>
      <w:r w:rsidR="00DF69CB">
        <w:rPr>
          <w:rFonts w:ascii="Times New Roman" w:hAnsi="Times New Roman" w:cs="Times New Roman" w:hint="eastAsia"/>
          <w:b/>
          <w:bCs/>
        </w:rPr>
        <w:t>:</w:t>
      </w:r>
      <w:r w:rsidR="00DF69CB">
        <w:rPr>
          <w:rFonts w:ascii="Times New Roman" w:hAnsi="Times New Roman" w:cs="Times New Roman"/>
        </w:rPr>
        <w:t xml:space="preserve"> </w:t>
      </w:r>
    </w:p>
    <w:p w14:paraId="4CE1BB35" w14:textId="07B44EA4" w:rsidR="007E3F20" w:rsidRPr="003B2932" w:rsidRDefault="003B2932">
      <w:pPr>
        <w:rPr>
          <w:rFonts w:ascii="Times New Roman" w:hAnsi="Times New Roman" w:cs="Times New Roman"/>
        </w:rPr>
      </w:pPr>
      <w:r w:rsidRPr="003B2932">
        <w:rPr>
          <w:rFonts w:ascii="Times New Roman" w:hAnsi="Times New Roman" w:cs="Times New Roman"/>
        </w:rPr>
        <w:t>A bar graph shows the transfection efficiency after transfection with miR-93-3p inhibitors. A CCK-</w:t>
      </w:r>
      <w:proofErr w:type="gramStart"/>
      <w:r w:rsidRPr="003B2932">
        <w:rPr>
          <w:rFonts w:ascii="Times New Roman" w:hAnsi="Times New Roman" w:cs="Times New Roman"/>
        </w:rPr>
        <w:t>8 line</w:t>
      </w:r>
      <w:proofErr w:type="gramEnd"/>
      <w:r w:rsidRPr="003B2932">
        <w:rPr>
          <w:rFonts w:ascii="Times New Roman" w:hAnsi="Times New Roman" w:cs="Times New Roman"/>
        </w:rPr>
        <w:t xml:space="preserve"> graph, 3 representative EDU immunofluorescence images, and a bar graph quantifying the percentage of EDU</w:t>
      </w:r>
      <w:r w:rsidRPr="00D44E6A">
        <w:rPr>
          <w:rFonts w:ascii="Times New Roman" w:hAnsi="Times New Roman" w:cs="Times New Roman"/>
          <w:vertAlign w:val="superscript"/>
        </w:rPr>
        <w:t>+</w:t>
      </w:r>
      <w:r w:rsidRPr="003B2932">
        <w:rPr>
          <w:rFonts w:ascii="Times New Roman" w:hAnsi="Times New Roman" w:cs="Times New Roman"/>
        </w:rPr>
        <w:t xml:space="preserve"> positive cells demonstrate the proliferation of L929 cells after treatment with miR-93-3p inhibitors combined with ATF4 knockdown. Additionally, 3 representative TUNEL immunofluorescence images, a bar graph quantifying the percentage of TUNEL</w:t>
      </w:r>
      <w:r w:rsidRPr="00D44E6A">
        <w:rPr>
          <w:rFonts w:ascii="Times New Roman" w:hAnsi="Times New Roman" w:cs="Times New Roman"/>
          <w:vertAlign w:val="superscript"/>
        </w:rPr>
        <w:t>+</w:t>
      </w:r>
      <w:r w:rsidRPr="003B2932">
        <w:rPr>
          <w:rFonts w:ascii="Times New Roman" w:hAnsi="Times New Roman" w:cs="Times New Roman"/>
        </w:rPr>
        <w:t xml:space="preserve"> positive cells, representative Western blot images, and bar graphs quantifying gray values show the expression levels of PCNA and Caspase-3 proteins to evaluate the apoptosis of L929 cells after treatment with miR-93-3p inhibitors combined with ATF4 knockdown.</w:t>
      </w:r>
    </w:p>
    <w:p w14:paraId="4A6EEFB5" w14:textId="77777777" w:rsidR="003B2932" w:rsidRDefault="003B2932">
      <w:pPr>
        <w:rPr>
          <w:rFonts w:ascii="Times New Roman" w:hAnsi="Times New Roman" w:cs="Times New Roman" w:hint="eastAsia"/>
          <w:b/>
          <w:bCs/>
        </w:rPr>
      </w:pPr>
    </w:p>
    <w:p w14:paraId="2F84FE40" w14:textId="4E9D750B" w:rsidR="007E3F2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Alt Text</w:t>
      </w:r>
      <w:r w:rsidR="00DF69CB">
        <w:rPr>
          <w:rFonts w:ascii="Times New Roman" w:hAnsi="Times New Roman" w:cs="Times New Roman" w:hint="eastAsia"/>
          <w:b/>
          <w:bCs/>
        </w:rPr>
        <w:t>:</w:t>
      </w:r>
      <w:r w:rsidR="00DF69CB">
        <w:rPr>
          <w:rFonts w:ascii="Times New Roman" w:hAnsi="Times New Roman" w:cs="Times New Roman"/>
        </w:rPr>
        <w:t xml:space="preserve"> </w:t>
      </w:r>
    </w:p>
    <w:p w14:paraId="32CB677F" w14:textId="15A19CA0" w:rsidR="007E3F20" w:rsidRDefault="00D51B44">
      <w:pPr>
        <w:rPr>
          <w:rFonts w:ascii="Times New Roman" w:hAnsi="Times New Roman" w:cs="Times New Roman"/>
        </w:rPr>
      </w:pPr>
      <w:r w:rsidRPr="00D51B44">
        <w:rPr>
          <w:rFonts w:ascii="Times New Roman" w:hAnsi="Times New Roman" w:cs="Times New Roman"/>
        </w:rPr>
        <w:t>A target prediction diagram and a bar graph show that miR-93-3p targets Smad7. Two bar graphs, representative Western blot images, and bar graphs quantifying gray values demonstrate that miR-93-3p target</w:t>
      </w:r>
      <w:r>
        <w:rPr>
          <w:rFonts w:ascii="Times New Roman" w:hAnsi="Times New Roman" w:cs="Times New Roman" w:hint="eastAsia"/>
        </w:rPr>
        <w:t>s and</w:t>
      </w:r>
      <w:r w:rsidRPr="00D51B44">
        <w:rPr>
          <w:rFonts w:ascii="Times New Roman" w:hAnsi="Times New Roman" w:cs="Times New Roman"/>
        </w:rPr>
        <w:t xml:space="preserve"> inhibits Smad7 mRNA and protein expression.</w:t>
      </w:r>
    </w:p>
    <w:p w14:paraId="1F5FA002" w14:textId="77777777" w:rsidR="00D51B44" w:rsidRDefault="00D51B44">
      <w:pPr>
        <w:rPr>
          <w:rFonts w:ascii="Times New Roman" w:hAnsi="Times New Roman" w:cs="Times New Roman" w:hint="eastAsia"/>
        </w:rPr>
      </w:pPr>
    </w:p>
    <w:p w14:paraId="7C5574AA" w14:textId="23B37E58" w:rsidR="007E3F2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Figure 5 </w:t>
      </w:r>
      <w:r>
        <w:rPr>
          <w:rFonts w:ascii="Times New Roman" w:hAnsi="Times New Roman" w:cs="Times New Roman"/>
          <w:b/>
          <w:bCs/>
        </w:rPr>
        <w:t>Alt Text</w:t>
      </w:r>
      <w:r w:rsidR="00DF69CB">
        <w:rPr>
          <w:rFonts w:ascii="Times New Roman" w:hAnsi="Times New Roman" w:cs="Times New Roman" w:hint="eastAsia"/>
          <w:b/>
          <w:bCs/>
        </w:rPr>
        <w:t>:</w:t>
      </w:r>
      <w:r w:rsidR="00DF69CB">
        <w:rPr>
          <w:rFonts w:ascii="Times New Roman" w:hAnsi="Times New Roman" w:cs="Times New Roman"/>
        </w:rPr>
        <w:t xml:space="preserve"> </w:t>
      </w:r>
    </w:p>
    <w:p w14:paraId="5BC413C6" w14:textId="3A083A95" w:rsidR="00226205" w:rsidRDefault="00226205">
      <w:pPr>
        <w:rPr>
          <w:rFonts w:ascii="Times New Roman" w:hAnsi="Times New Roman" w:cs="Times New Roman" w:hint="eastAsia"/>
        </w:rPr>
      </w:pPr>
      <w:r w:rsidRPr="00226205">
        <w:rPr>
          <w:rFonts w:ascii="Times New Roman" w:hAnsi="Times New Roman" w:cs="Times New Roman"/>
        </w:rPr>
        <w:t>A bar graph shows the transfection efficiency after transfection with oe-Smad7. Representative Western blot images and bar graphs quantifying gray values demonstrate the Smad7 protein expression after Smad7 upregulation combined with ATF4 knockdown. A CCK-</w:t>
      </w:r>
      <w:proofErr w:type="gramStart"/>
      <w:r w:rsidRPr="00226205">
        <w:rPr>
          <w:rFonts w:ascii="Times New Roman" w:hAnsi="Times New Roman" w:cs="Times New Roman"/>
        </w:rPr>
        <w:t>8 line</w:t>
      </w:r>
      <w:proofErr w:type="gramEnd"/>
      <w:r w:rsidRPr="00226205">
        <w:rPr>
          <w:rFonts w:ascii="Times New Roman" w:hAnsi="Times New Roman" w:cs="Times New Roman"/>
        </w:rPr>
        <w:t xml:space="preserve"> graph, 3 representative EDU immunofluorescence images, and a bar graph quantifying the percentage of EDU</w:t>
      </w:r>
      <w:r w:rsidRPr="00B70A6B">
        <w:rPr>
          <w:rFonts w:ascii="Times New Roman" w:hAnsi="Times New Roman" w:cs="Times New Roman"/>
          <w:vertAlign w:val="superscript"/>
        </w:rPr>
        <w:t xml:space="preserve">+ </w:t>
      </w:r>
      <w:r w:rsidRPr="00226205">
        <w:rPr>
          <w:rFonts w:ascii="Times New Roman" w:hAnsi="Times New Roman" w:cs="Times New Roman"/>
        </w:rPr>
        <w:t>positive cells illustrate the proliferation of L929 cells after Smad7 upregulation combined with ATF4 knockdown. Additionally, 3 representative TUNEL immunofluorescence images, a bar graph quantifying the percentage of TUNEL</w:t>
      </w:r>
      <w:r w:rsidRPr="00B70A6B">
        <w:rPr>
          <w:rFonts w:ascii="Times New Roman" w:hAnsi="Times New Roman" w:cs="Times New Roman"/>
          <w:vertAlign w:val="superscript"/>
        </w:rPr>
        <w:t>+</w:t>
      </w:r>
      <w:r w:rsidRPr="00226205">
        <w:rPr>
          <w:rFonts w:ascii="Times New Roman" w:hAnsi="Times New Roman" w:cs="Times New Roman"/>
        </w:rPr>
        <w:t xml:space="preserve"> positive cells, representative Western blot images, and bar graphs quantifying gray values show the expression levels of PCNA and Caspase-3 proteins to evaluate the apoptosis of L929 cells after Smad7 upregulation combined with ATF4 knockdown.</w:t>
      </w:r>
    </w:p>
    <w:p w14:paraId="3AC0D731" w14:textId="77777777" w:rsidR="007E3F20" w:rsidRDefault="007E3F20">
      <w:pPr>
        <w:rPr>
          <w:rFonts w:ascii="Times New Roman" w:hAnsi="Times New Roman" w:cs="Times New Roman"/>
        </w:rPr>
      </w:pPr>
    </w:p>
    <w:sectPr w:rsidR="007E3F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4028" w14:textId="77777777" w:rsidR="00F60D86" w:rsidRDefault="00F60D86" w:rsidP="00FA01D1">
      <w:r>
        <w:separator/>
      </w:r>
    </w:p>
  </w:endnote>
  <w:endnote w:type="continuationSeparator" w:id="0">
    <w:p w14:paraId="362CDAD2" w14:textId="77777777" w:rsidR="00F60D86" w:rsidRDefault="00F60D86" w:rsidP="00FA0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DB41" w14:textId="77777777" w:rsidR="00F60D86" w:rsidRDefault="00F60D86" w:rsidP="00FA01D1">
      <w:r>
        <w:separator/>
      </w:r>
    </w:p>
  </w:footnote>
  <w:footnote w:type="continuationSeparator" w:id="0">
    <w:p w14:paraId="3837DCA4" w14:textId="77777777" w:rsidR="00F60D86" w:rsidRDefault="00F60D86" w:rsidP="00FA0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F20"/>
    <w:rsid w:val="000A78E9"/>
    <w:rsid w:val="00100E66"/>
    <w:rsid w:val="00226205"/>
    <w:rsid w:val="002C2BD7"/>
    <w:rsid w:val="003B2932"/>
    <w:rsid w:val="00465046"/>
    <w:rsid w:val="005026AF"/>
    <w:rsid w:val="007E3F20"/>
    <w:rsid w:val="00B70A6B"/>
    <w:rsid w:val="00D44E6A"/>
    <w:rsid w:val="00D51B44"/>
    <w:rsid w:val="00DF69CB"/>
    <w:rsid w:val="00E876EF"/>
    <w:rsid w:val="00F60D86"/>
    <w:rsid w:val="00FA01D1"/>
    <w:rsid w:val="030B47EA"/>
    <w:rsid w:val="060B1AE7"/>
    <w:rsid w:val="0C605BA6"/>
    <w:rsid w:val="0DE34399"/>
    <w:rsid w:val="105C6685"/>
    <w:rsid w:val="18C04DBD"/>
    <w:rsid w:val="19F74163"/>
    <w:rsid w:val="1A197394"/>
    <w:rsid w:val="1A972989"/>
    <w:rsid w:val="1C183DA8"/>
    <w:rsid w:val="1C9C6787"/>
    <w:rsid w:val="1EF0174A"/>
    <w:rsid w:val="20B9542D"/>
    <w:rsid w:val="2584425C"/>
    <w:rsid w:val="259D0E7A"/>
    <w:rsid w:val="2B9D59C3"/>
    <w:rsid w:val="361A2073"/>
    <w:rsid w:val="3B1654FE"/>
    <w:rsid w:val="3B5450E8"/>
    <w:rsid w:val="3BFD2E2A"/>
    <w:rsid w:val="3F362C04"/>
    <w:rsid w:val="40880C4C"/>
    <w:rsid w:val="411901D0"/>
    <w:rsid w:val="446E0159"/>
    <w:rsid w:val="5B9C6F02"/>
    <w:rsid w:val="5DDE1A54"/>
    <w:rsid w:val="64416052"/>
    <w:rsid w:val="648A2535"/>
    <w:rsid w:val="6B0C0985"/>
    <w:rsid w:val="6BE4292B"/>
    <w:rsid w:val="6F0B6421"/>
    <w:rsid w:val="731C3968"/>
    <w:rsid w:val="754D1541"/>
    <w:rsid w:val="769F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8D148"/>
  <w15:docId w15:val="{2C28F668-2D85-495C-9630-D6AF1911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A01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A01D1"/>
    <w:rPr>
      <w:kern w:val="2"/>
      <w:sz w:val="18"/>
      <w:szCs w:val="18"/>
    </w:rPr>
  </w:style>
  <w:style w:type="paragraph" w:styleId="a5">
    <w:name w:val="footer"/>
    <w:basedOn w:val="a"/>
    <w:link w:val="a6"/>
    <w:rsid w:val="00FA01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A01D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74264</dc:creator>
  <cp:lastModifiedBy>administrator AA</cp:lastModifiedBy>
  <cp:revision>2</cp:revision>
  <dcterms:created xsi:type="dcterms:W3CDTF">2025-05-13T01:18:00Z</dcterms:created>
  <dcterms:modified xsi:type="dcterms:W3CDTF">2025-08-21T09:05:00Z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eyJoZGlkIjoiMTU3MGNhOWU4MTVhYzM3NWUxZDI3M2ZlMDBkYWM2YjMiLCJ1c2VySWQiOiIxMjE0NzIzNTY5In0=</vt:lpwstr>
  </property>
  <property fmtid="{D5CDD505-2E9C-101B-9397-08002B2CF9AE}" pid="4" name="ICV">
    <vt:lpwstr>F782043BA20046AFB8E7160CDCE988A7_12</vt:lpwstr>
  </property>
</Properties>
</file>