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0C0E" w14:textId="31502711" w:rsidR="00120B43" w:rsidRPr="00110DCC" w:rsidRDefault="00120B43" w:rsidP="00120B43">
      <w:pPr>
        <w:spacing w:line="360" w:lineRule="auto"/>
        <w:jc w:val="center"/>
        <w:rPr>
          <w:rFonts w:ascii="Arial" w:hAnsi="Arial" w:cs="Arial"/>
          <w:sz w:val="28"/>
          <w:szCs w:val="24"/>
          <w:u w:val="single"/>
        </w:rPr>
      </w:pPr>
      <w:bookmarkStart w:id="0" w:name="_Hlk187944987"/>
      <w:r w:rsidRPr="00110DCC">
        <w:rPr>
          <w:rFonts w:ascii="Arial" w:hAnsi="Arial" w:cs="Arial"/>
          <w:sz w:val="28"/>
          <w:szCs w:val="24"/>
          <w:u w:val="single"/>
        </w:rPr>
        <w:t>Supplementary information for ‘Cheats can boost the success of a</w:t>
      </w:r>
      <w:r w:rsidR="0066408C" w:rsidRPr="00110DCC">
        <w:rPr>
          <w:rFonts w:ascii="Arial" w:hAnsi="Arial" w:cs="Arial"/>
          <w:sz w:val="28"/>
          <w:szCs w:val="24"/>
          <w:u w:val="single"/>
        </w:rPr>
        <w:t>n invading population’</w:t>
      </w:r>
    </w:p>
    <w:bookmarkEnd w:id="0"/>
    <w:p w14:paraId="35D257B7" w14:textId="77777777" w:rsidR="00110DCC" w:rsidRPr="00110DCC" w:rsidRDefault="00110DCC" w:rsidP="00110DCC">
      <w:pPr>
        <w:rPr>
          <w:rFonts w:ascii="Arial" w:hAnsi="Arial" w:cs="Arial"/>
        </w:rPr>
      </w:pPr>
      <w:r w:rsidRPr="00110DCC">
        <w:rPr>
          <w:rFonts w:ascii="Arial" w:hAnsi="Arial" w:cs="Arial"/>
        </w:rPr>
        <w:t>Luke Lear</w:t>
      </w:r>
      <w:r w:rsidRPr="00110DCC">
        <w:rPr>
          <w:rFonts w:ascii="Arial" w:hAnsi="Arial" w:cs="Arial"/>
          <w:vertAlign w:val="superscript"/>
        </w:rPr>
        <w:t>1</w:t>
      </w:r>
      <w:r w:rsidRPr="00110DCC">
        <w:rPr>
          <w:rFonts w:ascii="Arial" w:hAnsi="Arial" w:cs="Arial"/>
        </w:rPr>
        <w:t>*, Angus Buckling</w:t>
      </w:r>
      <w:r w:rsidRPr="00110DCC">
        <w:rPr>
          <w:rFonts w:ascii="Arial" w:hAnsi="Arial" w:cs="Arial"/>
          <w:vertAlign w:val="superscript"/>
        </w:rPr>
        <w:t xml:space="preserve">1 </w:t>
      </w:r>
      <w:r w:rsidRPr="00110DCC">
        <w:rPr>
          <w:rFonts w:ascii="Arial" w:hAnsi="Arial" w:cs="Arial"/>
        </w:rPr>
        <w:t>and Elze Hesse</w:t>
      </w:r>
      <w:r w:rsidRPr="00110DCC">
        <w:rPr>
          <w:rFonts w:ascii="Arial" w:hAnsi="Arial" w:cs="Arial"/>
          <w:vertAlign w:val="superscript"/>
        </w:rPr>
        <w:t>1</w:t>
      </w:r>
      <w:r w:rsidRPr="00110DCC">
        <w:rPr>
          <w:rFonts w:ascii="Arial" w:hAnsi="Arial" w:cs="Arial"/>
        </w:rPr>
        <w:t>.</w:t>
      </w:r>
    </w:p>
    <w:p w14:paraId="65B6F888" w14:textId="77777777" w:rsidR="00110DCC" w:rsidRPr="00110DCC" w:rsidRDefault="00110DCC" w:rsidP="00110DCC">
      <w:pPr>
        <w:rPr>
          <w:rFonts w:ascii="Arial" w:hAnsi="Arial" w:cs="Arial"/>
        </w:rPr>
      </w:pPr>
      <w:r w:rsidRPr="00110DCC">
        <w:rPr>
          <w:rFonts w:ascii="Arial" w:hAnsi="Arial" w:cs="Arial"/>
          <w:vertAlign w:val="superscript"/>
        </w:rPr>
        <w:t>1</w:t>
      </w:r>
      <w:r w:rsidRPr="00110DCC">
        <w:rPr>
          <w:rFonts w:ascii="Arial" w:hAnsi="Arial" w:cs="Arial"/>
        </w:rPr>
        <w:t>Environment and Sustainability Institute, University of Exeter, Penryn, Cornwall, United Kingdom, TR10 9FE</w:t>
      </w:r>
    </w:p>
    <w:p w14:paraId="53C9E2BB" w14:textId="6248FFEA" w:rsidR="00156C68" w:rsidRPr="00110DCC" w:rsidRDefault="00110DCC" w:rsidP="00110DCC">
      <w:pPr>
        <w:rPr>
          <w:rFonts w:ascii="Arial" w:hAnsi="Arial" w:cs="Arial"/>
        </w:rPr>
      </w:pPr>
      <w:r w:rsidRPr="00110DCC">
        <w:rPr>
          <w:rFonts w:ascii="Arial" w:hAnsi="Arial" w:cs="Arial"/>
        </w:rPr>
        <w:t>*Corresponding author; email: L.M.Lear@exeter.ac.uk. Address: Environment and Sustainability Institute, University of Exeter, Penryn, Cornwall, United Kingdom, TR10 9FE</w:t>
      </w:r>
    </w:p>
    <w:p w14:paraId="2953C629" w14:textId="60F3E751" w:rsidR="00110DCC" w:rsidRDefault="00110DCC" w:rsidP="00110DCC">
      <w:pPr>
        <w:rPr>
          <w:rFonts w:ascii="Arial" w:hAnsi="Arial" w:cs="Arial"/>
        </w:rPr>
      </w:pPr>
      <w:r w:rsidRPr="00110DCC">
        <w:rPr>
          <w:rFonts w:ascii="Arial" w:hAnsi="Arial" w:cs="Arial"/>
        </w:rPr>
        <w:t xml:space="preserve">Article published in </w:t>
      </w:r>
      <w:r w:rsidRPr="00110DCC">
        <w:rPr>
          <w:rFonts w:ascii="Arial" w:hAnsi="Arial" w:cs="Arial"/>
        </w:rPr>
        <w:t>Proceedings of the Royal Society B</w:t>
      </w:r>
      <w:r w:rsidRPr="00110DCC">
        <w:rPr>
          <w:rFonts w:ascii="Arial" w:hAnsi="Arial" w:cs="Arial"/>
        </w:rPr>
        <w:t xml:space="preserve"> with DOI </w:t>
      </w:r>
      <w:r w:rsidRPr="00110DCC">
        <w:rPr>
          <w:rFonts w:ascii="Arial" w:hAnsi="Arial" w:cs="Arial"/>
        </w:rPr>
        <w:t>10.1098/rspb.2025</w:t>
      </w:r>
      <w:r w:rsidRPr="00110DCC">
        <w:rPr>
          <w:rFonts w:ascii="Arial" w:hAnsi="Arial" w:cs="Arial"/>
        </w:rPr>
        <w:t>.</w:t>
      </w:r>
      <w:r w:rsidRPr="00110DCC">
        <w:rPr>
          <w:rFonts w:ascii="Arial" w:hAnsi="Arial" w:cs="Arial"/>
        </w:rPr>
        <w:t>2355</w:t>
      </w:r>
    </w:p>
    <w:p w14:paraId="3314C6C1" w14:textId="77777777" w:rsidR="00110DCC" w:rsidRPr="00110DCC" w:rsidRDefault="00110DCC" w:rsidP="00110DCC">
      <w:pPr>
        <w:rPr>
          <w:rFonts w:ascii="Arial" w:hAnsi="Arial" w:cs="Arial"/>
        </w:rPr>
      </w:pPr>
    </w:p>
    <w:p w14:paraId="55D4D05D" w14:textId="3666B9B0" w:rsidR="002E131E" w:rsidRPr="00110DCC" w:rsidRDefault="005A0D9E">
      <w:pPr>
        <w:rPr>
          <w:rFonts w:ascii="Arial" w:hAnsi="Arial" w:cs="Arial"/>
        </w:rPr>
      </w:pPr>
      <w:r w:rsidRPr="00110DCC">
        <w:rPr>
          <w:rFonts w:ascii="Arial" w:hAnsi="Arial" w:cs="Arial"/>
          <w:u w:val="single"/>
        </w:rPr>
        <w:t>Total siderophore and p</w:t>
      </w:r>
      <w:r w:rsidR="002E131E" w:rsidRPr="00110DCC">
        <w:rPr>
          <w:rFonts w:ascii="Arial" w:hAnsi="Arial" w:cs="Arial"/>
          <w:u w:val="single"/>
        </w:rPr>
        <w:t>yoverdine production by the two invading strains and the community.</w:t>
      </w:r>
    </w:p>
    <w:p w14:paraId="1F68A801" w14:textId="723EA59B" w:rsidR="006D2BF1" w:rsidRPr="00110DCC" w:rsidRDefault="006D2BF1" w:rsidP="00110DCC">
      <w:pPr>
        <w:jc w:val="both"/>
        <w:rPr>
          <w:rFonts w:ascii="Arial" w:hAnsi="Arial" w:cs="Arial"/>
        </w:rPr>
      </w:pPr>
      <w:r w:rsidRPr="00110DCC">
        <w:rPr>
          <w:rFonts w:ascii="Arial" w:hAnsi="Arial" w:cs="Arial"/>
        </w:rPr>
        <w:t>To quantify the siderophore production of each of the 7 strains, we carried out liquid</w:t>
      </w:r>
      <w:r w:rsidR="005A0D9E" w:rsidRPr="00110DCC">
        <w:rPr>
          <w:rFonts w:ascii="Arial" w:hAnsi="Arial" w:cs="Arial"/>
        </w:rPr>
        <w:t xml:space="preserve"> Chrome </w:t>
      </w:r>
      <w:proofErr w:type="spellStart"/>
      <w:r w:rsidR="005A0D9E" w:rsidRPr="00110DCC">
        <w:rPr>
          <w:rFonts w:ascii="Arial" w:hAnsi="Arial" w:cs="Arial"/>
        </w:rPr>
        <w:t>Azurol</w:t>
      </w:r>
      <w:proofErr w:type="spellEnd"/>
      <w:r w:rsidR="005A0D9E" w:rsidRPr="00110DCC">
        <w:rPr>
          <w:rFonts w:ascii="Arial" w:hAnsi="Arial" w:cs="Arial"/>
        </w:rPr>
        <w:t xml:space="preserve"> S</w:t>
      </w:r>
      <w:r w:rsidRPr="00110DCC">
        <w:rPr>
          <w:rFonts w:ascii="Arial" w:hAnsi="Arial" w:cs="Arial"/>
        </w:rPr>
        <w:t xml:space="preserve"> </w:t>
      </w:r>
      <w:r w:rsidR="005A0D9E" w:rsidRPr="00110DCC">
        <w:rPr>
          <w:rFonts w:ascii="Arial" w:hAnsi="Arial" w:cs="Arial"/>
        </w:rPr>
        <w:t>(</w:t>
      </w:r>
      <w:r w:rsidRPr="00110DCC">
        <w:rPr>
          <w:rFonts w:ascii="Arial" w:hAnsi="Arial" w:cs="Arial"/>
        </w:rPr>
        <w:t>CAS</w:t>
      </w:r>
      <w:r w:rsidR="005A0D9E" w:rsidRPr="00110DCC">
        <w:rPr>
          <w:rFonts w:ascii="Arial" w:hAnsi="Arial" w:cs="Arial"/>
        </w:rPr>
        <w:t>)</w:t>
      </w:r>
      <w:r w:rsidRPr="00110DCC">
        <w:rPr>
          <w:rFonts w:ascii="Arial" w:hAnsi="Arial" w:cs="Arial"/>
        </w:rPr>
        <w:t xml:space="preserve"> assays</w:t>
      </w:r>
      <w:r w:rsidR="005A0D9E" w:rsidRPr="00110DCC">
        <w:rPr>
          <w:rFonts w:ascii="Arial" w:hAnsi="Arial" w:cs="Arial"/>
        </w:rPr>
        <w:t xml:space="preserve"> </w:t>
      </w:r>
      <w:r w:rsidR="005A0D9E" w:rsidRPr="00110DCC">
        <w:rPr>
          <w:rFonts w:ascii="Arial" w:hAnsi="Arial" w:cs="Arial"/>
        </w:rPr>
        <w:fldChar w:fldCharType="begin"/>
      </w:r>
      <w:r w:rsidR="005A0D9E" w:rsidRPr="00110DCC">
        <w:rPr>
          <w:rFonts w:ascii="Arial" w:hAnsi="Arial" w:cs="Arial"/>
        </w:rPr>
        <w:instrText xml:space="preserve"> ADDIN EN.CITE &lt;EndNote&gt;&lt;Cite&gt;&lt;Author&gt;Schwyn&lt;/Author&gt;&lt;Year&gt;1987&lt;/Year&gt;&lt;RecNum&gt;82&lt;/RecNum&gt;&lt;DisplayText&gt;(Schwyn &amp;amp; Neilands 1987)&lt;/DisplayText&gt;&lt;record&gt;&lt;rec-number&gt;82&lt;/rec-number&gt;&lt;foreign-keys&gt;&lt;key app="EN" db-id="x25df5zzotszt0edvp8xvepn2e2zpvrfedx5" timestamp="1563284836"&gt;82&lt;/key&gt;&lt;/foreign-keys&gt;&lt;ref-type name="Journal Article"&gt;17&lt;/ref-type&gt;&lt;contributors&gt;&lt;authors&gt;&lt;author&gt;Schwyn, Bernhard&lt;/author&gt;&lt;author&gt;Neilands, JB&lt;/author&gt;&lt;/authors&gt;&lt;/contributors&gt;&lt;titles&gt;&lt;title&gt;Universal chemical assay for the detection and determination of siderophores&lt;/title&gt;&lt;secondary-title&gt;Analytical biochemistry&lt;/secondary-title&gt;&lt;/titles&gt;&lt;periodical&gt;&lt;full-title&gt;Analytical biochemistry&lt;/full-title&gt;&lt;/periodical&gt;&lt;pages&gt;47-56&lt;/pages&gt;&lt;volume&gt;160&lt;/volume&gt;&lt;number&gt;1&lt;/number&gt;&lt;dates&gt;&lt;year&gt;1987&lt;/year&gt;&lt;/dates&gt;&lt;isbn&gt;0003-2697&lt;/isbn&gt;&lt;urls&gt;&lt;/urls&gt;&lt;/record&gt;&lt;/Cite&gt;&lt;/EndNote&gt;</w:instrText>
      </w:r>
      <w:r w:rsidR="005A0D9E" w:rsidRPr="00110DCC">
        <w:rPr>
          <w:rFonts w:ascii="Arial" w:hAnsi="Arial" w:cs="Arial"/>
        </w:rPr>
        <w:fldChar w:fldCharType="separate"/>
      </w:r>
      <w:r w:rsidR="005A0D9E" w:rsidRPr="00110DCC">
        <w:rPr>
          <w:rFonts w:ascii="Arial" w:hAnsi="Arial" w:cs="Arial"/>
          <w:noProof/>
        </w:rPr>
        <w:t>(Schwyn &amp; Neilands 1987)</w:t>
      </w:r>
      <w:r w:rsidR="005A0D9E" w:rsidRPr="00110DCC">
        <w:rPr>
          <w:rFonts w:ascii="Arial" w:hAnsi="Arial" w:cs="Arial"/>
        </w:rPr>
        <w:fldChar w:fldCharType="end"/>
      </w:r>
      <w:r w:rsidRPr="00110DCC">
        <w:rPr>
          <w:rFonts w:ascii="Arial" w:hAnsi="Arial" w:cs="Arial"/>
        </w:rPr>
        <w:t xml:space="preserve"> on the cell-free supernatants of each strain grown in isolation</w:t>
      </w:r>
      <w:r w:rsidR="00A719C4" w:rsidRPr="00110DCC">
        <w:rPr>
          <w:rFonts w:ascii="Arial" w:hAnsi="Arial" w:cs="Arial"/>
        </w:rPr>
        <w:t xml:space="preserve"> (Fig. S1A)</w:t>
      </w:r>
      <w:r w:rsidRPr="00110DCC">
        <w:rPr>
          <w:rFonts w:ascii="Arial" w:hAnsi="Arial" w:cs="Arial"/>
        </w:rPr>
        <w:t xml:space="preserve">. To do this, we first grew each strain in 6mL of 1/10th KB medium </w:t>
      </w:r>
      <w:r w:rsidR="00C67401" w:rsidRPr="00110DCC">
        <w:rPr>
          <w:rFonts w:ascii="Arial" w:hAnsi="Arial" w:cs="Arial"/>
        </w:rPr>
        <w:t>for 24 hours</w:t>
      </w:r>
      <w:r w:rsidRPr="00110DCC">
        <w:rPr>
          <w:rFonts w:ascii="Arial" w:hAnsi="Arial" w:cs="Arial"/>
        </w:rPr>
        <w:t xml:space="preserve"> at 28</w:t>
      </w:r>
      <w:r w:rsidRPr="00110DCC">
        <w:rPr>
          <w:rFonts w:ascii="Cambria Math" w:hAnsi="Cambria Math" w:cs="Cambria Math"/>
        </w:rPr>
        <w:t>℃</w:t>
      </w:r>
      <w:r w:rsidRPr="00110DCC">
        <w:rPr>
          <w:rFonts w:ascii="Arial" w:hAnsi="Arial" w:cs="Arial"/>
        </w:rPr>
        <w:t xml:space="preserve">.  We then fully homogenised each culture, </w:t>
      </w:r>
      <w:r w:rsidR="004664FB" w:rsidRPr="00110DCC">
        <w:rPr>
          <w:rFonts w:ascii="Arial" w:hAnsi="Arial" w:cs="Arial"/>
        </w:rPr>
        <w:t xml:space="preserve">before </w:t>
      </w:r>
      <w:r w:rsidRPr="00110DCC">
        <w:rPr>
          <w:rFonts w:ascii="Arial" w:hAnsi="Arial" w:cs="Arial"/>
        </w:rPr>
        <w:t>measur</w:t>
      </w:r>
      <w:r w:rsidR="004664FB" w:rsidRPr="00110DCC">
        <w:rPr>
          <w:rFonts w:ascii="Arial" w:hAnsi="Arial" w:cs="Arial"/>
        </w:rPr>
        <w:t>ing</w:t>
      </w:r>
      <w:r w:rsidRPr="00110DCC">
        <w:rPr>
          <w:rFonts w:ascii="Arial" w:hAnsi="Arial" w:cs="Arial"/>
        </w:rPr>
        <w:t xml:space="preserve"> the OD</w:t>
      </w:r>
      <w:r w:rsidRPr="00110DCC">
        <w:rPr>
          <w:rFonts w:ascii="Arial" w:hAnsi="Arial" w:cs="Arial"/>
          <w:vertAlign w:val="subscript"/>
        </w:rPr>
        <w:t>600</w:t>
      </w:r>
      <w:r w:rsidRPr="00110DCC">
        <w:rPr>
          <w:rFonts w:ascii="Arial" w:hAnsi="Arial" w:cs="Arial"/>
        </w:rPr>
        <w:t xml:space="preserve"> of </w:t>
      </w:r>
      <w:r w:rsidR="004664FB" w:rsidRPr="00110DCC">
        <w:rPr>
          <w:rFonts w:ascii="Arial" w:hAnsi="Arial" w:cs="Arial"/>
        </w:rPr>
        <w:t xml:space="preserve">a </w:t>
      </w:r>
      <w:r w:rsidRPr="00110DCC">
        <w:rPr>
          <w:rFonts w:ascii="Arial" w:hAnsi="Arial" w:cs="Arial"/>
        </w:rPr>
        <w:t xml:space="preserve">200μl </w:t>
      </w:r>
      <w:r w:rsidR="004664FB" w:rsidRPr="00110DCC">
        <w:rPr>
          <w:rFonts w:ascii="Arial" w:hAnsi="Arial" w:cs="Arial"/>
        </w:rPr>
        <w:t xml:space="preserve">sample. Next, we </w:t>
      </w:r>
      <w:r w:rsidRPr="00110DCC">
        <w:rPr>
          <w:rFonts w:ascii="Arial" w:hAnsi="Arial" w:cs="Arial"/>
        </w:rPr>
        <w:t>centrifug</w:t>
      </w:r>
      <w:r w:rsidR="004664FB" w:rsidRPr="00110DCC">
        <w:rPr>
          <w:rFonts w:ascii="Arial" w:hAnsi="Arial" w:cs="Arial"/>
        </w:rPr>
        <w:t>ed</w:t>
      </w:r>
      <w:r w:rsidRPr="00110DCC">
        <w:rPr>
          <w:rFonts w:ascii="Arial" w:hAnsi="Arial" w:cs="Arial"/>
        </w:rPr>
        <w:t xml:space="preserve"> 1mL of each</w:t>
      </w:r>
      <w:r w:rsidR="004664FB" w:rsidRPr="00110DCC">
        <w:rPr>
          <w:rFonts w:ascii="Arial" w:hAnsi="Arial" w:cs="Arial"/>
        </w:rPr>
        <w:t xml:space="preserve"> culture</w:t>
      </w:r>
      <w:r w:rsidRPr="00110DCC">
        <w:rPr>
          <w:rFonts w:ascii="Arial" w:hAnsi="Arial" w:cs="Arial"/>
        </w:rPr>
        <w:t xml:space="preserve"> at </w:t>
      </w:r>
      <w:r w:rsidR="005A0D9E" w:rsidRPr="00110DCC">
        <w:rPr>
          <w:rFonts w:ascii="Arial" w:hAnsi="Arial" w:cs="Arial"/>
        </w:rPr>
        <w:t xml:space="preserve">14.8k rpm </w:t>
      </w:r>
      <w:r w:rsidRPr="00110DCC">
        <w:rPr>
          <w:rFonts w:ascii="Arial" w:hAnsi="Arial" w:cs="Arial"/>
        </w:rPr>
        <w:t xml:space="preserve">for 4 minutes </w:t>
      </w:r>
      <w:r w:rsidR="004664FB" w:rsidRPr="00110DCC">
        <w:rPr>
          <w:rFonts w:ascii="Arial" w:hAnsi="Arial" w:cs="Arial"/>
        </w:rPr>
        <w:t>before</w:t>
      </w:r>
      <w:r w:rsidRPr="00110DCC">
        <w:rPr>
          <w:rFonts w:ascii="Arial" w:hAnsi="Arial" w:cs="Arial"/>
        </w:rPr>
        <w:t xml:space="preserve"> mixing 100μl of the supernatant at a 1:1 ratio with CAS solution. Siderophore production was then estimated using: (1 − (Ai/Aref))/(OD</w:t>
      </w:r>
      <w:r w:rsidRPr="00110DCC">
        <w:rPr>
          <w:rFonts w:ascii="Arial" w:hAnsi="Arial" w:cs="Arial"/>
          <w:vertAlign w:val="subscript"/>
        </w:rPr>
        <w:t>600</w:t>
      </w:r>
      <w:r w:rsidRPr="00110DCC">
        <w:rPr>
          <w:rFonts w:ascii="Arial" w:hAnsi="Arial" w:cs="Arial"/>
        </w:rPr>
        <w:t>)), where OD</w:t>
      </w:r>
      <w:r w:rsidRPr="00110DCC">
        <w:rPr>
          <w:rFonts w:ascii="Arial" w:hAnsi="Arial" w:cs="Arial"/>
          <w:vertAlign w:val="subscript"/>
        </w:rPr>
        <w:t>600</w:t>
      </w:r>
      <w:r w:rsidRPr="00110DCC">
        <w:rPr>
          <w:rFonts w:ascii="Arial" w:hAnsi="Arial" w:cs="Arial"/>
        </w:rPr>
        <w:t xml:space="preserve"> = optical density of</w:t>
      </w:r>
      <w:r w:rsidR="004664FB" w:rsidRPr="00110DCC">
        <w:rPr>
          <w:rFonts w:ascii="Arial" w:hAnsi="Arial" w:cs="Arial"/>
        </w:rPr>
        <w:t xml:space="preserve"> the</w:t>
      </w:r>
      <w:r w:rsidRPr="00110DCC">
        <w:rPr>
          <w:rFonts w:ascii="Arial" w:hAnsi="Arial" w:cs="Arial"/>
        </w:rPr>
        <w:t xml:space="preserve"> pre-centrifuged culture and Ai = absorbance at 630 nm of the assay mixture (culture + CAS) and Aref = absorbance at 630 nm of reference mixture (diluted KB + CAS).</w:t>
      </w:r>
      <w:r w:rsidR="009368C6" w:rsidRPr="00110DCC">
        <w:rPr>
          <w:rFonts w:ascii="Arial" w:hAnsi="Arial" w:cs="Arial"/>
        </w:rPr>
        <w:t xml:space="preserve"> We note that for the CAS assay, </w:t>
      </w:r>
      <w:r w:rsidR="00CA60E2" w:rsidRPr="00110DCC">
        <w:rPr>
          <w:rFonts w:ascii="Arial" w:hAnsi="Arial" w:cs="Arial"/>
        </w:rPr>
        <w:t xml:space="preserve">slight </w:t>
      </w:r>
      <w:r w:rsidR="009368C6" w:rsidRPr="00110DCC">
        <w:rPr>
          <w:rFonts w:ascii="Arial" w:hAnsi="Arial" w:cs="Arial"/>
        </w:rPr>
        <w:t>negative values</w:t>
      </w:r>
      <w:r w:rsidR="00CA60E2" w:rsidRPr="00110DCC">
        <w:rPr>
          <w:rFonts w:ascii="Arial" w:hAnsi="Arial" w:cs="Arial"/>
        </w:rPr>
        <w:t xml:space="preserve"> </w:t>
      </w:r>
      <w:r w:rsidR="00DA37D0" w:rsidRPr="00110DCC">
        <w:rPr>
          <w:rFonts w:ascii="Arial" w:hAnsi="Arial" w:cs="Arial"/>
        </w:rPr>
        <w:t xml:space="preserve">can be found </w:t>
      </w:r>
      <w:r w:rsidR="00CA60E2" w:rsidRPr="00110DCC">
        <w:rPr>
          <w:rFonts w:ascii="Arial" w:hAnsi="Arial" w:cs="Arial"/>
        </w:rPr>
        <w:t xml:space="preserve">when a strain does not produce any iron-binding siderophores </w:t>
      </w:r>
      <w:r w:rsidR="00CA60E2" w:rsidRPr="00110DCC">
        <w:rPr>
          <w:rFonts w:ascii="Arial" w:hAnsi="Arial" w:cs="Arial"/>
        </w:rPr>
        <w:fldChar w:fldCharType="begin"/>
      </w:r>
      <w:r w:rsidR="00CA60E2" w:rsidRPr="00110DCC">
        <w:rPr>
          <w:rFonts w:ascii="Arial" w:hAnsi="Arial" w:cs="Arial"/>
        </w:rPr>
        <w:instrText xml:space="preserve"> ADDIN EN.CITE &lt;EndNote&gt;&lt;Cite&gt;&lt;Author&gt;Hesse&lt;/Author&gt;&lt;Year&gt;2021&lt;/Year&gt;&lt;RecNum&gt;328&lt;/RecNum&gt;&lt;DisplayText&gt;(Hesse&lt;style face="italic"&gt; et al.&lt;/style&gt; 2021)&lt;/DisplayText&gt;&lt;record&gt;&lt;rec-number&gt;328&lt;/rec-number&gt;&lt;foreign-keys&gt;&lt;key app="EN" db-id="x25df5zzotszt0edvp8xvepn2e2zpvrfedx5" timestamp="1722264250"&gt;328&lt;/key&gt;&lt;/foreign-keys&gt;&lt;ref-type name="Journal Article"&gt;17&lt;/ref-type&gt;&lt;contributors&gt;&lt;authors&gt;&lt;author&gt;Hesse, Elze&lt;/author&gt;&lt;author&gt;O&amp;apos;Brien, Siobhan&lt;/author&gt;&lt;author&gt;Luján, Adela M&lt;/author&gt;&lt;author&gt;Sanders, Dirk&lt;/author&gt;&lt;author&gt;Bayer, Florian&lt;/author&gt;&lt;author&gt;van Veen, Eleanor M&lt;/author&gt;&lt;author&gt;Hodgson, Dave J&lt;/author&gt;&lt;author&gt;Buckling, Angus&lt;/author&gt;&lt;/authors&gt;&lt;/contributors&gt;&lt;titles&gt;&lt;title&gt;Stress causes interspecific facilitation within a compost community&lt;/title&gt;&lt;secondary-title&gt;Ecology letters&lt;/secondary-title&gt;&lt;/titles&gt;&lt;periodical&gt;&lt;full-title&gt;Ecology letters&lt;/full-title&gt;&lt;/periodical&gt;&lt;pages&gt;2169-2177&lt;/pages&gt;&lt;volume&gt;24&lt;/volume&gt;&lt;number&gt;10&lt;/number&gt;&lt;dates&gt;&lt;year&gt;2021&lt;/year&gt;&lt;/dates&gt;&lt;isbn&gt;1461-023X&lt;/isbn&gt;&lt;urls&gt;&lt;/urls&gt;&lt;/record&gt;&lt;/Cite&gt;&lt;/EndNote&gt;</w:instrText>
      </w:r>
      <w:r w:rsidR="00CA60E2" w:rsidRPr="00110DCC">
        <w:rPr>
          <w:rFonts w:ascii="Arial" w:hAnsi="Arial" w:cs="Arial"/>
        </w:rPr>
        <w:fldChar w:fldCharType="separate"/>
      </w:r>
      <w:r w:rsidR="00CA60E2" w:rsidRPr="00110DCC">
        <w:rPr>
          <w:rFonts w:ascii="Arial" w:hAnsi="Arial" w:cs="Arial"/>
          <w:noProof/>
        </w:rPr>
        <w:t>(Hesse</w:t>
      </w:r>
      <w:r w:rsidR="00CA60E2" w:rsidRPr="00110DCC">
        <w:rPr>
          <w:rFonts w:ascii="Arial" w:hAnsi="Arial" w:cs="Arial"/>
          <w:i/>
          <w:noProof/>
        </w:rPr>
        <w:t xml:space="preserve"> et al.</w:t>
      </w:r>
      <w:r w:rsidR="00CA60E2" w:rsidRPr="00110DCC">
        <w:rPr>
          <w:rFonts w:ascii="Arial" w:hAnsi="Arial" w:cs="Arial"/>
          <w:noProof/>
        </w:rPr>
        <w:t xml:space="preserve"> 2021)</w:t>
      </w:r>
      <w:r w:rsidR="00CA60E2" w:rsidRPr="00110DCC">
        <w:rPr>
          <w:rFonts w:ascii="Arial" w:hAnsi="Arial" w:cs="Arial"/>
        </w:rPr>
        <w:fldChar w:fldCharType="end"/>
      </w:r>
      <w:r w:rsidR="00CA60E2" w:rsidRPr="00110DCC">
        <w:rPr>
          <w:rFonts w:ascii="Arial" w:hAnsi="Arial" w:cs="Arial"/>
        </w:rPr>
        <w:t>.</w:t>
      </w:r>
      <w:r w:rsidR="009368C6" w:rsidRPr="00110DCC">
        <w:rPr>
          <w:rFonts w:ascii="Arial" w:hAnsi="Arial" w:cs="Arial"/>
        </w:rPr>
        <w:t xml:space="preserve"> </w:t>
      </w:r>
      <w:r w:rsidRPr="00110DCC">
        <w:rPr>
          <w:rFonts w:ascii="Arial" w:hAnsi="Arial" w:cs="Arial"/>
        </w:rPr>
        <w:t xml:space="preserve"> For each of the samples, pyoverdine production was also quantified as described in the main text</w:t>
      </w:r>
      <w:r w:rsidR="00A719C4" w:rsidRPr="00110DCC">
        <w:rPr>
          <w:rFonts w:ascii="Arial" w:hAnsi="Arial" w:cs="Arial"/>
        </w:rPr>
        <w:t xml:space="preserve"> (Fig. S1B)</w:t>
      </w:r>
      <w:r w:rsidRPr="00110DCC">
        <w:rPr>
          <w:rFonts w:ascii="Arial" w:hAnsi="Arial" w:cs="Arial"/>
        </w:rPr>
        <w:t>.</w:t>
      </w:r>
      <w:r w:rsidR="005A0D9E" w:rsidRPr="00110DCC">
        <w:rPr>
          <w:rFonts w:ascii="Arial" w:hAnsi="Arial" w:cs="Arial"/>
        </w:rPr>
        <w:t xml:space="preserve"> Three technical replicates were carried out per strain.</w:t>
      </w:r>
    </w:p>
    <w:p w14:paraId="354608EE" w14:textId="77777777" w:rsidR="00E22403" w:rsidRPr="00110DCC" w:rsidRDefault="00E22403">
      <w:pPr>
        <w:rPr>
          <w:rFonts w:ascii="Arial" w:hAnsi="Arial" w:cs="Arial"/>
        </w:rPr>
      </w:pPr>
    </w:p>
    <w:p w14:paraId="34881732" w14:textId="7C94A1A7" w:rsidR="002E131E" w:rsidRPr="00110DCC" w:rsidRDefault="007712AC">
      <w:pPr>
        <w:rPr>
          <w:rFonts w:ascii="Arial" w:hAnsi="Arial" w:cs="Arial"/>
        </w:rPr>
      </w:pPr>
      <w:r w:rsidRPr="00110DCC">
        <w:rPr>
          <w:rFonts w:ascii="Arial" w:hAnsi="Arial" w:cs="Arial"/>
          <w:noProof/>
          <w14:ligatures w14:val="standardContextual"/>
        </w:rPr>
        <w:drawing>
          <wp:inline distT="0" distB="0" distL="0" distR="0" wp14:anchorId="6D0A6C57" wp14:editId="77165506">
            <wp:extent cx="5731510" cy="2865755"/>
            <wp:effectExtent l="0" t="0" r="2540" b="0"/>
            <wp:docPr id="1230226921" name="Picture 8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26921" name="Picture 8" descr="A graph of a bar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EE39" w14:textId="47D3FDA1" w:rsidR="000A3911" w:rsidRPr="00110DCC" w:rsidRDefault="000A3911" w:rsidP="00110DCC">
      <w:pPr>
        <w:jc w:val="both"/>
        <w:rPr>
          <w:rFonts w:ascii="Arial" w:hAnsi="Arial" w:cs="Arial"/>
        </w:rPr>
      </w:pPr>
      <w:r w:rsidRPr="00110DCC">
        <w:rPr>
          <w:rFonts w:ascii="Arial" w:hAnsi="Arial" w:cs="Arial"/>
          <w:b/>
          <w:bCs/>
        </w:rPr>
        <w:t>Figure S1</w:t>
      </w:r>
      <w:r w:rsidRPr="00110DCC">
        <w:rPr>
          <w:rFonts w:ascii="Arial" w:hAnsi="Arial" w:cs="Arial"/>
        </w:rPr>
        <w:t xml:space="preserve"> </w:t>
      </w:r>
      <w:r w:rsidR="00913FA1" w:rsidRPr="00110DCC">
        <w:rPr>
          <w:rFonts w:ascii="Arial" w:hAnsi="Arial" w:cs="Arial"/>
        </w:rPr>
        <w:t>(A) Total siderophore production (Ai/Aref))/(OD</w:t>
      </w:r>
      <w:r w:rsidR="00913FA1" w:rsidRPr="00110DCC">
        <w:rPr>
          <w:rFonts w:ascii="Arial" w:hAnsi="Arial" w:cs="Arial"/>
          <w:vertAlign w:val="subscript"/>
        </w:rPr>
        <w:t>600</w:t>
      </w:r>
      <w:r w:rsidR="00913FA1" w:rsidRPr="00110DCC">
        <w:rPr>
          <w:rFonts w:ascii="Arial" w:hAnsi="Arial" w:cs="Arial"/>
        </w:rPr>
        <w:t>)) and (B) p</w:t>
      </w:r>
      <w:r w:rsidRPr="00110DCC">
        <w:rPr>
          <w:rFonts w:ascii="Arial" w:hAnsi="Arial" w:cs="Arial"/>
        </w:rPr>
        <w:t>yoverdine production per capita (RFU/OD</w:t>
      </w:r>
      <w:r w:rsidRPr="00110DCC">
        <w:rPr>
          <w:rFonts w:ascii="Arial" w:hAnsi="Arial" w:cs="Arial"/>
          <w:vertAlign w:val="subscript"/>
        </w:rPr>
        <w:t>600</w:t>
      </w:r>
      <w:r w:rsidRPr="00110DCC">
        <w:rPr>
          <w:rFonts w:ascii="Arial" w:hAnsi="Arial" w:cs="Arial"/>
        </w:rPr>
        <w:t xml:space="preserve">) by the </w:t>
      </w:r>
      <w:r w:rsidR="00913FA1" w:rsidRPr="00110DCC">
        <w:rPr>
          <w:rFonts w:ascii="Arial" w:hAnsi="Arial" w:cs="Arial"/>
        </w:rPr>
        <w:t>seven strains used. The t</w:t>
      </w:r>
      <w:r w:rsidRPr="00110DCC">
        <w:rPr>
          <w:rFonts w:ascii="Arial" w:hAnsi="Arial" w:cs="Arial"/>
        </w:rPr>
        <w:t xml:space="preserve">wo invading strains – </w:t>
      </w:r>
      <w:r w:rsidR="00C67401" w:rsidRPr="00110DCC">
        <w:rPr>
          <w:rFonts w:ascii="Arial" w:hAnsi="Arial" w:cs="Arial"/>
        </w:rPr>
        <w:t xml:space="preserve">a pyoverdine producing strain and </w:t>
      </w:r>
      <w:r w:rsidRPr="00110DCC">
        <w:rPr>
          <w:rFonts w:ascii="Arial" w:hAnsi="Arial" w:cs="Arial"/>
        </w:rPr>
        <w:t xml:space="preserve">a non-producing cheat strain of </w:t>
      </w:r>
      <w:r w:rsidRPr="00110DCC">
        <w:rPr>
          <w:rFonts w:ascii="Arial" w:hAnsi="Arial" w:cs="Arial"/>
          <w:i/>
          <w:iCs/>
        </w:rPr>
        <w:t>Pseudomonas aeruginosa</w:t>
      </w:r>
      <w:r w:rsidR="008A06C7" w:rsidRPr="00110DCC">
        <w:rPr>
          <w:rFonts w:ascii="Arial" w:hAnsi="Arial" w:cs="Arial"/>
        </w:rPr>
        <w:t xml:space="preserve"> </w:t>
      </w:r>
      <w:r w:rsidR="00C67401" w:rsidRPr="00110DCC">
        <w:rPr>
          <w:rFonts w:ascii="Arial" w:hAnsi="Arial" w:cs="Arial"/>
        </w:rPr>
        <w:t xml:space="preserve">are shown as </w:t>
      </w:r>
      <w:r w:rsidR="00C67401" w:rsidRPr="00110DCC">
        <w:rPr>
          <w:rFonts w:ascii="Arial" w:hAnsi="Arial" w:cs="Arial"/>
        </w:rPr>
        <w:lastRenderedPageBreak/>
        <w:t>‘producer’ and ‘cheat’, respectively</w:t>
      </w:r>
      <w:r w:rsidRPr="00110DCC">
        <w:rPr>
          <w:rFonts w:ascii="Arial" w:hAnsi="Arial" w:cs="Arial"/>
        </w:rPr>
        <w:t>.</w:t>
      </w:r>
      <w:r w:rsidR="00C67401" w:rsidRPr="00110DCC">
        <w:rPr>
          <w:rFonts w:ascii="Arial" w:hAnsi="Arial" w:cs="Arial"/>
        </w:rPr>
        <w:t xml:space="preserve"> Quantification occurred after 24 hours growth in 1/10th KB medium</w:t>
      </w:r>
      <w:r w:rsidR="00F94CEA" w:rsidRPr="00110DCC">
        <w:rPr>
          <w:rFonts w:ascii="Arial" w:hAnsi="Arial" w:cs="Arial"/>
        </w:rPr>
        <w:t xml:space="preserve">. </w:t>
      </w:r>
      <w:r w:rsidR="008A06C7" w:rsidRPr="00110DCC">
        <w:rPr>
          <w:rFonts w:ascii="Arial" w:hAnsi="Arial" w:cs="Arial"/>
        </w:rPr>
        <w:t xml:space="preserve">Circles show </w:t>
      </w:r>
      <w:r w:rsidR="00C67401" w:rsidRPr="00110DCC">
        <w:rPr>
          <w:rFonts w:ascii="Arial" w:hAnsi="Arial" w:cs="Arial"/>
        </w:rPr>
        <w:t>technical</w:t>
      </w:r>
      <w:r w:rsidR="008A06C7" w:rsidRPr="00110DCC">
        <w:rPr>
          <w:rFonts w:ascii="Arial" w:hAnsi="Arial" w:cs="Arial"/>
        </w:rPr>
        <w:t xml:space="preserve"> replicates (n = </w:t>
      </w:r>
      <w:r w:rsidR="00C67401" w:rsidRPr="00110DCC">
        <w:rPr>
          <w:rFonts w:ascii="Arial" w:hAnsi="Arial" w:cs="Arial"/>
        </w:rPr>
        <w:t>3</w:t>
      </w:r>
      <w:r w:rsidR="008A06C7" w:rsidRPr="00110DCC">
        <w:rPr>
          <w:rFonts w:ascii="Arial" w:hAnsi="Arial" w:cs="Arial"/>
        </w:rPr>
        <w:t>)</w:t>
      </w:r>
      <w:r w:rsidR="00F94CEA" w:rsidRPr="00110DCC">
        <w:rPr>
          <w:rFonts w:ascii="Arial" w:hAnsi="Arial" w:cs="Arial"/>
        </w:rPr>
        <w:t>.</w:t>
      </w:r>
    </w:p>
    <w:p w14:paraId="533C9E0B" w14:textId="5E46C49A" w:rsidR="003E7C39" w:rsidRPr="00110DCC" w:rsidRDefault="003E7C39" w:rsidP="00110DCC">
      <w:pPr>
        <w:spacing w:line="278" w:lineRule="auto"/>
        <w:jc w:val="both"/>
        <w:rPr>
          <w:rFonts w:ascii="Arial" w:hAnsi="Arial" w:cs="Arial"/>
        </w:rPr>
      </w:pPr>
    </w:p>
    <w:p w14:paraId="2B779F8B" w14:textId="77777777" w:rsidR="009106EF" w:rsidRPr="00110DCC" w:rsidRDefault="009106EF" w:rsidP="00110DCC">
      <w:pPr>
        <w:spacing w:line="278" w:lineRule="auto"/>
        <w:jc w:val="both"/>
        <w:rPr>
          <w:rFonts w:ascii="Arial" w:hAnsi="Arial" w:cs="Arial"/>
          <w:b/>
          <w:bCs/>
        </w:rPr>
      </w:pPr>
    </w:p>
    <w:p w14:paraId="036B3C1D" w14:textId="77777777" w:rsidR="009106EF" w:rsidRPr="00110DCC" w:rsidRDefault="009106EF" w:rsidP="00110DCC">
      <w:pPr>
        <w:spacing w:line="278" w:lineRule="auto"/>
        <w:jc w:val="both"/>
        <w:rPr>
          <w:rFonts w:ascii="Arial" w:hAnsi="Arial" w:cs="Arial"/>
          <w:b/>
          <w:bCs/>
        </w:rPr>
      </w:pPr>
    </w:p>
    <w:p w14:paraId="1867A70A" w14:textId="6DC594A5" w:rsidR="009106EF" w:rsidRPr="00110DCC" w:rsidRDefault="007712AC" w:rsidP="00110DCC">
      <w:pPr>
        <w:spacing w:line="278" w:lineRule="auto"/>
        <w:jc w:val="both"/>
        <w:rPr>
          <w:rFonts w:ascii="Arial" w:hAnsi="Arial" w:cs="Arial"/>
          <w:b/>
          <w:bCs/>
        </w:rPr>
      </w:pPr>
      <w:r w:rsidRPr="00110DCC"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4FE46771" wp14:editId="128E45BE">
            <wp:extent cx="5731510" cy="3717925"/>
            <wp:effectExtent l="0" t="0" r="2540" b="0"/>
            <wp:docPr id="1993615917" name="Picture 9" descr="A table with numbers and percent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15917" name="Picture 9" descr="A table with numbers and percentag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6DB9" w14:textId="2F430303" w:rsidR="009106EF" w:rsidRPr="00110DCC" w:rsidRDefault="009106EF" w:rsidP="00110DCC">
      <w:pPr>
        <w:spacing w:line="278" w:lineRule="auto"/>
        <w:jc w:val="both"/>
        <w:rPr>
          <w:rFonts w:ascii="Arial" w:hAnsi="Arial" w:cs="Arial"/>
          <w:b/>
          <w:bCs/>
        </w:rPr>
      </w:pPr>
    </w:p>
    <w:p w14:paraId="4F560EE9" w14:textId="72264341" w:rsidR="00A719C4" w:rsidRPr="00110DCC" w:rsidRDefault="00A719C4" w:rsidP="00110DCC">
      <w:pPr>
        <w:spacing w:line="278" w:lineRule="auto"/>
        <w:jc w:val="both"/>
        <w:rPr>
          <w:rFonts w:ascii="Arial" w:hAnsi="Arial" w:cs="Arial"/>
        </w:rPr>
      </w:pPr>
      <w:r w:rsidRPr="00110DCC">
        <w:rPr>
          <w:rFonts w:ascii="Arial" w:hAnsi="Arial" w:cs="Arial"/>
          <w:b/>
          <w:bCs/>
        </w:rPr>
        <w:t>Table S1</w:t>
      </w:r>
      <w:r w:rsidRPr="00110DCC">
        <w:rPr>
          <w:rFonts w:ascii="Arial" w:hAnsi="Arial" w:cs="Arial"/>
        </w:rPr>
        <w:t xml:space="preserve"> Summary table of the pyoverdine and total siderophore production (quantified using a Chrome </w:t>
      </w:r>
      <w:proofErr w:type="spellStart"/>
      <w:r w:rsidRPr="00110DCC">
        <w:rPr>
          <w:rFonts w:ascii="Arial" w:hAnsi="Arial" w:cs="Arial"/>
        </w:rPr>
        <w:t>Azurol</w:t>
      </w:r>
      <w:proofErr w:type="spellEnd"/>
      <w:r w:rsidRPr="00110DCC">
        <w:rPr>
          <w:rFonts w:ascii="Arial" w:hAnsi="Arial" w:cs="Arial"/>
        </w:rPr>
        <w:t xml:space="preserve"> S (CAS) assay) of the</w:t>
      </w:r>
      <w:r w:rsidR="00503FEE" w:rsidRPr="00110DCC">
        <w:rPr>
          <w:rFonts w:ascii="Arial" w:hAnsi="Arial" w:cs="Arial"/>
        </w:rPr>
        <w:t xml:space="preserve"> seven</w:t>
      </w:r>
      <w:r w:rsidRPr="00110DCC">
        <w:rPr>
          <w:rFonts w:ascii="Arial" w:hAnsi="Arial" w:cs="Arial"/>
        </w:rPr>
        <w:t xml:space="preserve"> ancestral strains used</w:t>
      </w:r>
      <w:r w:rsidR="008F3E7F" w:rsidRPr="00110DCC">
        <w:rPr>
          <w:rFonts w:ascii="Arial" w:hAnsi="Arial" w:cs="Arial"/>
        </w:rPr>
        <w:t>, ranked by total siderophore production</w:t>
      </w:r>
      <w:r w:rsidRPr="00110DCC">
        <w:rPr>
          <w:rFonts w:ascii="Arial" w:hAnsi="Arial" w:cs="Arial"/>
        </w:rPr>
        <w:t xml:space="preserve">. The Producer and Cheat are both strains of </w:t>
      </w:r>
      <w:r w:rsidRPr="00110DCC">
        <w:rPr>
          <w:rFonts w:ascii="Arial" w:hAnsi="Arial" w:cs="Arial"/>
          <w:i/>
          <w:iCs/>
        </w:rPr>
        <w:t>Pseudomonas aeruginosa</w:t>
      </w:r>
      <w:r w:rsidRPr="00110DCC">
        <w:rPr>
          <w:rFonts w:ascii="Arial" w:hAnsi="Arial" w:cs="Arial"/>
        </w:rPr>
        <w:t xml:space="preserve">: the </w:t>
      </w:r>
      <w:r w:rsidR="00503FEE" w:rsidRPr="00110DCC">
        <w:rPr>
          <w:rFonts w:ascii="Arial" w:hAnsi="Arial" w:cs="Arial"/>
        </w:rPr>
        <w:t xml:space="preserve">producer is the </w:t>
      </w:r>
      <w:proofErr w:type="gramStart"/>
      <w:r w:rsidR="00503FEE" w:rsidRPr="00110DCC">
        <w:rPr>
          <w:rFonts w:ascii="Arial" w:hAnsi="Arial" w:cs="Arial"/>
        </w:rPr>
        <w:t>wildtype</w:t>
      </w:r>
      <w:proofErr w:type="gramEnd"/>
      <w:r w:rsidR="00503FEE" w:rsidRPr="00110DCC">
        <w:rPr>
          <w:rFonts w:ascii="Arial" w:hAnsi="Arial" w:cs="Arial"/>
        </w:rPr>
        <w:t xml:space="preserve"> and the </w:t>
      </w:r>
      <w:r w:rsidRPr="00110DCC">
        <w:rPr>
          <w:rFonts w:ascii="Arial" w:hAnsi="Arial" w:cs="Arial"/>
        </w:rPr>
        <w:t>cheat is an isogenic siderophore-deficient mutant strain that cannot produce pyoverdine, or the secondary siderophore pyochelin.</w:t>
      </w:r>
      <w:r w:rsidR="004664FB" w:rsidRPr="00110DCC">
        <w:rPr>
          <w:rFonts w:ascii="Arial" w:hAnsi="Arial" w:cs="Arial"/>
        </w:rPr>
        <w:t xml:space="preserve"> Quantification occurred after 24 hours growth in 1/10th KB medium. Standard deviation (SD) is calculated from the three technical replicates.</w:t>
      </w:r>
    </w:p>
    <w:p w14:paraId="33B277CE" w14:textId="77777777" w:rsidR="00A719C4" w:rsidRPr="00110DCC" w:rsidRDefault="00A719C4" w:rsidP="00110DCC">
      <w:pPr>
        <w:spacing w:line="278" w:lineRule="auto"/>
        <w:jc w:val="both"/>
        <w:rPr>
          <w:rFonts w:ascii="Arial" w:hAnsi="Arial" w:cs="Arial"/>
        </w:rPr>
      </w:pPr>
    </w:p>
    <w:p w14:paraId="14638A97" w14:textId="53835798" w:rsidR="00547929" w:rsidRPr="00110DCC" w:rsidRDefault="00F1142E" w:rsidP="00110DCC">
      <w:pPr>
        <w:jc w:val="both"/>
        <w:rPr>
          <w:rFonts w:ascii="Arial" w:hAnsi="Arial" w:cs="Arial"/>
          <w:u w:val="single"/>
        </w:rPr>
      </w:pPr>
      <w:r w:rsidRPr="00110DCC">
        <w:rPr>
          <w:rFonts w:ascii="Arial" w:hAnsi="Arial" w:cs="Arial"/>
          <w:noProof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531C0795" wp14:editId="4C5F66D2">
            <wp:simplePos x="0" y="0"/>
            <wp:positionH relativeFrom="margin">
              <wp:posOffset>-135497</wp:posOffset>
            </wp:positionH>
            <wp:positionV relativeFrom="paragraph">
              <wp:posOffset>367937</wp:posOffset>
            </wp:positionV>
            <wp:extent cx="5979795" cy="3587750"/>
            <wp:effectExtent l="0" t="0" r="1905" b="0"/>
            <wp:wrapTopAndBottom/>
            <wp:docPr id="2031846434" name="Picture 5" descr="A group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46434" name="Picture 5" descr="A group of different colored ba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79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7929" w:rsidRPr="00110DCC">
        <w:rPr>
          <w:rFonts w:ascii="Arial" w:hAnsi="Arial" w:cs="Arial"/>
          <w:u w:val="single"/>
        </w:rPr>
        <w:t xml:space="preserve">Density and composition of the 8-day resident </w:t>
      </w:r>
      <w:proofErr w:type="gramStart"/>
      <w:r w:rsidR="00547929" w:rsidRPr="00110DCC">
        <w:rPr>
          <w:rFonts w:ascii="Arial" w:hAnsi="Arial" w:cs="Arial"/>
          <w:u w:val="single"/>
        </w:rPr>
        <w:t>communities</w:t>
      </w:r>
      <w:proofErr w:type="gramEnd"/>
      <w:r w:rsidR="00547929" w:rsidRPr="00110DCC">
        <w:rPr>
          <w:rFonts w:ascii="Arial" w:hAnsi="Arial" w:cs="Arial"/>
          <w:u w:val="single"/>
        </w:rPr>
        <w:t xml:space="preserve"> pre-invasion.</w:t>
      </w:r>
    </w:p>
    <w:p w14:paraId="3DC7294D" w14:textId="71DC584E" w:rsidR="00120B43" w:rsidRPr="00110DCC" w:rsidRDefault="00120B43" w:rsidP="00110DCC">
      <w:pPr>
        <w:jc w:val="both"/>
        <w:rPr>
          <w:rFonts w:ascii="Arial" w:hAnsi="Arial" w:cs="Arial"/>
        </w:rPr>
      </w:pPr>
      <w:r w:rsidRPr="00110DCC">
        <w:rPr>
          <w:rFonts w:ascii="Arial" w:hAnsi="Arial" w:cs="Arial"/>
          <w:b/>
          <w:bCs/>
        </w:rPr>
        <w:t>Figure S</w:t>
      </w:r>
      <w:r w:rsidR="000A3911" w:rsidRPr="00110DCC">
        <w:rPr>
          <w:rFonts w:ascii="Arial" w:hAnsi="Arial" w:cs="Arial"/>
          <w:b/>
          <w:bCs/>
        </w:rPr>
        <w:t>2</w:t>
      </w:r>
      <w:r w:rsidRPr="00110DCC">
        <w:rPr>
          <w:rFonts w:ascii="Arial" w:hAnsi="Arial" w:cs="Arial"/>
        </w:rPr>
        <w:t xml:space="preserve"> </w:t>
      </w:r>
      <w:r w:rsidR="00547929" w:rsidRPr="00110DCC">
        <w:rPr>
          <w:rFonts w:ascii="Arial" w:hAnsi="Arial" w:cs="Arial"/>
        </w:rPr>
        <w:t>S</w:t>
      </w:r>
      <w:r w:rsidRPr="00110DCC">
        <w:rPr>
          <w:rFonts w:ascii="Arial" w:hAnsi="Arial" w:cs="Arial"/>
        </w:rPr>
        <w:t xml:space="preserve">ummary plots of the density and composition of the </w:t>
      </w:r>
      <w:r w:rsidR="005B569C" w:rsidRPr="00110DCC">
        <w:rPr>
          <w:rFonts w:ascii="Arial" w:hAnsi="Arial" w:cs="Arial"/>
        </w:rPr>
        <w:t>eight-</w:t>
      </w:r>
      <w:r w:rsidRPr="00110DCC">
        <w:rPr>
          <w:rFonts w:ascii="Arial" w:hAnsi="Arial" w:cs="Arial"/>
        </w:rPr>
        <w:t xml:space="preserve">day </w:t>
      </w:r>
      <w:proofErr w:type="gramStart"/>
      <w:r w:rsidRPr="00110DCC">
        <w:rPr>
          <w:rFonts w:ascii="Arial" w:hAnsi="Arial" w:cs="Arial"/>
        </w:rPr>
        <w:t>communities</w:t>
      </w:r>
      <w:proofErr w:type="gramEnd"/>
      <w:r w:rsidRPr="00110DCC">
        <w:rPr>
          <w:rFonts w:ascii="Arial" w:hAnsi="Arial" w:cs="Arial"/>
        </w:rPr>
        <w:t xml:space="preserve"> </w:t>
      </w:r>
      <w:r w:rsidR="00547929" w:rsidRPr="00110DCC">
        <w:rPr>
          <w:rFonts w:ascii="Arial" w:hAnsi="Arial" w:cs="Arial"/>
        </w:rPr>
        <w:t>pre-invasion</w:t>
      </w:r>
      <w:r w:rsidRPr="00110DCC">
        <w:rPr>
          <w:rFonts w:ascii="Arial" w:hAnsi="Arial" w:cs="Arial"/>
        </w:rPr>
        <w:t>.</w:t>
      </w:r>
      <w:r w:rsidR="009F7862" w:rsidRPr="00110DCC">
        <w:rPr>
          <w:rFonts w:ascii="Arial" w:hAnsi="Arial" w:cs="Arial"/>
        </w:rPr>
        <w:t xml:space="preserve"> </w:t>
      </w:r>
      <w:r w:rsidR="00BB487B" w:rsidRPr="00110DCC">
        <w:rPr>
          <w:rFonts w:ascii="Arial" w:hAnsi="Arial" w:cs="Arial"/>
        </w:rPr>
        <w:t xml:space="preserve"> </w:t>
      </w:r>
      <w:r w:rsidR="000B27B8" w:rsidRPr="00110DCC">
        <w:rPr>
          <w:rFonts w:ascii="Arial" w:hAnsi="Arial" w:cs="Arial"/>
        </w:rPr>
        <w:t>The mean</w:t>
      </w:r>
      <w:r w:rsidR="00BB487B" w:rsidRPr="00110DCC">
        <w:rPr>
          <w:rFonts w:ascii="Arial" w:hAnsi="Arial" w:cs="Arial"/>
        </w:rPr>
        <w:t xml:space="preserve"> density </w:t>
      </w:r>
      <w:r w:rsidR="00C751D8" w:rsidRPr="00110DCC">
        <w:rPr>
          <w:rFonts w:ascii="Arial" w:hAnsi="Arial" w:cs="Arial"/>
        </w:rPr>
        <w:t xml:space="preserve">± SD </w:t>
      </w:r>
      <w:r w:rsidR="000B27B8" w:rsidRPr="00110DCC">
        <w:rPr>
          <w:rFonts w:ascii="Arial" w:hAnsi="Arial" w:cs="Arial"/>
        </w:rPr>
        <w:t xml:space="preserve">on day 8 </w:t>
      </w:r>
      <w:r w:rsidR="00BB487B" w:rsidRPr="00110DCC">
        <w:rPr>
          <w:rFonts w:ascii="Arial" w:hAnsi="Arial" w:cs="Arial"/>
        </w:rPr>
        <w:t>of 1</w:t>
      </w:r>
      <w:r w:rsidR="000B27B8" w:rsidRPr="00110DCC">
        <w:rPr>
          <w:rFonts w:ascii="Arial" w:hAnsi="Arial" w:cs="Arial"/>
        </w:rPr>
        <w:t>78.5</w:t>
      </w:r>
      <w:r w:rsidR="00BB487B" w:rsidRPr="00110DCC">
        <w:rPr>
          <w:rFonts w:ascii="Arial" w:hAnsi="Arial" w:cs="Arial"/>
        </w:rPr>
        <w:t xml:space="preserve"> </w:t>
      </w:r>
      <w:r w:rsidR="00C751D8" w:rsidRPr="00110DCC">
        <w:rPr>
          <w:rFonts w:ascii="Arial" w:hAnsi="Arial" w:cs="Arial"/>
        </w:rPr>
        <w:t xml:space="preserve">± 39.2 </w:t>
      </w:r>
      <w:r w:rsidR="00BB487B" w:rsidRPr="00110DCC">
        <w:rPr>
          <w:rFonts w:ascii="Arial" w:hAnsi="Arial" w:cs="Arial"/>
        </w:rPr>
        <w:t>CFU per plate</w:t>
      </w:r>
      <w:r w:rsidR="000B27B8" w:rsidRPr="00110DCC">
        <w:rPr>
          <w:rFonts w:ascii="Arial" w:hAnsi="Arial" w:cs="Arial"/>
        </w:rPr>
        <w:t xml:space="preserve"> is equal to 1.43 x 10</w:t>
      </w:r>
      <w:r w:rsidR="000B27B8" w:rsidRPr="00110DCC">
        <w:rPr>
          <w:rFonts w:ascii="Arial" w:hAnsi="Arial" w:cs="Arial"/>
          <w:vertAlign w:val="superscript"/>
        </w:rPr>
        <w:t>9</w:t>
      </w:r>
      <w:r w:rsidR="000B27B8" w:rsidRPr="00110DCC">
        <w:rPr>
          <w:rFonts w:ascii="Arial" w:hAnsi="Arial" w:cs="Arial"/>
        </w:rPr>
        <w:t xml:space="preserve"> per mL – only 8 CFU per plate different to the mean density on day 16 in the non-invaded copper-</w:t>
      </w:r>
      <w:r w:rsidR="004C605C" w:rsidRPr="00110DCC">
        <w:rPr>
          <w:rFonts w:ascii="Arial" w:hAnsi="Arial" w:cs="Arial"/>
        </w:rPr>
        <w:t>absent</w:t>
      </w:r>
      <w:r w:rsidR="000B27B8" w:rsidRPr="00110DCC">
        <w:rPr>
          <w:rFonts w:ascii="Arial" w:hAnsi="Arial" w:cs="Arial"/>
        </w:rPr>
        <w:t xml:space="preserve"> treatment</w:t>
      </w:r>
      <w:r w:rsidR="00C751D8" w:rsidRPr="00110DCC">
        <w:rPr>
          <w:rFonts w:ascii="Arial" w:hAnsi="Arial" w:cs="Arial"/>
        </w:rPr>
        <w:t xml:space="preserve"> </w:t>
      </w:r>
      <w:r w:rsidR="00503FEE" w:rsidRPr="00110DCC">
        <w:rPr>
          <w:rFonts w:ascii="Arial" w:hAnsi="Arial" w:cs="Arial"/>
        </w:rPr>
        <w:t xml:space="preserve">of </w:t>
      </w:r>
      <w:r w:rsidR="00C751D8" w:rsidRPr="00110DCC">
        <w:rPr>
          <w:rFonts w:ascii="Arial" w:hAnsi="Arial" w:cs="Arial"/>
        </w:rPr>
        <w:t>186.6 ± 80.5.</w:t>
      </w:r>
    </w:p>
    <w:p w14:paraId="72C656B2" w14:textId="3279D299" w:rsidR="006643B1" w:rsidRPr="00110DCC" w:rsidRDefault="006643B1" w:rsidP="00110DCC">
      <w:pPr>
        <w:spacing w:line="278" w:lineRule="auto"/>
        <w:jc w:val="both"/>
        <w:rPr>
          <w:rFonts w:ascii="Arial" w:hAnsi="Arial" w:cs="Arial"/>
        </w:rPr>
      </w:pPr>
      <w:r w:rsidRPr="00110DCC">
        <w:rPr>
          <w:rFonts w:ascii="Arial" w:hAnsi="Arial" w:cs="Arial"/>
        </w:rPr>
        <w:br w:type="page"/>
      </w:r>
    </w:p>
    <w:p w14:paraId="549B82B4" w14:textId="0C95F8AE" w:rsidR="006643B1" w:rsidRPr="00110DCC" w:rsidRDefault="006643B1" w:rsidP="00110DCC">
      <w:pPr>
        <w:spacing w:line="278" w:lineRule="auto"/>
        <w:jc w:val="both"/>
        <w:rPr>
          <w:rFonts w:ascii="Arial" w:hAnsi="Arial" w:cs="Arial"/>
          <w:u w:val="single"/>
        </w:rPr>
      </w:pPr>
      <w:r w:rsidRPr="00110DCC">
        <w:rPr>
          <w:rFonts w:ascii="Arial" w:hAnsi="Arial" w:cs="Arial"/>
          <w:b/>
          <w:noProof/>
          <w:sz w:val="24"/>
          <w:szCs w:val="24"/>
        </w:rPr>
        <w:lastRenderedPageBreak/>
        <w:drawing>
          <wp:inline distT="0" distB="0" distL="0" distR="0" wp14:anchorId="7071F52A" wp14:editId="0ECB2376">
            <wp:extent cx="5731510" cy="2676525"/>
            <wp:effectExtent l="19050" t="19050" r="21590" b="28575"/>
            <wp:docPr id="1397935697" name="Picture 1" descr="A chart of different colored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35697" name="Picture 1" descr="A chart of different colored rectangl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394412" w14:textId="59B5E75D" w:rsidR="003E7C39" w:rsidRPr="00110DCC" w:rsidRDefault="006643B1" w:rsidP="00110DCC">
      <w:pPr>
        <w:spacing w:line="278" w:lineRule="auto"/>
        <w:jc w:val="both"/>
        <w:rPr>
          <w:rFonts w:ascii="Arial" w:hAnsi="Arial" w:cs="Arial"/>
        </w:rPr>
      </w:pPr>
      <w:r w:rsidRPr="00110DCC">
        <w:rPr>
          <w:rFonts w:ascii="Arial" w:hAnsi="Arial" w:cs="Arial"/>
          <w:b/>
          <w:bCs/>
        </w:rPr>
        <w:t>Figure S3</w:t>
      </w:r>
      <w:r w:rsidRPr="00110DCC">
        <w:rPr>
          <w:rFonts w:ascii="Arial" w:hAnsi="Arial" w:cs="Arial"/>
        </w:rPr>
        <w:t xml:space="preserve"> Schematic design used to test the importance of cooperation for the success of an invader. A community of five bacterial species was grown for eight days before being split into one of four invasion treatments (invaded with a siderophore producer, non-producer, 50:50 mix, or no invader) and two environment treatments (copper present or absent), each replicated eight times for a total of 64 microcosms. Samples were taken on day 16 by fully homogenising the cultures and freezing them.</w:t>
      </w:r>
      <w:r w:rsidR="003E7C39" w:rsidRPr="00110DCC">
        <w:rPr>
          <w:rFonts w:ascii="Arial" w:hAnsi="Arial" w:cs="Arial"/>
        </w:rPr>
        <w:br w:type="page"/>
      </w:r>
    </w:p>
    <w:p w14:paraId="3E338282" w14:textId="17F7E5D8" w:rsidR="005D77F1" w:rsidRPr="00110DCC" w:rsidRDefault="005D77F1" w:rsidP="00110DCC">
      <w:pPr>
        <w:jc w:val="both"/>
        <w:rPr>
          <w:rFonts w:ascii="Arial" w:hAnsi="Arial" w:cs="Arial"/>
          <w:u w:val="single"/>
        </w:rPr>
      </w:pPr>
      <w:r w:rsidRPr="00110DCC">
        <w:rPr>
          <w:rFonts w:ascii="Arial" w:hAnsi="Arial" w:cs="Arial"/>
          <w:u w:val="single"/>
        </w:rPr>
        <w:lastRenderedPageBreak/>
        <w:t>Final densities of each resident species shown as their proportion of the community</w:t>
      </w:r>
    </w:p>
    <w:p w14:paraId="588C9BD4" w14:textId="174392D9" w:rsidR="003647B6" w:rsidRPr="00110DCC" w:rsidRDefault="003647B6" w:rsidP="00110DCC">
      <w:pPr>
        <w:jc w:val="both"/>
        <w:rPr>
          <w:rFonts w:ascii="Arial" w:hAnsi="Arial" w:cs="Arial"/>
        </w:rPr>
      </w:pPr>
      <w:r w:rsidRPr="00110DCC">
        <w:rPr>
          <w:rFonts w:ascii="Arial" w:hAnsi="Arial" w:cs="Arial"/>
          <w:noProof/>
          <w14:ligatures w14:val="standardContextual"/>
        </w:rPr>
        <w:drawing>
          <wp:inline distT="0" distB="0" distL="0" distR="0" wp14:anchorId="166559D7" wp14:editId="0156AB5E">
            <wp:extent cx="5731510" cy="3126105"/>
            <wp:effectExtent l="0" t="0" r="2540" b="0"/>
            <wp:docPr id="370883307" name="Picture 2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83307" name="Picture 2" descr="A graph of different colored square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46AD" w14:textId="6EC813D4" w:rsidR="005A0D9E" w:rsidRPr="00110DCC" w:rsidRDefault="003647B6" w:rsidP="00110DCC">
      <w:pPr>
        <w:jc w:val="both"/>
        <w:rPr>
          <w:rFonts w:ascii="Arial" w:hAnsi="Arial" w:cs="Arial"/>
        </w:rPr>
      </w:pPr>
      <w:r w:rsidRPr="00110DCC">
        <w:rPr>
          <w:rFonts w:ascii="Arial" w:hAnsi="Arial" w:cs="Arial"/>
          <w:b/>
          <w:bCs/>
        </w:rPr>
        <w:t>Figure S</w:t>
      </w:r>
      <w:r w:rsidR="006643B1" w:rsidRPr="00110DCC">
        <w:rPr>
          <w:rFonts w:ascii="Arial" w:hAnsi="Arial" w:cs="Arial"/>
          <w:b/>
          <w:bCs/>
        </w:rPr>
        <w:t>4</w:t>
      </w:r>
      <w:r w:rsidRPr="00110DCC">
        <w:rPr>
          <w:rFonts w:ascii="Arial" w:hAnsi="Arial" w:cs="Arial"/>
          <w:b/>
          <w:bCs/>
        </w:rPr>
        <w:t xml:space="preserve"> </w:t>
      </w:r>
      <w:r w:rsidR="005D77F1" w:rsidRPr="00110DCC">
        <w:rPr>
          <w:rFonts w:ascii="Arial" w:hAnsi="Arial" w:cs="Arial"/>
        </w:rPr>
        <w:t xml:space="preserve">The </w:t>
      </w:r>
      <w:r w:rsidR="007657A9" w:rsidRPr="00110DCC">
        <w:rPr>
          <w:rFonts w:ascii="Arial" w:hAnsi="Arial" w:cs="Arial"/>
        </w:rPr>
        <w:t>proportion</w:t>
      </w:r>
      <w:r w:rsidR="005D77F1" w:rsidRPr="00110DCC">
        <w:rPr>
          <w:rFonts w:ascii="Arial" w:hAnsi="Arial" w:cs="Arial"/>
        </w:rPr>
        <w:t xml:space="preserve"> of each of the five resident species within the </w:t>
      </w:r>
      <w:r w:rsidR="007657A9" w:rsidRPr="00110DCC">
        <w:rPr>
          <w:rFonts w:ascii="Arial" w:hAnsi="Arial" w:cs="Arial"/>
        </w:rPr>
        <w:t xml:space="preserve">final </w:t>
      </w:r>
      <w:r w:rsidR="005D77F1" w:rsidRPr="00110DCC">
        <w:rPr>
          <w:rFonts w:ascii="Arial" w:hAnsi="Arial" w:cs="Arial"/>
        </w:rPr>
        <w:t>communities</w:t>
      </w:r>
      <w:r w:rsidR="007657A9" w:rsidRPr="00110DCC">
        <w:rPr>
          <w:rFonts w:ascii="Arial" w:hAnsi="Arial" w:cs="Arial"/>
        </w:rPr>
        <w:t xml:space="preserve"> (species density / total resident density).</w:t>
      </w:r>
      <w:r w:rsidR="005D77F1" w:rsidRPr="00110DCC">
        <w:rPr>
          <w:rFonts w:ascii="Arial" w:hAnsi="Arial" w:cs="Arial"/>
        </w:rPr>
        <w:t xml:space="preserve"> </w:t>
      </w:r>
      <w:r w:rsidR="007657A9" w:rsidRPr="00110DCC">
        <w:rPr>
          <w:rFonts w:ascii="Arial" w:hAnsi="Arial" w:cs="Arial"/>
        </w:rPr>
        <w:t>The raw CFU counts can be found in f</w:t>
      </w:r>
      <w:r w:rsidR="005D77F1" w:rsidRPr="00110DCC">
        <w:rPr>
          <w:rFonts w:ascii="Arial" w:hAnsi="Arial" w:cs="Arial"/>
        </w:rPr>
        <w:t xml:space="preserve">igure </w:t>
      </w:r>
      <w:r w:rsidR="007657A9" w:rsidRPr="00110DCC">
        <w:rPr>
          <w:rFonts w:ascii="Arial" w:hAnsi="Arial" w:cs="Arial"/>
        </w:rPr>
        <w:t>5B of the main text.</w:t>
      </w:r>
      <w:r w:rsidR="005D77F1" w:rsidRPr="00110DCC">
        <w:rPr>
          <w:rFonts w:ascii="Arial" w:hAnsi="Arial" w:cs="Arial"/>
        </w:rPr>
        <w:t xml:space="preserve"> </w:t>
      </w:r>
      <w:r w:rsidR="007657A9" w:rsidRPr="00110DCC">
        <w:rPr>
          <w:rFonts w:ascii="Arial" w:hAnsi="Arial" w:cs="Arial"/>
        </w:rPr>
        <w:t>Invasions either took place in a copper-absent environment (orange boxes and circles) or a copper-rich environment containing 50µM of copper (blue boxes and circles). The circles show individual replicates (n=8).</w:t>
      </w:r>
    </w:p>
    <w:p w14:paraId="1B3012B2" w14:textId="77777777" w:rsidR="005A0D9E" w:rsidRPr="00110DCC" w:rsidRDefault="005A0D9E" w:rsidP="00110DCC">
      <w:pPr>
        <w:jc w:val="both"/>
        <w:rPr>
          <w:rFonts w:ascii="Arial" w:hAnsi="Arial" w:cs="Arial"/>
        </w:rPr>
      </w:pPr>
    </w:p>
    <w:p w14:paraId="488DC062" w14:textId="36581F45" w:rsidR="005B569C" w:rsidRPr="00110DCC" w:rsidRDefault="005B569C" w:rsidP="00110DCC">
      <w:pPr>
        <w:jc w:val="both"/>
        <w:rPr>
          <w:rFonts w:ascii="Arial" w:hAnsi="Arial" w:cs="Arial"/>
          <w:u w:val="single"/>
        </w:rPr>
      </w:pPr>
      <w:r w:rsidRPr="00110DCC">
        <w:rPr>
          <w:rFonts w:ascii="Arial" w:hAnsi="Arial" w:cs="Arial"/>
          <w:u w:val="single"/>
        </w:rPr>
        <w:t>References</w:t>
      </w:r>
    </w:p>
    <w:p w14:paraId="66C28BAD" w14:textId="77777777" w:rsidR="00CA60E2" w:rsidRPr="00110DCC" w:rsidRDefault="005A0D9E" w:rsidP="00110DCC">
      <w:pPr>
        <w:pStyle w:val="EndNoteBibliography"/>
        <w:ind w:left="720" w:hanging="720"/>
        <w:jc w:val="both"/>
        <w:rPr>
          <w:rFonts w:ascii="Arial" w:hAnsi="Arial" w:cs="Arial"/>
        </w:rPr>
      </w:pPr>
      <w:r w:rsidRPr="00110DCC">
        <w:rPr>
          <w:rFonts w:ascii="Arial" w:hAnsi="Arial" w:cs="Arial"/>
        </w:rPr>
        <w:fldChar w:fldCharType="begin"/>
      </w:r>
      <w:r w:rsidRPr="00110DCC">
        <w:rPr>
          <w:rFonts w:ascii="Arial" w:hAnsi="Arial" w:cs="Arial"/>
        </w:rPr>
        <w:instrText xml:space="preserve"> ADDIN EN.REFLIST </w:instrText>
      </w:r>
      <w:r w:rsidRPr="00110DCC">
        <w:rPr>
          <w:rFonts w:ascii="Arial" w:hAnsi="Arial" w:cs="Arial"/>
        </w:rPr>
        <w:fldChar w:fldCharType="separate"/>
      </w:r>
      <w:r w:rsidR="00CA60E2" w:rsidRPr="00110DCC">
        <w:rPr>
          <w:rFonts w:ascii="Arial" w:hAnsi="Arial" w:cs="Arial"/>
        </w:rPr>
        <w:t>1.</w:t>
      </w:r>
    </w:p>
    <w:p w14:paraId="4185DA00" w14:textId="77777777" w:rsidR="00CA60E2" w:rsidRPr="00110DCC" w:rsidRDefault="00CA60E2" w:rsidP="00110DCC">
      <w:pPr>
        <w:pStyle w:val="EndNoteBibliography"/>
        <w:spacing w:after="0"/>
        <w:ind w:left="720" w:hanging="720"/>
        <w:jc w:val="both"/>
        <w:rPr>
          <w:rFonts w:ascii="Arial" w:hAnsi="Arial" w:cs="Arial"/>
        </w:rPr>
      </w:pPr>
      <w:r w:rsidRPr="00110DCC">
        <w:rPr>
          <w:rFonts w:ascii="Arial" w:hAnsi="Arial" w:cs="Arial"/>
        </w:rPr>
        <w:t>Hesse, E., O'Brien, S., Luján, A.M., Sanders, D., Bayer, F., van Veen, E.M.</w:t>
      </w:r>
      <w:r w:rsidRPr="00110DCC">
        <w:rPr>
          <w:rFonts w:ascii="Arial" w:hAnsi="Arial" w:cs="Arial"/>
          <w:i/>
        </w:rPr>
        <w:t xml:space="preserve"> et al.</w:t>
      </w:r>
      <w:r w:rsidRPr="00110DCC">
        <w:rPr>
          <w:rFonts w:ascii="Arial" w:hAnsi="Arial" w:cs="Arial"/>
        </w:rPr>
        <w:t xml:space="preserve"> (2021). Stress causes interspecific facilitation within a compost community. </w:t>
      </w:r>
      <w:r w:rsidRPr="00110DCC">
        <w:rPr>
          <w:rFonts w:ascii="Arial" w:hAnsi="Arial" w:cs="Arial"/>
          <w:i/>
        </w:rPr>
        <w:t>Ecology letters</w:t>
      </w:r>
      <w:r w:rsidRPr="00110DCC">
        <w:rPr>
          <w:rFonts w:ascii="Arial" w:hAnsi="Arial" w:cs="Arial"/>
        </w:rPr>
        <w:t>, 24, 2169-2177.</w:t>
      </w:r>
    </w:p>
    <w:p w14:paraId="429377B5" w14:textId="77777777" w:rsidR="00CA60E2" w:rsidRPr="00110DCC" w:rsidRDefault="00CA60E2" w:rsidP="00110DCC">
      <w:pPr>
        <w:pStyle w:val="EndNoteBibliography"/>
        <w:ind w:left="720" w:hanging="720"/>
        <w:jc w:val="both"/>
        <w:rPr>
          <w:rFonts w:ascii="Arial" w:hAnsi="Arial" w:cs="Arial"/>
        </w:rPr>
      </w:pPr>
      <w:r w:rsidRPr="00110DCC">
        <w:rPr>
          <w:rFonts w:ascii="Arial" w:hAnsi="Arial" w:cs="Arial"/>
        </w:rPr>
        <w:t>2.</w:t>
      </w:r>
    </w:p>
    <w:p w14:paraId="3BC986EF" w14:textId="77777777" w:rsidR="00CA60E2" w:rsidRPr="00110DCC" w:rsidRDefault="00CA60E2" w:rsidP="00110DCC">
      <w:pPr>
        <w:pStyle w:val="EndNoteBibliography"/>
        <w:ind w:left="720" w:hanging="720"/>
        <w:jc w:val="both"/>
        <w:rPr>
          <w:rFonts w:ascii="Arial" w:hAnsi="Arial" w:cs="Arial"/>
        </w:rPr>
      </w:pPr>
      <w:r w:rsidRPr="00110DCC">
        <w:rPr>
          <w:rFonts w:ascii="Arial" w:hAnsi="Arial" w:cs="Arial"/>
        </w:rPr>
        <w:t xml:space="preserve">Schwyn, B. &amp; Neilands, J. (1987). Universal chemical assay for the detection and determination of siderophores. </w:t>
      </w:r>
      <w:r w:rsidRPr="00110DCC">
        <w:rPr>
          <w:rFonts w:ascii="Arial" w:hAnsi="Arial" w:cs="Arial"/>
          <w:i/>
        </w:rPr>
        <w:t>Analytical biochemistry</w:t>
      </w:r>
      <w:r w:rsidRPr="00110DCC">
        <w:rPr>
          <w:rFonts w:ascii="Arial" w:hAnsi="Arial" w:cs="Arial"/>
        </w:rPr>
        <w:t>, 160, 47-56.</w:t>
      </w:r>
    </w:p>
    <w:p w14:paraId="0D074A0F" w14:textId="5428C990" w:rsidR="003647B6" w:rsidRPr="00110DCC" w:rsidRDefault="005A0D9E" w:rsidP="00110DCC">
      <w:pPr>
        <w:jc w:val="both"/>
        <w:rPr>
          <w:rFonts w:ascii="Arial" w:hAnsi="Arial" w:cs="Arial"/>
        </w:rPr>
      </w:pPr>
      <w:r w:rsidRPr="00110DCC">
        <w:rPr>
          <w:rFonts w:ascii="Arial" w:hAnsi="Arial" w:cs="Arial"/>
        </w:rPr>
        <w:fldChar w:fldCharType="end"/>
      </w:r>
    </w:p>
    <w:sectPr w:rsidR="003647B6" w:rsidRPr="00110DCC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D529F" w14:textId="77777777" w:rsidR="007F14F7" w:rsidRDefault="007F14F7" w:rsidP="00AF3C02">
      <w:pPr>
        <w:spacing w:after="0" w:line="240" w:lineRule="auto"/>
      </w:pPr>
      <w:r>
        <w:separator/>
      </w:r>
    </w:p>
  </w:endnote>
  <w:endnote w:type="continuationSeparator" w:id="0">
    <w:p w14:paraId="4A0DA42E" w14:textId="77777777" w:rsidR="007F14F7" w:rsidRDefault="007F14F7" w:rsidP="00AF3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0861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3C8437" w14:textId="787148E7" w:rsidR="00AF3C02" w:rsidRDefault="00AF3C0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1B22D3" w14:textId="77777777" w:rsidR="00AF3C02" w:rsidRDefault="00AF3C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DD6E5" w14:textId="77777777" w:rsidR="007F14F7" w:rsidRDefault="007F14F7" w:rsidP="00AF3C02">
      <w:pPr>
        <w:spacing w:after="0" w:line="240" w:lineRule="auto"/>
      </w:pPr>
      <w:r>
        <w:separator/>
      </w:r>
    </w:p>
  </w:footnote>
  <w:footnote w:type="continuationSeparator" w:id="0">
    <w:p w14:paraId="60DD3BDA" w14:textId="77777777" w:rsidR="007F14F7" w:rsidRDefault="007F14F7" w:rsidP="00AF3C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Ecology Letters&lt;/Style&gt;&lt;LeftDelim&gt;{&lt;/LeftDelim&gt;&lt;RightDelim&gt;}&lt;/RightDelim&gt;&lt;FontName&gt;Aptos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x25df5zzotszt0edvp8xvepn2e2zpvrfedx5&quot;&gt;My EndNote Library lml&lt;record-ids&gt;&lt;item&gt;82&lt;/item&gt;&lt;item&gt;328&lt;/item&gt;&lt;/record-ids&gt;&lt;/item&gt;&lt;/Libraries&gt;"/>
  </w:docVars>
  <w:rsids>
    <w:rsidRoot w:val="00120B43"/>
    <w:rsid w:val="00000F76"/>
    <w:rsid w:val="000A3911"/>
    <w:rsid w:val="000B27B8"/>
    <w:rsid w:val="000B46CC"/>
    <w:rsid w:val="000C7E61"/>
    <w:rsid w:val="00110DCC"/>
    <w:rsid w:val="00120B43"/>
    <w:rsid w:val="001241D2"/>
    <w:rsid w:val="00156C68"/>
    <w:rsid w:val="001C2A35"/>
    <w:rsid w:val="00275BB7"/>
    <w:rsid w:val="002D0538"/>
    <w:rsid w:val="002E131E"/>
    <w:rsid w:val="002E7EF9"/>
    <w:rsid w:val="003647B6"/>
    <w:rsid w:val="003648EC"/>
    <w:rsid w:val="003E7C39"/>
    <w:rsid w:val="004448D4"/>
    <w:rsid w:val="004511F4"/>
    <w:rsid w:val="004664FB"/>
    <w:rsid w:val="0048450B"/>
    <w:rsid w:val="004C605C"/>
    <w:rsid w:val="00503FEE"/>
    <w:rsid w:val="00547929"/>
    <w:rsid w:val="00587980"/>
    <w:rsid w:val="00595556"/>
    <w:rsid w:val="005A0D9E"/>
    <w:rsid w:val="005B569C"/>
    <w:rsid w:val="005D77F1"/>
    <w:rsid w:val="00613C13"/>
    <w:rsid w:val="00615401"/>
    <w:rsid w:val="0066408C"/>
    <w:rsid w:val="006643B1"/>
    <w:rsid w:val="006C1159"/>
    <w:rsid w:val="006D2BF1"/>
    <w:rsid w:val="006E7A0D"/>
    <w:rsid w:val="007657A9"/>
    <w:rsid w:val="007712AC"/>
    <w:rsid w:val="007F14F7"/>
    <w:rsid w:val="008705D0"/>
    <w:rsid w:val="008A06C7"/>
    <w:rsid w:val="008E482F"/>
    <w:rsid w:val="008F3E7F"/>
    <w:rsid w:val="008F67C7"/>
    <w:rsid w:val="009106EF"/>
    <w:rsid w:val="00913FA1"/>
    <w:rsid w:val="009368C6"/>
    <w:rsid w:val="00980238"/>
    <w:rsid w:val="009C3477"/>
    <w:rsid w:val="009F7862"/>
    <w:rsid w:val="00A40CA9"/>
    <w:rsid w:val="00A62E1B"/>
    <w:rsid w:val="00A719C4"/>
    <w:rsid w:val="00AB0520"/>
    <w:rsid w:val="00AE2025"/>
    <w:rsid w:val="00AF3C02"/>
    <w:rsid w:val="00B343B2"/>
    <w:rsid w:val="00BB487B"/>
    <w:rsid w:val="00C00420"/>
    <w:rsid w:val="00C0249B"/>
    <w:rsid w:val="00C43552"/>
    <w:rsid w:val="00C67401"/>
    <w:rsid w:val="00C751D8"/>
    <w:rsid w:val="00CA2B7F"/>
    <w:rsid w:val="00CA351F"/>
    <w:rsid w:val="00CA60E2"/>
    <w:rsid w:val="00DA37D0"/>
    <w:rsid w:val="00DE4384"/>
    <w:rsid w:val="00E22403"/>
    <w:rsid w:val="00F1142E"/>
    <w:rsid w:val="00F47E2C"/>
    <w:rsid w:val="00F94CEA"/>
    <w:rsid w:val="00FE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EA67D"/>
  <w15:chartTrackingRefBased/>
  <w15:docId w15:val="{9AF028BB-1DB3-44AE-82A1-0FEB7615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B4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0B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B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B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B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B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B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B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B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B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0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B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0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B4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0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B4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0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B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3C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3C02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F3C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C02"/>
    <w:rPr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13C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3C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3C13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C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C13"/>
    <w:rPr>
      <w:b/>
      <w:bCs/>
      <w:kern w:val="0"/>
      <w:sz w:val="20"/>
      <w:szCs w:val="20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5A0D9E"/>
    <w:pPr>
      <w:spacing w:after="0"/>
      <w:jc w:val="center"/>
    </w:pPr>
    <w:rPr>
      <w:rFonts w:ascii="Aptos" w:hAnsi="Aptos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5A0D9E"/>
    <w:rPr>
      <w:rFonts w:ascii="Aptos" w:hAnsi="Aptos"/>
      <w:noProof/>
      <w:kern w:val="0"/>
      <w:sz w:val="22"/>
      <w:szCs w:val="22"/>
      <w:lang w:val="en-US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5A0D9E"/>
    <w:pPr>
      <w:spacing w:line="240" w:lineRule="auto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5A0D9E"/>
    <w:rPr>
      <w:rFonts w:ascii="Aptos" w:hAnsi="Aptos"/>
      <w:noProof/>
      <w:kern w:val="0"/>
      <w:sz w:val="22"/>
      <w:szCs w:val="22"/>
      <w:lang w:val="en-US"/>
      <w14:ligatures w14:val="none"/>
    </w:rPr>
  </w:style>
  <w:style w:type="paragraph" w:styleId="Revision">
    <w:name w:val="Revision"/>
    <w:hidden/>
    <w:uiPriority w:val="99"/>
    <w:semiHidden/>
    <w:rsid w:val="006643B1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EDDFF-DE3B-46E6-B4E8-5A604B48A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1008</Words>
  <Characters>5368</Characters>
  <Application>Microsoft Office Word</Application>
  <DocSecurity>0</DocSecurity>
  <Lines>107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Lear, Luke</dc:creator>
  <cp:keywords/>
  <dc:description/>
  <cp:lastModifiedBy>Lear, Luke</cp:lastModifiedBy>
  <cp:revision>3</cp:revision>
  <dcterms:created xsi:type="dcterms:W3CDTF">2025-10-28T17:19:00Z</dcterms:created>
  <dcterms:modified xsi:type="dcterms:W3CDTF">2025-10-28T17:27:00Z</dcterms:modified>
</cp:coreProperties>
</file>