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Seasonal Variability of Low, Mid, and High Level Cloud properties over Southern Western Ghats, India: A LIDAR Ceilometer Analysis</w:t>
      </w:r>
    </w:p>
    <w:p w:rsidR="00000000" w:rsidDel="00000000" w:rsidP="00000000" w:rsidRDefault="00000000" w:rsidRPr="00000000" w14:paraId="00000002">
      <w:pPr>
        <w:spacing w:after="200" w:before="200"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                                   </w:t>
        <w:tab/>
        <w:t xml:space="preserve"> M. Pramitha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K. P. Aathira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1,2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K. Riya Raju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1,2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School of Earth, Environmental and Sustainability Sciences, IISER Thiruvananthapuram, Kerala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School of Physics, IISER Thiruvananthapuram, Kerala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708729" cy="5386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4629" r="40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08729" cy="538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S1: (a) Altitude-time variation of logarithm of parallel polarised attenuated back scatter profile for December 02, 2023 from 00:00h to 23:59h with 1 minute time interval and 4.5 m altitude interval, (b) same as (a) but for cross polarised attenuated backscatter and © the calculated CBH from the corresponding profiles..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