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F180D" w14:textId="6AC3E5BF" w:rsidR="009D4461" w:rsidRDefault="001B21CA" w:rsidP="00220EB7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Supplementary Table 1</w:t>
      </w:r>
      <w:r w:rsidR="00F56647">
        <w:rPr>
          <w:rFonts w:ascii="Times New Roman" w:hAnsi="Times New Roman" w:cs="Times New Roman"/>
        </w:rPr>
        <w:t xml:space="preserve">. </w:t>
      </w:r>
      <w:r w:rsidRPr="001B21CA">
        <w:rPr>
          <w:rFonts w:ascii="Times New Roman" w:hAnsi="Times New Roman" w:cs="Times New Roman"/>
        </w:rPr>
        <w:t>Rationale for Cutoff Values of Evaluated Variables (with PMID)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3"/>
        <w:gridCol w:w="1274"/>
        <w:gridCol w:w="2410"/>
        <w:gridCol w:w="2687"/>
      </w:tblGrid>
      <w:tr w:rsidR="00F56647" w14:paraId="3CF87A9B" w14:textId="77777777" w:rsidTr="00FB1E75">
        <w:tc>
          <w:tcPr>
            <w:tcW w:w="2123" w:type="dxa"/>
          </w:tcPr>
          <w:p w14:paraId="33A7B494" w14:textId="3145F32F" w:rsidR="00F56647" w:rsidRPr="001B21CA" w:rsidRDefault="001B21CA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Variable</w:t>
            </w:r>
          </w:p>
        </w:tc>
        <w:tc>
          <w:tcPr>
            <w:tcW w:w="1274" w:type="dxa"/>
          </w:tcPr>
          <w:p w14:paraId="43C77066" w14:textId="2F854F84" w:rsidR="00F56647" w:rsidRPr="001B21CA" w:rsidRDefault="001B21CA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Cutoff Value</w:t>
            </w:r>
          </w:p>
        </w:tc>
        <w:tc>
          <w:tcPr>
            <w:tcW w:w="2410" w:type="dxa"/>
          </w:tcPr>
          <w:p w14:paraId="552FE2B4" w14:textId="4F788557" w:rsidR="00F56647" w:rsidRPr="001B21CA" w:rsidRDefault="001B21CA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Rationale / Derivation</w:t>
            </w:r>
          </w:p>
        </w:tc>
        <w:tc>
          <w:tcPr>
            <w:tcW w:w="2687" w:type="dxa"/>
          </w:tcPr>
          <w:p w14:paraId="2918F194" w14:textId="573BE750" w:rsidR="00F56647" w:rsidRPr="001B21CA" w:rsidRDefault="001B21CA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Reference (PMID)</w:t>
            </w:r>
          </w:p>
        </w:tc>
      </w:tr>
      <w:tr w:rsidR="00BA71B8" w14:paraId="733CEE11" w14:textId="77777777" w:rsidTr="00FB1E75">
        <w:tc>
          <w:tcPr>
            <w:tcW w:w="2123" w:type="dxa"/>
          </w:tcPr>
          <w:p w14:paraId="3A35079A" w14:textId="53A7C8B3" w:rsidR="00BA71B8" w:rsidRPr="001B21CA" w:rsidRDefault="00BA71B8" w:rsidP="00220EB7">
            <w:pPr>
              <w:widowControl/>
              <w:rPr>
                <w:rFonts w:ascii="Times New Roman" w:hAnsi="Times New Roman" w:cs="Times New Roman" w:hint="eastAsia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Age</w:t>
            </w:r>
          </w:p>
        </w:tc>
        <w:tc>
          <w:tcPr>
            <w:tcW w:w="1274" w:type="dxa"/>
          </w:tcPr>
          <w:p w14:paraId="1F716C6C" w14:textId="0696A6DE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71 years</w:t>
            </w:r>
          </w:p>
        </w:tc>
        <w:tc>
          <w:tcPr>
            <w:tcW w:w="2410" w:type="dxa"/>
          </w:tcPr>
          <w:p w14:paraId="5D593E07" w14:textId="31538C5A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BA71B8">
              <w:rPr>
                <w:rFonts w:ascii="Times New Roman" w:hAnsi="Times New Roman" w:cs="Times New Roman"/>
                <w:sz w:val="18"/>
                <w:szCs w:val="18"/>
              </w:rPr>
              <w:t>Threshold used for higher-risk elderly group in large gastric surgery studies</w:t>
            </w:r>
          </w:p>
        </w:tc>
        <w:tc>
          <w:tcPr>
            <w:tcW w:w="2687" w:type="dxa"/>
          </w:tcPr>
          <w:p w14:paraId="43AD87BB" w14:textId="3033642E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BA71B8">
              <w:rPr>
                <w:rFonts w:ascii="Times New Roman" w:hAnsi="Times New Roman" w:cs="Times New Roman"/>
                <w:sz w:val="18"/>
                <w:szCs w:val="18"/>
              </w:rPr>
              <w:t>Schwarz et al., 1997; PMID: 8989294</w:t>
            </w:r>
          </w:p>
        </w:tc>
      </w:tr>
      <w:tr w:rsidR="00BA71B8" w14:paraId="42CE1573" w14:textId="77777777" w:rsidTr="00FB1E75">
        <w:tc>
          <w:tcPr>
            <w:tcW w:w="2123" w:type="dxa"/>
          </w:tcPr>
          <w:p w14:paraId="77840674" w14:textId="570C4482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BMI (kg/m</w:t>
            </w:r>
            <w:r w:rsidRPr="00BA71B8">
              <w:rPr>
                <w:rFonts w:ascii="Times New Roman" w:hAnsi="Times New Roman" w:cs="Times New Roman"/>
                <w:sz w:val="18"/>
                <w:szCs w:val="18"/>
                <w:vertAlign w:val="superscript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)</w:t>
            </w:r>
          </w:p>
        </w:tc>
        <w:tc>
          <w:tcPr>
            <w:tcW w:w="1274" w:type="dxa"/>
          </w:tcPr>
          <w:p w14:paraId="1EF89943" w14:textId="45AAF9D5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BA71B8">
              <w:rPr>
                <w:rFonts w:ascii="Times New Roman" w:hAnsi="Times New Roman" w:cs="Times New Roman"/>
                <w:sz w:val="18"/>
                <w:szCs w:val="18"/>
              </w:rPr>
              <w:t>&lt;17.5, 17.5–25, ≥25</w:t>
            </w:r>
          </w:p>
        </w:tc>
        <w:tc>
          <w:tcPr>
            <w:tcW w:w="2410" w:type="dxa"/>
          </w:tcPr>
          <w:p w14:paraId="421C6240" w14:textId="1425BC4E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BA71B8">
              <w:rPr>
                <w:rFonts w:ascii="Times New Roman" w:hAnsi="Times New Roman" w:cs="Times New Roman"/>
                <w:sz w:val="18"/>
                <w:szCs w:val="18"/>
              </w:rPr>
              <w:t>WHO and Asia-Pacific criteria for underweight, normal, and obesity</w:t>
            </w:r>
          </w:p>
        </w:tc>
        <w:tc>
          <w:tcPr>
            <w:tcW w:w="2687" w:type="dxa"/>
          </w:tcPr>
          <w:p w14:paraId="55F212F5" w14:textId="0443CADA" w:rsidR="00BA71B8" w:rsidRPr="001B21CA" w:rsidRDefault="00BA71B8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BA71B8">
              <w:rPr>
                <w:rFonts w:ascii="Times New Roman" w:hAnsi="Times New Roman" w:cs="Times New Roman"/>
                <w:sz w:val="18"/>
                <w:szCs w:val="18"/>
              </w:rPr>
              <w:t>WHO Expert Consultation, Lancet 2004; PMID: 14726171</w:t>
            </w:r>
          </w:p>
        </w:tc>
      </w:tr>
      <w:tr w:rsidR="00C93B25" w14:paraId="156BA74D" w14:textId="77777777" w:rsidTr="00FB1E75">
        <w:tc>
          <w:tcPr>
            <w:tcW w:w="2123" w:type="dxa"/>
          </w:tcPr>
          <w:p w14:paraId="17E83CD3" w14:textId="22A5CE1E" w:rsidR="00C93B25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Prognostic Nutritional Index (PNI)</w:t>
            </w:r>
          </w:p>
        </w:tc>
        <w:tc>
          <w:tcPr>
            <w:tcW w:w="1274" w:type="dxa"/>
          </w:tcPr>
          <w:p w14:paraId="43723A9A" w14:textId="4DE123A6" w:rsidR="00C93B25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0-45</w:t>
            </w:r>
          </w:p>
        </w:tc>
        <w:tc>
          <w:tcPr>
            <w:tcW w:w="2410" w:type="dxa"/>
          </w:tcPr>
          <w:p w14:paraId="103EF885" w14:textId="51216D79" w:rsidR="00C93B25" w:rsidRPr="004D4EC2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Meta-analysis</w:t>
            </w:r>
          </w:p>
        </w:tc>
        <w:tc>
          <w:tcPr>
            <w:tcW w:w="2687" w:type="dxa"/>
          </w:tcPr>
          <w:p w14:paraId="5AD0C03C" w14:textId="0A719074" w:rsidR="00C93B25" w:rsidRPr="004D4EC2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Zhang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L</w:t>
            </w: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 et al.,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Front</w:t>
            </w: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18"/>
                <w:szCs w:val="18"/>
              </w:rPr>
              <w:t>Immn</w:t>
            </w:r>
            <w:proofErr w:type="spellEnd"/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 202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, PMID: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37545502</w:t>
            </w:r>
          </w:p>
        </w:tc>
      </w:tr>
      <w:tr w:rsidR="00C93B25" w:rsidRPr="00FB1E75" w14:paraId="702E1278" w14:textId="77777777" w:rsidTr="00FB1E75">
        <w:tc>
          <w:tcPr>
            <w:tcW w:w="2123" w:type="dxa"/>
          </w:tcPr>
          <w:p w14:paraId="79455D4A" w14:textId="3C1E5E74" w:rsidR="00C93B25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Hemoglobin</w:t>
            </w:r>
          </w:p>
        </w:tc>
        <w:tc>
          <w:tcPr>
            <w:tcW w:w="1274" w:type="dxa"/>
          </w:tcPr>
          <w:p w14:paraId="7518C735" w14:textId="741A5B62" w:rsidR="00C93B25" w:rsidRDefault="00C93B25" w:rsidP="00C93B2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11.0 g/dL</w:t>
            </w:r>
          </w:p>
        </w:tc>
        <w:tc>
          <w:tcPr>
            <w:tcW w:w="2410" w:type="dxa"/>
          </w:tcPr>
          <w:p w14:paraId="529F28AD" w14:textId="20D35620" w:rsidR="00C93B25" w:rsidRPr="004D4EC2" w:rsidRDefault="00FB1E75" w:rsidP="00C93B25">
            <w:pPr>
              <w:widowControl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FB1E75">
              <w:rPr>
                <w:rFonts w:ascii="Times New Roman" w:hAnsi="Times New Roman" w:cs="Times New Roman"/>
                <w:sz w:val="18"/>
                <w:szCs w:val="18"/>
              </w:rPr>
              <w:t>Values defined as severe anemia</w:t>
            </w:r>
          </w:p>
        </w:tc>
        <w:tc>
          <w:tcPr>
            <w:tcW w:w="2687" w:type="dxa"/>
          </w:tcPr>
          <w:p w14:paraId="69D92E9D" w14:textId="4E313C1B" w:rsidR="00FB1E75" w:rsidRPr="00FB1E75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FB1E75">
              <w:rPr>
                <w:rFonts w:ascii="Times New Roman" w:hAnsi="Times New Roman" w:cs="Times New Roman"/>
                <w:sz w:val="18"/>
                <w:szCs w:val="18"/>
              </w:rPr>
              <w:t xml:space="preserve">Guideline on </w:t>
            </w:r>
            <w:proofErr w:type="spellStart"/>
            <w:r w:rsidRPr="00FB1E75">
              <w:rPr>
                <w:rFonts w:ascii="Times New Roman" w:hAnsi="Times New Roman" w:cs="Times New Roman"/>
                <w:sz w:val="18"/>
                <w:szCs w:val="18"/>
              </w:rPr>
              <w:t>haemoglobin</w:t>
            </w:r>
            <w:proofErr w:type="spellEnd"/>
            <w:r w:rsidRPr="00FB1E75">
              <w:rPr>
                <w:rFonts w:ascii="Times New Roman" w:hAnsi="Times New Roman" w:cs="Times New Roman"/>
                <w:sz w:val="18"/>
                <w:szCs w:val="18"/>
              </w:rPr>
              <w:t xml:space="preserve"> cutoffs to define </w:t>
            </w:r>
            <w:proofErr w:type="spellStart"/>
            <w:r w:rsidRPr="00FB1E75">
              <w:rPr>
                <w:rFonts w:ascii="Times New Roman" w:hAnsi="Times New Roman" w:cs="Times New Roman"/>
                <w:sz w:val="18"/>
                <w:szCs w:val="18"/>
              </w:rPr>
              <w:t>anaemia</w:t>
            </w:r>
            <w:proofErr w:type="spellEnd"/>
            <w:r w:rsidRPr="00FB1E75">
              <w:rPr>
                <w:rFonts w:ascii="Times New Roman" w:hAnsi="Times New Roman" w:cs="Times New Roman"/>
                <w:sz w:val="18"/>
                <w:szCs w:val="18"/>
              </w:rPr>
              <w:t xml:space="preserve"> in individuals and populations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. WHO 2024; PMID: 38530913 </w:t>
            </w:r>
          </w:p>
          <w:p w14:paraId="3EE84865" w14:textId="77777777" w:rsidR="00C93B25" w:rsidRPr="00FB1E75" w:rsidRDefault="00C93B2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BA71B8" w14:paraId="26D9C34F" w14:textId="77777777" w:rsidTr="00FB1E75">
        <w:tc>
          <w:tcPr>
            <w:tcW w:w="2123" w:type="dxa"/>
          </w:tcPr>
          <w:p w14:paraId="141A4629" w14:textId="33EA4D73" w:rsidR="00BA71B8" w:rsidRPr="001B21CA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Operation time</w:t>
            </w:r>
          </w:p>
        </w:tc>
        <w:tc>
          <w:tcPr>
            <w:tcW w:w="1274" w:type="dxa"/>
          </w:tcPr>
          <w:p w14:paraId="4F02580E" w14:textId="1CC7304D" w:rsidR="00BA71B8" w:rsidRPr="001B21CA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300 min</w:t>
            </w:r>
          </w:p>
        </w:tc>
        <w:tc>
          <w:tcPr>
            <w:tcW w:w="2410" w:type="dxa"/>
          </w:tcPr>
          <w:p w14:paraId="27F8DDAA" w14:textId="1B1ADE6D" w:rsidR="00BA71B8" w:rsidRPr="001B21CA" w:rsidRDefault="004D4EC2" w:rsidP="00220EB7">
            <w:pPr>
              <w:widowControl/>
              <w:rPr>
                <w:rFonts w:ascii="Times New Roman" w:hAnsi="Times New Roman" w:cs="Times New Roman" w:hint="eastAsia"/>
                <w:sz w:val="18"/>
                <w:szCs w:val="18"/>
              </w:rPr>
            </w:pPr>
            <w:r w:rsidRPr="004D4EC2">
              <w:rPr>
                <w:rFonts w:ascii="Times New Roman" w:hAnsi="Times New Roman" w:cs="Times New Roman"/>
                <w:sz w:val="18"/>
                <w:szCs w:val="18"/>
              </w:rPr>
              <w:t>Threshold for increased postoperative complication risk identified in multivariate analysis</w:t>
            </w:r>
          </w:p>
        </w:tc>
        <w:tc>
          <w:tcPr>
            <w:tcW w:w="2687" w:type="dxa"/>
          </w:tcPr>
          <w:p w14:paraId="115C8EAA" w14:textId="21E94C65" w:rsidR="00BA71B8" w:rsidRPr="001B21CA" w:rsidRDefault="004D4EC2" w:rsidP="00220EB7">
            <w:pPr>
              <w:widowControl/>
              <w:rPr>
                <w:rFonts w:ascii="Times New Roman" w:hAnsi="Times New Roman" w:cs="Times New Roman" w:hint="eastAsia"/>
                <w:sz w:val="18"/>
                <w:szCs w:val="18"/>
              </w:rPr>
            </w:pPr>
            <w:proofErr w:type="spellStart"/>
            <w:r w:rsidRPr="004D4EC2">
              <w:rPr>
                <w:rFonts w:ascii="Times New Roman" w:hAnsi="Times New Roman" w:cs="Times New Roman"/>
                <w:sz w:val="18"/>
                <w:szCs w:val="18"/>
              </w:rPr>
              <w:t>Inokuchi</w:t>
            </w:r>
            <w:proofErr w:type="spellEnd"/>
            <w:r w:rsidRPr="004D4EC2">
              <w:rPr>
                <w:rFonts w:ascii="Times New Roman" w:hAnsi="Times New Roman" w:cs="Times New Roman"/>
                <w:sz w:val="18"/>
                <w:szCs w:val="18"/>
              </w:rPr>
              <w:t xml:space="preserve"> M et al., BMC Surg. 2014;14:97; PMID: 25406746</w:t>
            </w:r>
          </w:p>
        </w:tc>
      </w:tr>
      <w:tr w:rsidR="00BA71B8" w14:paraId="12D52B23" w14:textId="77777777" w:rsidTr="00FB1E75">
        <w:tc>
          <w:tcPr>
            <w:tcW w:w="2123" w:type="dxa"/>
          </w:tcPr>
          <w:p w14:paraId="766180D7" w14:textId="17CD713F" w:rsidR="00BA71B8" w:rsidRPr="001B21CA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Blood loss</w:t>
            </w:r>
          </w:p>
        </w:tc>
        <w:tc>
          <w:tcPr>
            <w:tcW w:w="1274" w:type="dxa"/>
          </w:tcPr>
          <w:p w14:paraId="1598BD7B" w14:textId="08F19813" w:rsidR="00BA71B8" w:rsidRPr="001B21CA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40ml</w:t>
            </w:r>
          </w:p>
        </w:tc>
        <w:tc>
          <w:tcPr>
            <w:tcW w:w="2410" w:type="dxa"/>
          </w:tcPr>
          <w:p w14:paraId="1FA9D773" w14:textId="3F5AAB88" w:rsidR="00BA71B8" w:rsidRPr="001B21CA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It corresponded to the median value of complication group in this cohort.</w:t>
            </w:r>
          </w:p>
        </w:tc>
        <w:tc>
          <w:tcPr>
            <w:tcW w:w="2687" w:type="dxa"/>
          </w:tcPr>
          <w:p w14:paraId="51BB205B" w14:textId="14736689" w:rsidR="00BA71B8" w:rsidRPr="004D4EC2" w:rsidRDefault="004D4EC2" w:rsidP="00220EB7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FB1E75" w14:paraId="36DAF0C8" w14:textId="77777777" w:rsidTr="00FB1E75">
        <w:tc>
          <w:tcPr>
            <w:tcW w:w="2123" w:type="dxa"/>
          </w:tcPr>
          <w:p w14:paraId="2FC40ED3" w14:textId="693502E1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Tumor size </w:t>
            </w:r>
          </w:p>
        </w:tc>
        <w:tc>
          <w:tcPr>
            <w:tcW w:w="1274" w:type="dxa"/>
          </w:tcPr>
          <w:p w14:paraId="0F798175" w14:textId="31BC70E5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40 mm</w:t>
            </w:r>
          </w:p>
        </w:tc>
        <w:tc>
          <w:tcPr>
            <w:tcW w:w="2410" w:type="dxa"/>
          </w:tcPr>
          <w:p w14:paraId="43681FF3" w14:textId="21911BD7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It corresponded to the median value of complication group in this cohort.</w:t>
            </w:r>
          </w:p>
        </w:tc>
        <w:tc>
          <w:tcPr>
            <w:tcW w:w="2687" w:type="dxa"/>
          </w:tcPr>
          <w:p w14:paraId="0C9E7AD5" w14:textId="56E5CCF0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-</w:t>
            </w:r>
          </w:p>
        </w:tc>
      </w:tr>
      <w:tr w:rsidR="00FB1E75" w14:paraId="3502D3A7" w14:textId="77777777" w:rsidTr="00FB1E75">
        <w:tc>
          <w:tcPr>
            <w:tcW w:w="2123" w:type="dxa"/>
          </w:tcPr>
          <w:p w14:paraId="0531329B" w14:textId="7A990044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Lymphocyte-to-Monocyte Ratio (LMR)</w:t>
            </w:r>
          </w:p>
        </w:tc>
        <w:tc>
          <w:tcPr>
            <w:tcW w:w="1274" w:type="dxa"/>
          </w:tcPr>
          <w:p w14:paraId="4B6F1B28" w14:textId="5AAC3CD1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4.6</w:t>
            </w:r>
          </w:p>
        </w:tc>
        <w:tc>
          <w:tcPr>
            <w:tcW w:w="2410" w:type="dxa"/>
          </w:tcPr>
          <w:p w14:paraId="0071A5E0" w14:textId="1CA61165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Cohort study, cut-off by outcome</w:t>
            </w:r>
          </w:p>
        </w:tc>
        <w:tc>
          <w:tcPr>
            <w:tcW w:w="2687" w:type="dxa"/>
          </w:tcPr>
          <w:p w14:paraId="29F5FFA6" w14:textId="77777777" w:rsidR="00FB1E75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Takahashi K, J Med Invest 2024, </w:t>
            </w:r>
          </w:p>
          <w:p w14:paraId="22F53BC6" w14:textId="5D5D405F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PMID: 38443797</w:t>
            </w:r>
          </w:p>
        </w:tc>
      </w:tr>
      <w:tr w:rsidR="00FB1E75" w14:paraId="571AF747" w14:textId="77777777" w:rsidTr="00FB1E75">
        <w:tc>
          <w:tcPr>
            <w:tcW w:w="2123" w:type="dxa"/>
          </w:tcPr>
          <w:p w14:paraId="3C71D03D" w14:textId="5D7B57C6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Neutrophil-to-Lymphocyte Ratio (NLR)</w:t>
            </w:r>
          </w:p>
        </w:tc>
        <w:tc>
          <w:tcPr>
            <w:tcW w:w="1274" w:type="dxa"/>
          </w:tcPr>
          <w:p w14:paraId="754E787E" w14:textId="5FE329E9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2.0</w:t>
            </w:r>
          </w:p>
        </w:tc>
        <w:tc>
          <w:tcPr>
            <w:tcW w:w="2410" w:type="dxa"/>
          </w:tcPr>
          <w:p w14:paraId="5E716CC9" w14:textId="28CBA776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ROC analysis, major prognostic marker</w:t>
            </w:r>
          </w:p>
        </w:tc>
        <w:tc>
          <w:tcPr>
            <w:tcW w:w="2687" w:type="dxa"/>
          </w:tcPr>
          <w:p w14:paraId="27E42F36" w14:textId="77777777" w:rsidR="00FB1E75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Zhang LX et al., Int J Surg 2018, </w:t>
            </w:r>
          </w:p>
          <w:p w14:paraId="40675454" w14:textId="77F4002F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PMID: 29969732</w:t>
            </w:r>
          </w:p>
        </w:tc>
      </w:tr>
      <w:tr w:rsidR="00FB1E75" w14:paraId="165CABF9" w14:textId="77777777" w:rsidTr="00FB1E75">
        <w:tc>
          <w:tcPr>
            <w:tcW w:w="2123" w:type="dxa"/>
          </w:tcPr>
          <w:p w14:paraId="23845CDC" w14:textId="3A53DA0B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Platelet-to-Lymphocyte Ratio (PLR)</w:t>
            </w:r>
          </w:p>
        </w:tc>
        <w:tc>
          <w:tcPr>
            <w:tcW w:w="1274" w:type="dxa"/>
          </w:tcPr>
          <w:p w14:paraId="27EB2184" w14:textId="172B9B7F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180 </w:t>
            </w:r>
          </w:p>
        </w:tc>
        <w:tc>
          <w:tcPr>
            <w:tcW w:w="2410" w:type="dxa"/>
          </w:tcPr>
          <w:p w14:paraId="02718446" w14:textId="5211963C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CD2BBC">
              <w:rPr>
                <w:rFonts w:ascii="Times New Roman" w:hAnsi="Times New Roman" w:cs="Times New Roman"/>
                <w:sz w:val="18"/>
                <w:szCs w:val="18"/>
              </w:rPr>
              <w:t>Multivariate Logistic Regression: Cutoff Based on AUC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PLR</w:t>
            </w:r>
          </w:p>
        </w:tc>
        <w:tc>
          <w:tcPr>
            <w:tcW w:w="2687" w:type="dxa"/>
          </w:tcPr>
          <w:p w14:paraId="0856DFB0" w14:textId="77777777" w:rsidR="00FB1E75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 xml:space="preserve">Zhang LX et al., Int J Surg 2018, </w:t>
            </w:r>
          </w:p>
          <w:p w14:paraId="57EC1133" w14:textId="07D01FA2" w:rsidR="00FB1E75" w:rsidRPr="001B21CA" w:rsidRDefault="00FB1E75" w:rsidP="00FB1E75">
            <w:pPr>
              <w:widowControl/>
              <w:rPr>
                <w:rFonts w:ascii="Times New Roman" w:hAnsi="Times New Roman" w:cs="Times New Roman"/>
                <w:sz w:val="18"/>
                <w:szCs w:val="18"/>
              </w:rPr>
            </w:pPr>
            <w:r w:rsidRPr="001B21CA">
              <w:rPr>
                <w:rFonts w:ascii="Times New Roman" w:hAnsi="Times New Roman" w:cs="Times New Roman"/>
                <w:sz w:val="18"/>
                <w:szCs w:val="18"/>
              </w:rPr>
              <w:t>PMID: 29969732</w:t>
            </w:r>
          </w:p>
        </w:tc>
      </w:tr>
    </w:tbl>
    <w:p w14:paraId="69606371" w14:textId="1CC39090" w:rsidR="00F56647" w:rsidRPr="00370332" w:rsidRDefault="00F56647" w:rsidP="00F56647">
      <w:pPr>
        <w:widowControl/>
        <w:rPr>
          <w:rFonts w:ascii="Times New Roman" w:hAnsi="Times New Roman" w:cs="Times New Roman"/>
          <w:sz w:val="16"/>
          <w:szCs w:val="16"/>
        </w:rPr>
      </w:pPr>
    </w:p>
    <w:sectPr w:rsidR="00F56647" w:rsidRPr="00370332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EA2"/>
    <w:rsid w:val="00001702"/>
    <w:rsid w:val="000028F2"/>
    <w:rsid w:val="0003467C"/>
    <w:rsid w:val="0003723D"/>
    <w:rsid w:val="0006164D"/>
    <w:rsid w:val="000B2A3D"/>
    <w:rsid w:val="000C65DB"/>
    <w:rsid w:val="000E0EB9"/>
    <w:rsid w:val="00136ECE"/>
    <w:rsid w:val="00142F5B"/>
    <w:rsid w:val="00192A75"/>
    <w:rsid w:val="00196A06"/>
    <w:rsid w:val="001B21CA"/>
    <w:rsid w:val="001E26B7"/>
    <w:rsid w:val="00220EB7"/>
    <w:rsid w:val="002315BA"/>
    <w:rsid w:val="00252B7C"/>
    <w:rsid w:val="002808BA"/>
    <w:rsid w:val="002A50CD"/>
    <w:rsid w:val="002C3864"/>
    <w:rsid w:val="00333EF9"/>
    <w:rsid w:val="003425CA"/>
    <w:rsid w:val="00347D59"/>
    <w:rsid w:val="00370332"/>
    <w:rsid w:val="003A1028"/>
    <w:rsid w:val="003C1B65"/>
    <w:rsid w:val="003E7245"/>
    <w:rsid w:val="00434C37"/>
    <w:rsid w:val="00446D64"/>
    <w:rsid w:val="00453E21"/>
    <w:rsid w:val="004636A9"/>
    <w:rsid w:val="00463CEC"/>
    <w:rsid w:val="00495A51"/>
    <w:rsid w:val="00496AE4"/>
    <w:rsid w:val="004C70B1"/>
    <w:rsid w:val="004D4EC2"/>
    <w:rsid w:val="004E30D0"/>
    <w:rsid w:val="00543A81"/>
    <w:rsid w:val="0055055D"/>
    <w:rsid w:val="00584344"/>
    <w:rsid w:val="00590655"/>
    <w:rsid w:val="005B3BCE"/>
    <w:rsid w:val="00600A0D"/>
    <w:rsid w:val="0060338C"/>
    <w:rsid w:val="0064528E"/>
    <w:rsid w:val="00672AED"/>
    <w:rsid w:val="006850E2"/>
    <w:rsid w:val="00694ABC"/>
    <w:rsid w:val="006A6B24"/>
    <w:rsid w:val="006B38BE"/>
    <w:rsid w:val="006B420B"/>
    <w:rsid w:val="006C04BD"/>
    <w:rsid w:val="006E3063"/>
    <w:rsid w:val="006E6A10"/>
    <w:rsid w:val="006E6DCA"/>
    <w:rsid w:val="00723321"/>
    <w:rsid w:val="007D39C1"/>
    <w:rsid w:val="007D485F"/>
    <w:rsid w:val="007D609A"/>
    <w:rsid w:val="007F24A6"/>
    <w:rsid w:val="00804F31"/>
    <w:rsid w:val="00835D20"/>
    <w:rsid w:val="00840FA9"/>
    <w:rsid w:val="00842F67"/>
    <w:rsid w:val="0085281A"/>
    <w:rsid w:val="00865A87"/>
    <w:rsid w:val="00877BFA"/>
    <w:rsid w:val="00881175"/>
    <w:rsid w:val="00897803"/>
    <w:rsid w:val="008E6432"/>
    <w:rsid w:val="009461CF"/>
    <w:rsid w:val="00966110"/>
    <w:rsid w:val="009871FE"/>
    <w:rsid w:val="009C4728"/>
    <w:rsid w:val="009D4461"/>
    <w:rsid w:val="009E5B17"/>
    <w:rsid w:val="009F3685"/>
    <w:rsid w:val="00A6037A"/>
    <w:rsid w:val="00A60DBF"/>
    <w:rsid w:val="00A614C5"/>
    <w:rsid w:val="00A615D0"/>
    <w:rsid w:val="00A83470"/>
    <w:rsid w:val="00AC1DF9"/>
    <w:rsid w:val="00AD1B23"/>
    <w:rsid w:val="00AE2794"/>
    <w:rsid w:val="00AE73F5"/>
    <w:rsid w:val="00B04844"/>
    <w:rsid w:val="00B23FC8"/>
    <w:rsid w:val="00B40434"/>
    <w:rsid w:val="00B548D2"/>
    <w:rsid w:val="00B554EC"/>
    <w:rsid w:val="00B60F4C"/>
    <w:rsid w:val="00BA71B8"/>
    <w:rsid w:val="00BF70AF"/>
    <w:rsid w:val="00C23033"/>
    <w:rsid w:val="00C31998"/>
    <w:rsid w:val="00C618BF"/>
    <w:rsid w:val="00C63225"/>
    <w:rsid w:val="00C75F38"/>
    <w:rsid w:val="00C93B25"/>
    <w:rsid w:val="00CD2BBC"/>
    <w:rsid w:val="00CE2E29"/>
    <w:rsid w:val="00CF30D5"/>
    <w:rsid w:val="00D17BA5"/>
    <w:rsid w:val="00D228B3"/>
    <w:rsid w:val="00D33583"/>
    <w:rsid w:val="00D716AE"/>
    <w:rsid w:val="00D75BCC"/>
    <w:rsid w:val="00D91956"/>
    <w:rsid w:val="00DA07C0"/>
    <w:rsid w:val="00DA6C98"/>
    <w:rsid w:val="00DB59C2"/>
    <w:rsid w:val="00DC4273"/>
    <w:rsid w:val="00DF1D29"/>
    <w:rsid w:val="00E069AD"/>
    <w:rsid w:val="00E12075"/>
    <w:rsid w:val="00E30037"/>
    <w:rsid w:val="00E65040"/>
    <w:rsid w:val="00E677DD"/>
    <w:rsid w:val="00E80599"/>
    <w:rsid w:val="00ED54B7"/>
    <w:rsid w:val="00F01267"/>
    <w:rsid w:val="00F03FA9"/>
    <w:rsid w:val="00F31567"/>
    <w:rsid w:val="00F56647"/>
    <w:rsid w:val="00F62F5E"/>
    <w:rsid w:val="00F71F6E"/>
    <w:rsid w:val="00FA120F"/>
    <w:rsid w:val="00FA6EA2"/>
    <w:rsid w:val="00FB1E75"/>
    <w:rsid w:val="00FB5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84FD7E8"/>
  <w15:chartTrackingRefBased/>
  <w15:docId w15:val="{30F41EFB-4339-CD4A-B220-92F20C602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6E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6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6E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6E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E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E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6E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6E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6E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A6E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FA6E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A6E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A6E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A6EA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A6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6E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A6E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6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A6E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6EA2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A6EA2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A6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A6EA2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FA6EA2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FA6E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b">
    <w:name w:val="Grid Table Light"/>
    <w:basedOn w:val="a1"/>
    <w:uiPriority w:val="40"/>
    <w:rsid w:val="00FA6E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4E9354-7694-4E48-903E-C7D271793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217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貝田　佐知子</dc:creator>
  <cp:keywords/>
  <dc:description/>
  <cp:lastModifiedBy>貝田　佐知子</cp:lastModifiedBy>
  <cp:revision>5</cp:revision>
  <cp:lastPrinted>2025-06-16T22:43:00Z</cp:lastPrinted>
  <dcterms:created xsi:type="dcterms:W3CDTF">2025-09-23T11:49:00Z</dcterms:created>
  <dcterms:modified xsi:type="dcterms:W3CDTF">2025-09-25T03:40:00Z</dcterms:modified>
</cp:coreProperties>
</file>