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Entidade(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nome, telefone, morada)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NIF -&gt; nome, telefone, morada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Cliente(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-&gt;Entidade, ID)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NIF -&gt; 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Empregado(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-&gt;Entidade, salário, posiçãoTrabalho, chefe-&gt;Empregado)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NIF - &gt; posiçãoTrabalho, chefe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posiçãoTrabalho -&gt; salário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OrganizadorEventos(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-&gt;Cliente, descontos)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NIF -&gt; descontos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localização)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 -&gt; localização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MarcouSala(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-&gt;OrganizadorEventos,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-&gt;Sala)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Aluguer(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nAluguer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dataEntrega, dataAluguer, NIF-&gt;Cliente, nome-&gt;Sala)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nAluguer -&gt; dataEntrega, dataAluguer, NIF, nome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Instrumento(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qualidade, preçoAluguer, marca-&gt;Marca.nome, nome-&gt;Modelo, nAluguer-&gt;Aluguer)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-&gt; qualidade, marca, nome, nAluguer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marca, nome, qualidade -&gt; preçoAluguer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Modelo(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preçoCompra, material, tipo, marca-&gt;Marca.nome)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 -&gt; preçoCompra, material, tipo, marca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Loja(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localização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capacidade)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localização -&gt; capacidade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EmLoja(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-&gt;Modelo,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localização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-&gt;Loja, stock)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EmpregadosDaLoja(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localização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-&gt;Loja,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-&gt;Empregado)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Todas as relações pertencem à 1ªFN (atributos atómicos) e, à 2ªFN (nenhum elemento não primo é dependente dum subconjunto de chaves candidatas, tendo em conta que, em todos os casos desta base de dados, as chaves candidatas contêm apenas um atributo).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relações Empregado e Instrumento violam a 3ªFN (e, por sua vez, a Forma Normal de Boyce-Codd) pois contêm uma dependência não trivial em que o lado esquerdo não é uma superchave e o lado direito contém elementos não primos (posiçãoTrabalho -&gt; salário | marca, nome, qualidade -&gt; preçoAluguer).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restantes relações pertencem à Forma Normal Boyce-Codd (e, por sua vez, à 3ªFN) pois ou não contêm nenhuma dependência funcional, ou contêm uma dependência funcional cujo lado esquerdo corresponde a uma dependência cujo lado esquerdo é a chave primária.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