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Entidade(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nome, telefone, morada)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NIF -&gt; nome, telefone, morada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Cliente(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-&gt;Entidade, ID)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NIF -&gt; 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Empregado(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-&gt;Entidade, salário, posiçãoTrabalho, chefe-&gt;Empregado)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NIF - &gt; posiçãoTrabalho, chefe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posiçãoTrabalho -&gt; salário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OrganizadorEventos(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-&gt;Cliente, descontos)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NIF -&gt; descontos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localização)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-&gt; localização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MarcouSala(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-&gt;OrganizadorEventos,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-&gt;Sala)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Aluguer(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nAluguer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dataEntrega, dataAluguer, NIF-&gt;Cliente, nome-&gt;Sala)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nAluguer -&gt; dataEntrega, dataAluguer, NIF, nome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Instrumento(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qualidade, preçoAluguer, nome-&gt;Modelo, nAluguer-&gt;Aluguer)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-&gt; qualidade, nome, nAluguer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nome, qualidade -&gt; preçoAluguer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Modelo(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preçoCompra, material, tipo, marca-&gt;Marca.nome)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-&gt; preçoCompra, material, tipo, marca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Loja(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localização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capacidade)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localização -&gt; capacidade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EmLoja(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-&gt;Modelo,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localização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-&gt;Loja, stock)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EmpregadosDaLoja(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localização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-&gt;Loja,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-&gt;Empregado)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Todas as relações pertencem à 1ªFN (atributos atómicos) e, à 2ªFN (nenhum elemento não primo é dependente dum subconjunto de chaves candidatas, tendo em conta que, em todos os casos desta base de dados, as chaves candidatas contêm apenas um atributo).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relações Empregado e Instrumento violam a 3ªFN (e, por sua vez, a Forma Normal de Boyce-Codd) pois contêm uma dependência não trivial em que o lado esquerdo não é uma superchave e o lado direito contém elementos não primos (posiçãoTrabalho -&gt; salário | nome, qualidade -&gt; preçoAluguer).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restantes relações pertencem à Forma Normal Boyce-Codd (e, por sua vez, à 3ªFN) pois ou não contêm nenhuma dependência funcional, ou contêm uma dependência funcional cujo lado esquerdo corresponde a uma dependência cujo lado esquerdo é a chave primária.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