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00"/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F3864"/>
          <w:sz w:val="52"/>
          <w:szCs w:val="52"/>
        </w:rPr>
        <w:t xml:space="preserve">DOCUMENTO DE REQUISITOS</w:t>
      </w:r>
    </w:p>
    <w:p>
      <w:pPr>
        <w:spacing w:after="400"/>
        <w:jc w:val="center"/>
      </w:pPr>
      <w:r>
        <w:rPr>
          <w:rFonts w:ascii="Calibri" w:cs="Calibri" w:eastAsia="Calibri" w:hAnsi="Calibri"/>
          <w:color w:val="2E5395"/>
          <w:sz w:val="36"/>
          <w:szCs w:val="36"/>
        </w:rPr>
        <w:t xml:space="preserve">Módulo Financeiro do CRM</w:t>
      </w:r>
    </w:p>
    <w:p>
      <w:pPr>
        <w:spacing w:after="120"/>
        <w:jc w:val="center"/>
      </w:pPr>
      <w:r>
        <w:rPr>
          <w:rFonts w:ascii="Calibri" w:cs="Calibri" w:eastAsia="Calibri" w:hAnsi="Calibri"/>
          <w:i/>
          <w:iCs/>
          <w:color w:val="595959"/>
          <w:sz w:val="24"/>
          <w:szCs w:val="24"/>
        </w:rPr>
        <w:t xml:space="preserve">Sistema de controle de receitas e despesas para escritório de contabilidade</w:t>
      </w:r>
    </w:p>
    <w:p>
      <w:pPr>
        <w:spacing w:after="80" w:before="3200"/>
        <w:jc w:val="center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Versão 1.0 — Julho de 2026</w:t>
      </w:r>
    </w:p>
    <w:p>
      <w:pPr>
        <w:jc w:val="center"/>
      </w:pPr>
      <w:r>
        <w:rPr>
          <w:rFonts w:ascii="Calibri" w:cs="Calibri" w:eastAsia="Calibri" w:hAnsi="Calibri"/>
          <w:color w:val="808080"/>
          <w:sz w:val="20"/>
          <w:szCs w:val="20"/>
        </w:rPr>
        <w:t xml:space="preserve">Documento de trabalho para a equipe de desenvolvimento</w:t>
      </w:r>
    </w:p>
    <w:p>
      <w:r>
        <w:br w:type="page"/>
      </w:r>
    </w:p>
    <w:p>
      <w:pPr>
        <w:spacing w:after="24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1. Introdução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5395"/>
          <w:sz w:val="26"/>
          <w:szCs w:val="26"/>
        </w:rPr>
        <w:t xml:space="preserve">1.1 Objetivo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Este documento especifica os requisitos funcionais, não funcionais e a modelagem de dados do módulo financeiro a ser incorporado ao CRM do escritório de contabilidade. O módulo tem como finalidade o controle completo de receitas e despesas (contas a receber e contas a pagar), com geração de relatórios gerenciais e dashboards de indicadores.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5395"/>
          <w:sz w:val="26"/>
          <w:szCs w:val="26"/>
        </w:rPr>
        <w:t xml:space="preserve">1.2 Contexto e premissas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O negócio de um escritório de contabilidade é predominantemente recorrente: a maior parte da receita provém de honorários mensais definidos em contrato, complementados por serviços eventuais (aberturas de empresa, alterações contratuais, IRPF, certidões, laudos) e pelo 13º honorário. O desenho do módulo parte dessa premissa: o contrato de honorários é a entidade central do contas a receber, e a automação da geração, cobrança e baixa das mensalidades é o principal gerador de valor do sistema.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Por estar integrado ao CRM, o módulo financeiro compartilha a base de clientes com o módulo comercial, eliminando duplicidade de cadastros e permitindo visão unificada do ciclo de vida do cliente (prospecção → contrato → faturamento → cobrança → churn).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5395"/>
          <w:sz w:val="26"/>
          <w:szCs w:val="26"/>
        </w:rPr>
        <w:t xml:space="preserve">1.3 Público-alvo do documento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Equipe de desenvolvimento (backend, frontend e banco de dados);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Gestores do escritório, para validação de escopo e priorização;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Futuros responsáveis por testes e homologação.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5395"/>
          <w:sz w:val="26"/>
          <w:szCs w:val="26"/>
        </w:rPr>
        <w:t xml:space="preserve">1.4 Convenções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RF-xxx: requisito funcional;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RNF-xxx: requisito não funcional;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Prioridade: MVP (essencial para a primeira versão), F2 (segunda fase) e F3 (evoluções futuras).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2. Visão geral dos módulos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O sistema é organizado em oito blocos funcionais, resumidos a seguir com sua fase de implantação sugerida: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560"/>
        <w:gridCol w:w="12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Descrição resumida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20"/>
                <w:szCs w:val="20"/>
              </w:rPr>
              <w:t xml:space="preserve">Cadastros básicos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Contas bancárias, plano de contas, centros de custo, clientes, fornecedores e tabela de serviços.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20"/>
                <w:szCs w:val="20"/>
              </w:rPr>
              <w:t xml:space="preserve">Contratos e contas a receber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Contratos de honorários, geração automática de mensalidades, honorários eventuais, 13º, reajustes e baixas.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20"/>
                <w:szCs w:val="20"/>
              </w:rPr>
              <w:t xml:space="preserve">Contas a pagar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Lançamentos únicos, parcelados e recorrentes, com anexos e aprovação.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20"/>
                <w:szCs w:val="20"/>
              </w:rPr>
              <w:t xml:space="preserve">Régua de cobrança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Alertas e cobranças automáticas por e-mail/WhatsApp com escalonamento.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20"/>
                <w:szCs w:val="20"/>
              </w:rPr>
              <w:t xml:space="preserve">Movimentações e conciliação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Transferências entre contas, importação de extrato (OFX/CSV) e conciliação bancária.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F2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20"/>
                <w:szCs w:val="20"/>
              </w:rPr>
              <w:t xml:space="preserve">Relatórios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Fluxo de caixa, DRE gerencial, aging, inadimplência, MRR e receita por tipo.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MVP/F2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20"/>
                <w:szCs w:val="20"/>
              </w:rPr>
              <w:t xml:space="preserve">Dashboards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Indicadores consolidados: MRR, churn, inadimplência, saldos e previsão de caixa.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20"/>
                <w:szCs w:val="20"/>
              </w:rPr>
              <w:t xml:space="preserve">Integrações e avançado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Gateway de pagamento (boleto/PIX), NFS-e, portal do cliente, rateios e comissões.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F2/F3</w:t>
            </w:r>
          </w:p>
        </w:tc>
      </w:tr>
    </w:tbl>
    <w:p>
      <w:pPr>
        <w:spacing w:after="120"/>
      </w:pP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3. Requisitos funcionais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5395"/>
          <w:sz w:val="26"/>
          <w:szCs w:val="26"/>
        </w:rPr>
        <w:t xml:space="preserve">3.1 Cadastros básicos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color w:val="595959"/>
          <w:sz w:val="23"/>
          <w:szCs w:val="23"/>
        </w:rPr>
        <w:t xml:space="preserve">Contas bancárias e caixas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/>
          <w:bCs/>
          <w:color w:val="2E5395"/>
          <w:sz w:val="22"/>
          <w:szCs w:val="22"/>
        </w:rPr>
        <w:t xml:space="preserve">RF-001 —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Cadastrar múltiplas contas (corrente, poupança, caixa físico, cartão), com banco, agência, número, saldo inicial e data do saldo inicial.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/>
          <w:bCs/>
          <w:color w:val="2E5395"/>
          <w:sz w:val="22"/>
          <w:szCs w:val="22"/>
        </w:rPr>
        <w:t xml:space="preserve">RF-002 —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Permitir inativar contas sem perda do histórico de movimentações.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color w:val="595959"/>
          <w:sz w:val="23"/>
          <w:szCs w:val="23"/>
        </w:rPr>
        <w:t xml:space="preserve">Plano de contas (categorias)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/>
          <w:bCs/>
          <w:color w:val="2E5395"/>
          <w:sz w:val="22"/>
          <w:szCs w:val="22"/>
        </w:rPr>
        <w:t xml:space="preserve">RF-003 —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Estruturar categorias em hierarquia de pelo menos dois níveis, separadas por natureza (receita/despesa) e por grupo (operacional/não operacional).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/>
          <w:bCs/>
          <w:color w:val="2E5395"/>
          <w:sz w:val="22"/>
          <w:szCs w:val="22"/>
        </w:rPr>
        <w:t xml:space="preserve">RF-004 —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Fornecer plano de contas padrão pré-carregado, editável, contemplando: Receitas (honorários mensais, honorários eventuais, 13º honorário, outras receitas) e Despesas (pessoal e encargos, softwares e licenças, ocupação, impostos, marketing, serviços de terceiros, financeiras).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color w:val="595959"/>
          <w:sz w:val="23"/>
          <w:szCs w:val="23"/>
        </w:rPr>
        <w:t xml:space="preserve">Centros de custo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/>
          <w:bCs/>
          <w:color w:val="2E5395"/>
          <w:sz w:val="22"/>
          <w:szCs w:val="22"/>
        </w:rPr>
        <w:t xml:space="preserve">RF-005 —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Cadastrar centros de custo por departamento (fiscal, contábil, pessoal/DP, legalização, consultoria, administrativo), vinculáveis a lançamentos de receita e despesa.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color w:val="595959"/>
          <w:sz w:val="23"/>
          <w:szCs w:val="23"/>
        </w:rPr>
        <w:t xml:space="preserve">Clientes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/>
          <w:bCs/>
          <w:color w:val="2E5395"/>
          <w:sz w:val="22"/>
          <w:szCs w:val="22"/>
        </w:rPr>
        <w:t xml:space="preserve">RF-006 —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Utilizar o cadastro único de clientes do CRM, estendido com atributos contábeis: regime tributário (Simples Nacional, Lucro Presumido, Lucro Real, MEI), quantidade de funcionários, faixa de faturamento, data de entrada, data de saída e status (ativo, suspenso, encerrado).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/>
          <w:bCs/>
          <w:color w:val="2E5395"/>
          <w:sz w:val="22"/>
          <w:szCs w:val="22"/>
        </w:rPr>
        <w:t xml:space="preserve">RF-007 —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Registrar dia de vencimento preferencial do honorário por cliente.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color w:val="595959"/>
          <w:sz w:val="23"/>
          <w:szCs w:val="23"/>
        </w:rPr>
        <w:t xml:space="preserve">Fornecedores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/>
          <w:bCs/>
          <w:color w:val="2E5395"/>
          <w:sz w:val="22"/>
          <w:szCs w:val="22"/>
        </w:rPr>
        <w:t xml:space="preserve">RF-008 —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Cadastrar fornecedores com razão social/nome, CNPJ/CPF, dados de contato e categoria de despesa padrão.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color w:val="595959"/>
          <w:sz w:val="23"/>
          <w:szCs w:val="23"/>
        </w:rPr>
        <w:t xml:space="preserve">Tabela de serviços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/>
          <w:bCs/>
          <w:color w:val="2E5395"/>
          <w:sz w:val="22"/>
          <w:szCs w:val="22"/>
        </w:rPr>
        <w:t xml:space="preserve">RF-009 —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Manter catálogo de serviços eventuais com nome, descrição, preço sugerido e categoria de receita vinculada (ex.: abertura de empresa, alteração contratual, IRPF, certidões, laudos, BPO financeiro).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5395"/>
          <w:sz w:val="26"/>
          <w:szCs w:val="26"/>
        </w:rPr>
        <w:t xml:space="preserve">3.2 Contratos de honorários e contas a receber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color w:val="595959"/>
          <w:sz w:val="23"/>
          <w:szCs w:val="23"/>
        </w:rPr>
        <w:t xml:space="preserve">Contratos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/>
          <w:bCs/>
          <w:color w:val="2E5395"/>
          <w:sz w:val="22"/>
          <w:szCs w:val="22"/>
        </w:rPr>
        <w:t xml:space="preserve">RF-010 —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Cadastrar contrato de honorários por cliente com: valor mensal, dia de vencimento, data de início, índice de reajuste (IPCA, IGP-M, INPC ou percentual fixo), data-base do reajuste, previsão de 13º honorário (sim/não e regra de cálculo) e serviços incluídos.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/>
          <w:bCs/>
          <w:color w:val="2E5395"/>
          <w:sz w:val="22"/>
          <w:szCs w:val="22"/>
        </w:rPr>
        <w:t xml:space="preserve">RF-011 —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Permitir mais de um contrato ativo por cliente (ex.: honorário contábil + BPO financeiro).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/>
          <w:bCs/>
          <w:color w:val="2E5395"/>
          <w:sz w:val="22"/>
          <w:szCs w:val="22"/>
        </w:rPr>
        <w:t xml:space="preserve">RF-012 —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Registrar suspensão e encerramento de contrato com data e motivo, cancelando automaticamente os títulos futuros em aberto.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/>
          <w:bCs/>
          <w:color w:val="2E5395"/>
          <w:sz w:val="22"/>
          <w:szCs w:val="22"/>
        </w:rPr>
        <w:t xml:space="preserve">RF-013 —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Calcular pró-rata na entrada de cliente no meio do mês, conforme regra parametrizável.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color w:val="595959"/>
          <w:sz w:val="23"/>
          <w:szCs w:val="23"/>
        </w:rPr>
        <w:t xml:space="preserve">Geração de títulos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/>
          <w:bCs/>
          <w:color w:val="2E5395"/>
          <w:sz w:val="22"/>
          <w:szCs w:val="22"/>
        </w:rPr>
        <w:t xml:space="preserve">RF-014 —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Gerar automaticamente, em rotina mensal, os títulos de mensalidade de todos os contratos ativos, sem intervenção manual.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/>
          <w:bCs/>
          <w:color w:val="2E5395"/>
          <w:sz w:val="22"/>
          <w:szCs w:val="22"/>
        </w:rPr>
        <w:t xml:space="preserve">RF-015 —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Gerar automaticamente o título de 13º honorário para os contratos que o preveem, no mês parametrizado (padrão: dezembro).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/>
          <w:bCs/>
          <w:color w:val="2E5395"/>
          <w:sz w:val="22"/>
          <w:szCs w:val="22"/>
        </w:rPr>
        <w:t xml:space="preserve">RF-016 —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Lançar honorários eventuais a partir da tabela de serviços, vinculados ao cliente e, opcionalmente, a uma ordem de serviço/solicitação do CRM.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/>
          <w:bCs/>
          <w:color w:val="2E5395"/>
          <w:sz w:val="22"/>
          <w:szCs w:val="22"/>
        </w:rPr>
        <w:t xml:space="preserve">RF-017 —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Permitir lançamentos avulsos e parcelados, com geração automática das parcelas.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color w:val="595959"/>
          <w:sz w:val="23"/>
          <w:szCs w:val="23"/>
        </w:rPr>
        <w:t xml:space="preserve">Reajustes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/>
          <w:bCs/>
          <w:color w:val="2E5395"/>
          <w:sz w:val="22"/>
          <w:szCs w:val="22"/>
        </w:rPr>
        <w:t xml:space="preserve">RF-018 —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Aplicar reajuste em lote a todos os contratos com data-base no período, informando o índice ou percentual, com simulação prévia e histórico do valor anterior.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/>
          <w:bCs/>
          <w:color w:val="2E5395"/>
          <w:sz w:val="22"/>
          <w:szCs w:val="22"/>
        </w:rPr>
        <w:t xml:space="preserve">RF-019 —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Alertar contratos com data-base vencida e ainda não reajustados.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color w:val="595959"/>
          <w:sz w:val="23"/>
          <w:szCs w:val="23"/>
        </w:rPr>
        <w:t xml:space="preserve">Recebimentos (baixas)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/>
          <w:bCs/>
          <w:color w:val="2E5395"/>
          <w:sz w:val="22"/>
          <w:szCs w:val="22"/>
        </w:rPr>
        <w:t xml:space="preserve">RF-020 —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Registrar baixa total ou parcial de títulos, informando data de recebimento, conta bancária de destino, forma de pagamento, juros, multa e descontos.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/>
          <w:bCs/>
          <w:color w:val="2E5395"/>
          <w:sz w:val="22"/>
          <w:szCs w:val="22"/>
        </w:rPr>
        <w:t xml:space="preserve">RF-021 —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Manter separadas as datas de competência, vencimento e recebimento de cada título.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/>
          <w:bCs/>
          <w:color w:val="2E5395"/>
          <w:sz w:val="22"/>
          <w:szCs w:val="22"/>
        </w:rPr>
        <w:t xml:space="preserve">RF-022 —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Controlar status do título: em aberto, vencido, recebido, recebido parcial, cancelado.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/>
          <w:bCs/>
          <w:color w:val="2E5395"/>
          <w:sz w:val="22"/>
          <w:szCs w:val="22"/>
        </w:rPr>
        <w:t xml:space="preserve">RF-023 —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Permitir estorno de baixa com justificativa, preservando trilha de auditoria.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5395"/>
          <w:sz w:val="26"/>
          <w:szCs w:val="26"/>
        </w:rPr>
        <w:t xml:space="preserve">3.3 Contas a pagar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/>
          <w:bCs/>
          <w:color w:val="2E5395"/>
          <w:sz w:val="22"/>
          <w:szCs w:val="22"/>
        </w:rPr>
        <w:t xml:space="preserve">RF-024 —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Registrar despesas únicas, parceladas e recorrentes (aluguel, softwares, folha, pró-labore), com categoria, centro de custo e fornecedor.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/>
          <w:bCs/>
          <w:color w:val="2E5395"/>
          <w:sz w:val="22"/>
          <w:szCs w:val="22"/>
        </w:rPr>
        <w:t xml:space="preserve">RF-025 —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Anexar documentos ao lançamento (nota fiscal, boleto, comprovante), com pelo menos um anexo por título.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/>
          <w:bCs/>
          <w:color w:val="2E5395"/>
          <w:sz w:val="22"/>
          <w:szCs w:val="22"/>
        </w:rPr>
        <w:t xml:space="preserve">RF-026 —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Oferecer fluxo opcional de aprovação de pagamento por usuário com perfil de aprovador, para valores acima de limite parametrizável.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/>
          <w:bCs/>
          <w:color w:val="2E5395"/>
          <w:sz w:val="22"/>
          <w:szCs w:val="22"/>
        </w:rPr>
        <w:t xml:space="preserve">RF-027 —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Registrar baixa de pagamento com data, conta bancária de saída, forma de pagamento, juros, multa e descontos.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/>
          <w:bCs/>
          <w:color w:val="2E5395"/>
          <w:sz w:val="22"/>
          <w:szCs w:val="22"/>
        </w:rPr>
        <w:t xml:space="preserve">RF-028 —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Alertar vencimentos do dia e dos próximos dias em painel e por notificação.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5395"/>
          <w:sz w:val="26"/>
          <w:szCs w:val="26"/>
        </w:rPr>
        <w:t xml:space="preserve">3.4 Régua de cobrança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A inadimplência é crônica no setor contábil; a régua de cobrança automatizada é tratada como requisito de MVP, e não como acessório.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/>
          <w:bCs/>
          <w:color w:val="2E5395"/>
          <w:sz w:val="22"/>
          <w:szCs w:val="22"/>
        </w:rPr>
        <w:t xml:space="preserve">RF-029 —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Configurar régua de cobrança com etapas parametrizáveis por dias relativos ao vencimento (ex.: D-3 lembrete, D+1 cobrança, D+7 segunda cobrança, D+15 aviso de suspensão dos serviços).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/>
          <w:bCs/>
          <w:color w:val="2E5395"/>
          <w:sz w:val="22"/>
          <w:szCs w:val="22"/>
        </w:rPr>
        <w:t xml:space="preserve">RF-030 —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Enviar mensagens automáticas por e-mail e WhatsApp (via API oficial ou provedor homologado), com modelos personalizáveis contendo variáveis (nome, valor, vencimento, link de pagamento).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/>
          <w:bCs/>
          <w:color w:val="2E5395"/>
          <w:sz w:val="22"/>
          <w:szCs w:val="22"/>
        </w:rPr>
        <w:t xml:space="preserve">RF-031 —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Registrar histórico de cada evento de cobrança por título e por cliente (data, canal, modelo, status de envio).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/>
          <w:bCs/>
          <w:color w:val="2E5395"/>
          <w:sz w:val="22"/>
          <w:szCs w:val="22"/>
        </w:rPr>
        <w:t xml:space="preserve">RF-032 —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Interromper automaticamente a régua quando o título for baixado ou cancelado.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/>
          <w:bCs/>
          <w:color w:val="2E5395"/>
          <w:sz w:val="22"/>
          <w:szCs w:val="22"/>
        </w:rPr>
        <w:t xml:space="preserve">RF-033 —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Permitir exclusão de clientes específicos da régua automática (cobrança manual).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5395"/>
          <w:sz w:val="26"/>
          <w:szCs w:val="26"/>
        </w:rPr>
        <w:t xml:space="preserve">3.5 Movimentações e conciliação bancária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/>
          <w:bCs/>
          <w:color w:val="2E5395"/>
          <w:sz w:val="22"/>
          <w:szCs w:val="22"/>
        </w:rPr>
        <w:t xml:space="preserve">RF-034 —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Registrar transferências entre contas internas, sem impacto em receita ou despesa.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/>
          <w:bCs/>
          <w:color w:val="2E5395"/>
          <w:sz w:val="22"/>
          <w:szCs w:val="22"/>
        </w:rPr>
        <w:t xml:space="preserve">RF-035 —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Importar extratos bancários em formato OFX e CSV, com prevenção de importação duplicada.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/>
          <w:bCs/>
          <w:color w:val="2E5395"/>
          <w:sz w:val="22"/>
          <w:szCs w:val="22"/>
        </w:rPr>
        <w:t xml:space="preserve">RF-036 —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Sugerir automaticamente o casamento entre linhas do extrato e títulos/baixas do sistema, por valor, data e correspondência de texto, com confirmação manual.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/>
          <w:bCs/>
          <w:color w:val="2E5395"/>
          <w:sz w:val="22"/>
          <w:szCs w:val="22"/>
        </w:rPr>
        <w:t xml:space="preserve">RF-037 —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Permitir criação de lançamento diretamente a partir de linha do extrato não conciliada.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/>
          <w:bCs/>
          <w:color w:val="2E5395"/>
          <w:sz w:val="22"/>
          <w:szCs w:val="22"/>
        </w:rPr>
        <w:t xml:space="preserve">RF-038 —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Registrar ajustes de saldo com justificativa obrigatória e trilha de auditoria.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5395"/>
          <w:sz w:val="26"/>
          <w:szCs w:val="26"/>
        </w:rPr>
        <w:t xml:space="preserve">3.6 Relatórios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/>
          <w:bCs/>
          <w:color w:val="2E5395"/>
          <w:sz w:val="22"/>
          <w:szCs w:val="22"/>
        </w:rPr>
        <w:t xml:space="preserve">RF-039 —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Fluxo de caixa realizado e projetado (com base nos títulos em aberto), com visões diária, semanal e mensal e filtro por conta.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/>
          <w:bCs/>
          <w:color w:val="2E5395"/>
          <w:sz w:val="22"/>
          <w:szCs w:val="22"/>
        </w:rPr>
        <w:t xml:space="preserve">RF-040 —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DRE gerencial por regime de competência, agrupado pelo plano de contas, com comparativo entre períodos e regime de caixa alternável (F2).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/>
          <w:bCs/>
          <w:color w:val="2E5395"/>
          <w:sz w:val="22"/>
          <w:szCs w:val="22"/>
        </w:rPr>
        <w:t xml:space="preserve">RF-041 —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Aging de contas a receber e a pagar: a vencer, vencido 1–30, 31–60, 61–90 e acima de 90 dias.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/>
          <w:bCs/>
          <w:color w:val="2E5395"/>
          <w:sz w:val="22"/>
          <w:szCs w:val="22"/>
        </w:rPr>
        <w:t xml:space="preserve">RF-042 —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Relatório de inadimplência por cliente, com valor total vencido, tempo de atraso e percentual sobre a carteira.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/>
          <w:bCs/>
          <w:color w:val="2E5395"/>
          <w:sz w:val="22"/>
          <w:szCs w:val="22"/>
        </w:rPr>
        <w:t xml:space="preserve">RF-043 —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MRR (receita recorrente mensal) e sua evolução histórica, calculado a partir dos contratos ativos.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/>
          <w:bCs/>
          <w:color w:val="2E5395"/>
          <w:sz w:val="22"/>
          <w:szCs w:val="22"/>
        </w:rPr>
        <w:t xml:space="preserve">RF-044 —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Receita por tipo (mensalidades, eventuais, 13º), por cliente, por centro de custo e por regime tributário do cliente.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/>
          <w:bCs/>
          <w:color w:val="2E5395"/>
          <w:sz w:val="22"/>
          <w:szCs w:val="22"/>
        </w:rPr>
        <w:t xml:space="preserve">RF-045 —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Relatório de reajustes: contratos com data-base vencida e não reajustados, com estimativa de receita não capturada.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/>
          <w:bCs/>
          <w:color w:val="2E5395"/>
          <w:sz w:val="22"/>
          <w:szCs w:val="22"/>
        </w:rPr>
        <w:t xml:space="preserve">RF-046 —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Comparativo orçado x realizado por categoria e centro de custo (depende do módulo de orçamento, F2).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/>
          <w:bCs/>
          <w:color w:val="2E5395"/>
          <w:sz w:val="22"/>
          <w:szCs w:val="22"/>
        </w:rPr>
        <w:t xml:space="preserve">RF-047 —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Exportação de todos os relatórios em PDF e Excel.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5395"/>
          <w:sz w:val="26"/>
          <w:szCs w:val="26"/>
        </w:rPr>
        <w:t xml:space="preserve">3.7 Dashboards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/>
          <w:bCs/>
          <w:color w:val="2E5395"/>
          <w:sz w:val="22"/>
          <w:szCs w:val="22"/>
        </w:rPr>
        <w:t xml:space="preserve">RF-048 —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Painel principal com: saldo consolidado e por conta; previsão de caixa 30/60/90 dias; receitas x despesas do mês e evolução de 12 meses.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/>
          <w:bCs/>
          <w:color w:val="2E5395"/>
          <w:sz w:val="22"/>
          <w:szCs w:val="22"/>
        </w:rPr>
        <w:t xml:space="preserve">RF-049 —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Indicadores de recorrência: MRR, churn de clientes (cancelamentos/base ativa), novos contratos x cancelamentos no mês e receita média por cliente.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/>
          <w:bCs/>
          <w:color w:val="2E5395"/>
          <w:sz w:val="22"/>
          <w:szCs w:val="22"/>
        </w:rPr>
        <w:t xml:space="preserve">RF-050 —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Indicadores de cobrança: taxa de inadimplência (%), valor total vencido e ranking de maiores devedores.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/>
          <w:bCs/>
          <w:color w:val="2E5395"/>
          <w:sz w:val="22"/>
          <w:szCs w:val="22"/>
        </w:rPr>
        <w:t xml:space="preserve">RF-051 —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Composição de despesas por categoria e concentração de receita (participação dos 10 maiores clientes sobre o total).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/>
          <w:bCs/>
          <w:color w:val="2E5395"/>
          <w:sz w:val="22"/>
          <w:szCs w:val="22"/>
        </w:rPr>
        <w:t xml:space="preserve">RF-052 —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Filtros globais por período, conta bancária e centro de custo.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5395"/>
          <w:sz w:val="26"/>
          <w:szCs w:val="26"/>
        </w:rPr>
        <w:t xml:space="preserve">3.8 Funcionalidades avançadas (fases 2 e 3)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/>
          <w:bCs/>
          <w:color w:val="2E5395"/>
          <w:sz w:val="22"/>
          <w:szCs w:val="22"/>
        </w:rPr>
        <w:t xml:space="preserve">RF-053 —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Integração com gateway de pagamento (ex.: Asaas, Cora, Iugu) para emissão de boletos e cobranças PIX, com baixa automática via webhook.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/>
          <w:bCs/>
          <w:color w:val="2E5395"/>
          <w:sz w:val="22"/>
          <w:szCs w:val="22"/>
        </w:rPr>
        <w:t xml:space="preserve">RF-054 —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Emissão automática de NFS-e vinculada à mensalidade, conforme regras do município.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/>
          <w:bCs/>
          <w:color w:val="2E5395"/>
          <w:sz w:val="22"/>
          <w:szCs w:val="22"/>
        </w:rPr>
        <w:t xml:space="preserve">RF-055 —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Portal do cliente para segunda via de boletos, histórico de pagamentos e notas fiscais.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/>
          <w:bCs/>
          <w:color w:val="2E5395"/>
          <w:sz w:val="22"/>
          <w:szCs w:val="22"/>
        </w:rPr>
        <w:t xml:space="preserve">RF-056 —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Orçamento anual por categoria e centro de custo.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/>
          <w:bCs/>
          <w:color w:val="2E5395"/>
          <w:sz w:val="22"/>
          <w:szCs w:val="22"/>
        </w:rPr>
        <w:t xml:space="preserve">RF-057 —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Rateio de lançamentos entre centros de custo, por percentual.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/>
          <w:bCs/>
          <w:color w:val="2E5395"/>
          <w:sz w:val="22"/>
          <w:szCs w:val="22"/>
        </w:rPr>
        <w:t xml:space="preserve">RF-058 —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Comissionamento por indicação/parceria, calculado sobre recebimentos.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/>
          <w:bCs/>
          <w:color w:val="2E5395"/>
          <w:sz w:val="22"/>
          <w:szCs w:val="22"/>
        </w:rPr>
        <w:t xml:space="preserve">RF-059 —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Rentabilidade por cliente: honorário mensal x custo estimado por rateio de departamentos ou apontamento de horas.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/>
          <w:bCs/>
          <w:color w:val="2E5395"/>
          <w:sz w:val="22"/>
          <w:szCs w:val="22"/>
        </w:rPr>
        <w:t xml:space="preserve">RF-060 —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Integração com o sistema Domínio para alimentação de honorários eventuais a partir de serviços executados.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4. Requisitos não funcionais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/>
          <w:bCs/>
          <w:color w:val="2E5395"/>
          <w:sz w:val="22"/>
          <w:szCs w:val="22"/>
        </w:rPr>
        <w:t xml:space="preserve">RNF-001 —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Trilha de auditoria completa: todo registro financeiro deve guardar usuário e data/hora de criação, alteração e cancelamento, com histórico dos valores anteriores.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/>
          <w:bCs/>
          <w:color w:val="2E5395"/>
          <w:sz w:val="22"/>
          <w:szCs w:val="22"/>
        </w:rPr>
        <w:t xml:space="preserve">RNF-002 —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Proibição de exclusão física de lançamentos: registros são cancelados ou estornados, nunca apagados.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/>
          <w:bCs/>
          <w:color w:val="2E5395"/>
          <w:sz w:val="22"/>
          <w:szCs w:val="22"/>
        </w:rPr>
        <w:t xml:space="preserve">RNF-003 —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Controle de acesso por perfil (ex.: administrador, financeiro, consulta), com restrição de visualização de dashboards e relatórios sensíveis.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/>
          <w:bCs/>
          <w:color w:val="2E5395"/>
          <w:sz w:val="22"/>
          <w:szCs w:val="22"/>
        </w:rPr>
        <w:t xml:space="preserve">RNF-004 —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Fechamento de período: possibilidade de travar meses conciliados contra lançamentos e edições retroativas, com reabertura restrita a administradores.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/>
          <w:bCs/>
          <w:color w:val="2E5395"/>
          <w:sz w:val="22"/>
          <w:szCs w:val="22"/>
        </w:rPr>
        <w:t xml:space="preserve">RNF-005 —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Valores monetários armazenados com precisão adequada (mínimo 2 casas decimais, tipo decimal — nunca ponto flutuante binário).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/>
          <w:bCs/>
          <w:color w:val="2E5395"/>
          <w:sz w:val="22"/>
          <w:szCs w:val="22"/>
        </w:rPr>
        <w:t xml:space="preserve">RNF-006 —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Todas as rotinas automáticas (geração de mensalidades, régua de cobrança, webhooks) devem registrar log de execução com resultado e erros.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/>
          <w:bCs/>
          <w:color w:val="2E5395"/>
          <w:sz w:val="22"/>
          <w:szCs w:val="22"/>
        </w:rPr>
        <w:t xml:space="preserve">RNF-007 —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Conformidade com a LGPD: dados pessoais e financeiros de clientes protegidos por criptografia em repouso e em trânsito, com controle de acesso e registro de consultas.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/>
          <w:bCs/>
          <w:color w:val="2E5395"/>
          <w:sz w:val="22"/>
          <w:szCs w:val="22"/>
        </w:rPr>
        <w:t xml:space="preserve">RNF-008 —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Backups automáticos diários com política de retenção definida e teste periódico de restauração.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/>
          <w:bCs/>
          <w:color w:val="2E5395"/>
          <w:sz w:val="22"/>
          <w:szCs w:val="22"/>
        </w:rPr>
        <w:t xml:space="preserve">RNF-009 —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Tempo de resposta alvo inferior a 3 segundos para dashboards e relatórios sobre base de até 5 anos de movimentação.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/>
          <w:bCs/>
          <w:color w:val="2E5395"/>
          <w:sz w:val="22"/>
          <w:szCs w:val="22"/>
        </w:rPr>
        <w:t xml:space="preserve">RNF-010 —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Idempotência nas rotinas de geração de títulos: reexecuções não podem duplicar mensalidades do mesmo período.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5. Modelagem de dados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5395"/>
          <w:sz w:val="26"/>
          <w:szCs w:val="26"/>
        </w:rPr>
        <w:t xml:space="preserve">5.1 Visão geral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O modelo gira em torno de quatro núcleos: (i) cadastros de apoio (conta bancária, categoria, centro de custo, serviço, fornecedor); (ii) o contrato de honorários, vinculado ao cliente do CRM, que origina títulos recorrentes; (iii) os títulos (a receber e a pagar) e suas baixas; e (iv) o núcleo bancário (extrato importado e conciliação). Entidades de suporte registram auditoria, reajustes e eventos de cobrança.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Convenções adotadas: todas as tabelas possuem chave primária id (UUID ou bigint autoincremento), campos criado_em, criado_por, atualizado_em, atualizado_por; campos monetários em DECIMAL(15,2); datas de competência armazenadas como o primeiro dia do mês de referência. Campos marcados com (FK) são chaves estrangeiras.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5395"/>
          <w:sz w:val="26"/>
          <w:szCs w:val="26"/>
        </w:rPr>
        <w:t xml:space="preserve">5.2 Entidades e campos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color w:val="595959"/>
          <w:sz w:val="23"/>
          <w:szCs w:val="23"/>
        </w:rPr>
        <w:t xml:space="preserve">cliente (extensão do cadastro do CRM)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O cadastro base (nome/razão social, CNPJ/CPF, contatos, endereço) permanece no CRM. O módulo financeiro estende esse cadastro com os campos abaixo: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800"/>
        <w:gridCol w:w="5260"/>
      </w:tblGrid>
      <w:tr>
        <w:trPr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Descrição / Regras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20"/>
                <w:szCs w:val="20"/>
              </w:rPr>
              <w:t xml:space="preserve">cliente_id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FK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Referência ao cliente do CRM.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20"/>
                <w:szCs w:val="20"/>
              </w:rPr>
              <w:t xml:space="preserve">regime_tributario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enum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SIMPLES | PRESUMIDO | REAL | MEI.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20"/>
                <w:szCs w:val="20"/>
              </w:rPr>
              <w:t xml:space="preserve">qtd_funcionarios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int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Quantidade de funcionários (para precificação e análises).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20"/>
                <w:szCs w:val="20"/>
              </w:rPr>
              <w:t xml:space="preserve">faixa_faturamento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enum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Faixa de faturamento anual do cliente.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20"/>
                <w:szCs w:val="20"/>
              </w:rPr>
              <w:t xml:space="preserve">dia_vencimento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int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Dia preferencial de vencimento dos honorários (1–28).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20"/>
                <w:szCs w:val="20"/>
              </w:rPr>
              <w:t xml:space="preserve">data_entrada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date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Início do relacionamento.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20"/>
                <w:szCs w:val="20"/>
              </w:rPr>
              <w:t xml:space="preserve">data_saida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date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Preenchida no encerramento; alimenta o cálculo de churn.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enum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ATIVO | SUSPENSO | ENCERRADO.</w:t>
            </w:r>
          </w:p>
        </w:tc>
      </w:tr>
    </w:tbl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color w:val="595959"/>
          <w:sz w:val="23"/>
          <w:szCs w:val="23"/>
        </w:rPr>
        <w:t xml:space="preserve">conta_bancaria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800"/>
        <w:gridCol w:w="5260"/>
      </w:tblGrid>
      <w:tr>
        <w:trPr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Descrição / Regras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20"/>
                <w:szCs w:val="20"/>
              </w:rPr>
              <w:t xml:space="preserve">nome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string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Nome de exibição (ex.: 'Sicoob principal', 'Caixa interno').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20"/>
                <w:szCs w:val="20"/>
              </w:rPr>
              <w:t xml:space="preserve">tipo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enum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CORRENTE | POUPANCA | CAIXA | CARTAO.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20"/>
                <w:szCs w:val="20"/>
              </w:rPr>
              <w:t xml:space="preserve">banco / agencia / numero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string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Dados bancários (opcionais para caixa físico).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20"/>
                <w:szCs w:val="20"/>
              </w:rPr>
              <w:t xml:space="preserve">saldo_inicial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decimal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Saldo na data de implantação.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20"/>
                <w:szCs w:val="20"/>
              </w:rPr>
              <w:t xml:space="preserve">data_saldo_inicial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date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Data de referência do saldo inicial.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20"/>
                <w:szCs w:val="20"/>
              </w:rPr>
              <w:t xml:space="preserve">ativa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bool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Inativação lógica sem perda de histórico.</w:t>
            </w:r>
          </w:p>
        </w:tc>
      </w:tr>
    </w:tbl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color w:val="595959"/>
          <w:sz w:val="23"/>
          <w:szCs w:val="23"/>
        </w:rPr>
        <w:t xml:space="preserve">categoria (plano de contas)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800"/>
        <w:gridCol w:w="5260"/>
      </w:tblGrid>
      <w:tr>
        <w:trPr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Descrição / Regras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20"/>
                <w:szCs w:val="20"/>
              </w:rPr>
              <w:t xml:space="preserve">nome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string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Nome da categoria.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20"/>
                <w:szCs w:val="20"/>
              </w:rPr>
              <w:t xml:space="preserve">natureza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enum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RECEITA | DESPESA.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20"/>
                <w:szCs w:val="20"/>
              </w:rPr>
              <w:t xml:space="preserve">grupo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enum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OPERACIONAL | NAO_OPERACIONAL.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20"/>
                <w:szCs w:val="20"/>
              </w:rPr>
              <w:t xml:space="preserve">categoria_pai_id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FK (autorrelação)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Nulo para categorias de 1º nível; permite hierarquia.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20"/>
                <w:szCs w:val="20"/>
              </w:rPr>
              <w:t xml:space="preserve">ordem_dre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int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Posição de exibição na DRE gerencial.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20"/>
                <w:szCs w:val="20"/>
              </w:rPr>
              <w:t xml:space="preserve">ativa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bool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Inativação lógica.</w:t>
            </w:r>
          </w:p>
        </w:tc>
      </w:tr>
    </w:tbl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color w:val="595959"/>
          <w:sz w:val="23"/>
          <w:szCs w:val="23"/>
        </w:rPr>
        <w:t xml:space="preserve">centro_custo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800"/>
        <w:gridCol w:w="5260"/>
      </w:tblGrid>
      <w:tr>
        <w:trPr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Descrição / Regras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20"/>
                <w:szCs w:val="20"/>
              </w:rPr>
              <w:t xml:space="preserve">nome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string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Ex.: Fiscal, Contábil, Pessoal/DP, Legalização, Consultoria, Administrativo.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20"/>
                <w:szCs w:val="20"/>
              </w:rPr>
              <w:t xml:space="preserve">ativa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bool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Inativação lógica.</w:t>
            </w:r>
          </w:p>
        </w:tc>
      </w:tr>
    </w:tbl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color w:val="595959"/>
          <w:sz w:val="23"/>
          <w:szCs w:val="23"/>
        </w:rPr>
        <w:t xml:space="preserve">fornecedor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800"/>
        <w:gridCol w:w="5260"/>
      </w:tblGrid>
      <w:tr>
        <w:trPr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Descrição / Regras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20"/>
                <w:szCs w:val="20"/>
              </w:rPr>
              <w:t xml:space="preserve">nome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string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Razão social ou nome.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20"/>
                <w:szCs w:val="20"/>
              </w:rPr>
              <w:t xml:space="preserve">cnpj_cpf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string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Documento, com validação de dígitos.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20"/>
                <w:szCs w:val="20"/>
              </w:rPr>
              <w:t xml:space="preserve">contato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string/json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Telefone, e-mail e observações.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20"/>
                <w:szCs w:val="20"/>
              </w:rPr>
              <w:t xml:space="preserve">categoria_padrao_id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FK → categoria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Categoria de despesa sugerida nos lançamentos.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20"/>
                <w:szCs w:val="20"/>
              </w:rPr>
              <w:t xml:space="preserve">ativa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bool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Inativação lógica.</w:t>
            </w:r>
          </w:p>
        </w:tc>
      </w:tr>
    </w:tbl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color w:val="595959"/>
          <w:sz w:val="23"/>
          <w:szCs w:val="23"/>
        </w:rPr>
        <w:t xml:space="preserve">servico (tabela de serviços eventuais)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800"/>
        <w:gridCol w:w="5260"/>
      </w:tblGrid>
      <w:tr>
        <w:trPr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Descrição / Regras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20"/>
                <w:szCs w:val="20"/>
              </w:rPr>
              <w:t xml:space="preserve">nome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string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Ex.: Abertura de empresa, Alteração contratual, IRPF, Certidão, Laudo.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20"/>
                <w:szCs w:val="20"/>
              </w:rPr>
              <w:t xml:space="preserve">descricao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text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Escopo resumido do serviço.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20"/>
                <w:szCs w:val="20"/>
              </w:rPr>
              <w:t xml:space="preserve">preco_sugerido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decimal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Valor de tabela, editável no lançamento.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20"/>
                <w:szCs w:val="20"/>
              </w:rPr>
              <w:t xml:space="preserve">categoria_id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FK → categoria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Categoria de receita vinculada.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20"/>
                <w:szCs w:val="20"/>
              </w:rPr>
              <w:t xml:space="preserve">ativa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bool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Inativação lógica.</w:t>
            </w:r>
          </w:p>
        </w:tc>
      </w:tr>
    </w:tbl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color w:val="595959"/>
          <w:sz w:val="23"/>
          <w:szCs w:val="23"/>
        </w:rPr>
        <w:t xml:space="preserve">contrato (contrato de honorários)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800"/>
        <w:gridCol w:w="5260"/>
      </w:tblGrid>
      <w:tr>
        <w:trPr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Descrição / Regras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20"/>
                <w:szCs w:val="20"/>
              </w:rPr>
              <w:t xml:space="preserve">cliente_id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FK → cliente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Titular do contrato. Um cliente pode ter vários contratos.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20"/>
                <w:szCs w:val="20"/>
              </w:rPr>
              <w:t xml:space="preserve">descricao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string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Ex.: 'Honorários contábeis', 'BPO financeiro'.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20"/>
                <w:szCs w:val="20"/>
              </w:rPr>
              <w:t xml:space="preserve">valor_mensal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decimal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Valor vigente da mensalidade.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20"/>
                <w:szCs w:val="20"/>
              </w:rPr>
              <w:t xml:space="preserve">dia_vencimento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int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Dia de vencimento das mensalidades (1–28).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20"/>
                <w:szCs w:val="20"/>
              </w:rPr>
              <w:t xml:space="preserve">data_inicio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date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Início da vigência; usada no cálculo de pró-rata.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20"/>
                <w:szCs w:val="20"/>
              </w:rPr>
              <w:t xml:space="preserve">indice_reajuste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enum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IPCA | IGPM | INPC | PERCENTUAL_FIXO | SEM_REAJUSTE.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20"/>
                <w:szCs w:val="20"/>
              </w:rPr>
              <w:t xml:space="preserve">percentual_fixo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decimal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Usado quando indice_reajuste = PERCENTUAL_FIXO.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20"/>
                <w:szCs w:val="20"/>
              </w:rPr>
              <w:t xml:space="preserve">mes_data_base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int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Mês (1–12) da data-base de reajuste.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20"/>
                <w:szCs w:val="20"/>
              </w:rPr>
              <w:t xml:space="preserve">gera_decimo_terceiro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bool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Indica se o contrato prevê 13º honorário.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20"/>
                <w:szCs w:val="20"/>
              </w:rPr>
              <w:t xml:space="preserve">mes_decimo_terceiro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int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Mês de cobrança do 13º (padrão 12).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20"/>
                <w:szCs w:val="20"/>
              </w:rPr>
              <w:t xml:space="preserve">categoria_id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FK → categoria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Categoria de receita das mensalidades (Honorários Mensais).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20"/>
                <w:szCs w:val="20"/>
              </w:rPr>
              <w:t xml:space="preserve">centro_custo_id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FK → centro_custo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Centro de custo padrão (opcional).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enum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ATIVO | SUSPENSO | ENCERRADO.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20"/>
                <w:szCs w:val="20"/>
              </w:rPr>
              <w:t xml:space="preserve">data_encerramento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date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Preenchida no encerramento; dispara cancelamento de títulos futuros.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20"/>
                <w:szCs w:val="20"/>
              </w:rPr>
              <w:t xml:space="preserve">motivo_encerramento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string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Motivo registrado para análise de churn.</w:t>
            </w:r>
          </w:p>
        </w:tc>
      </w:tr>
    </w:tbl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color w:val="595959"/>
          <w:sz w:val="23"/>
          <w:szCs w:val="23"/>
        </w:rPr>
        <w:t xml:space="preserve">contrato_reajuste (histórico de reajustes)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800"/>
        <w:gridCol w:w="5260"/>
      </w:tblGrid>
      <w:tr>
        <w:trPr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Descrição / Regras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20"/>
                <w:szCs w:val="20"/>
              </w:rPr>
              <w:t xml:space="preserve">contrato_id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FK → contrato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Contrato reajustado.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20"/>
                <w:szCs w:val="20"/>
              </w:rPr>
              <w:t xml:space="preserve">data_aplicacao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date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Data em que o reajuste passou a valer.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20"/>
                <w:szCs w:val="20"/>
              </w:rPr>
              <w:t xml:space="preserve">valor_anterior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decimal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Valor mensal antes do reajuste.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20"/>
                <w:szCs w:val="20"/>
              </w:rPr>
              <w:t xml:space="preserve">valor_novo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decimal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Valor mensal após o reajuste.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20"/>
                <w:szCs w:val="20"/>
              </w:rPr>
              <w:t xml:space="preserve">indice_utilizado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string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Índice e percentual aplicados (ex.: 'IPCA 4,5%').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20"/>
                <w:szCs w:val="20"/>
              </w:rPr>
              <w:t xml:space="preserve">lote_id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string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Identificador do lote, quando aplicado em massa.</w:t>
            </w:r>
          </w:p>
        </w:tc>
      </w:tr>
    </w:tbl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color w:val="595959"/>
          <w:sz w:val="23"/>
          <w:szCs w:val="23"/>
        </w:rPr>
        <w:t xml:space="preserve">titulo (contas a receber e a pagar unificadas)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Uma única tabela de títulos com o campo tipo simplifica relatórios de fluxo de caixa e conciliação. Alternativamente, o time pode optar por tabelas separadas (titulo_receber e titulo_pagar) com a mesma estrutura.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800"/>
        <w:gridCol w:w="5260"/>
      </w:tblGrid>
      <w:tr>
        <w:trPr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Descrição / Regras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20"/>
                <w:szCs w:val="20"/>
              </w:rPr>
              <w:t xml:space="preserve">tipo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enum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RECEBER | PAGAR.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20"/>
                <w:szCs w:val="20"/>
              </w:rPr>
              <w:t xml:space="preserve">origem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enum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MENSALIDADE | DECIMO_TERCEIRO | EVENTUAL | AVULSO | PARCELADO | RECORRENTE_DESPESA.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20"/>
                <w:szCs w:val="20"/>
              </w:rPr>
              <w:t xml:space="preserve">cliente_id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FK → cliente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Obrigatório quando tipo = RECEBER.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20"/>
                <w:szCs w:val="20"/>
              </w:rPr>
              <w:t xml:space="preserve">fornecedor_id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FK → fornecedor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Obrigatório quando tipo = PAGAR.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20"/>
                <w:szCs w:val="20"/>
              </w:rPr>
              <w:t xml:space="preserve">contrato_id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FK → contrato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Preenchido para mensalidades e 13º.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20"/>
                <w:szCs w:val="20"/>
              </w:rPr>
              <w:t xml:space="preserve">servico_id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FK → servico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Preenchido para honorários eventuais.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20"/>
                <w:szCs w:val="20"/>
              </w:rPr>
              <w:t xml:space="preserve">descricao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string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Descrição livre do título.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20"/>
                <w:szCs w:val="20"/>
              </w:rPr>
              <w:t xml:space="preserve">valor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decimal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Valor original do título.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20"/>
                <w:szCs w:val="20"/>
              </w:rPr>
              <w:t xml:space="preserve">competencia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date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Mês de competência (1º dia do mês).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20"/>
                <w:szCs w:val="20"/>
              </w:rPr>
              <w:t xml:space="preserve">vencimento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date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Data de vencimento.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20"/>
                <w:szCs w:val="20"/>
              </w:rPr>
              <w:t xml:space="preserve">categoria_id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FK → categoria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Categoria do plano de contas.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20"/>
                <w:szCs w:val="20"/>
              </w:rPr>
              <w:t xml:space="preserve">centro_custo_id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FK → centro_custo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Centro de custo (opcional; obrigatório em despesas).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20"/>
                <w:szCs w:val="20"/>
              </w:rPr>
              <w:t xml:space="preserve">parcela / total_parcelas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int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Controle de parcelamento (ex.: 2/6).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20"/>
                <w:szCs w:val="20"/>
              </w:rPr>
              <w:t xml:space="preserve">grupo_parcelamento_id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string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Agrupa parcelas do mesmo lançamento.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enum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ABERTO | VENCIDO | BAIXADO | BAIXADO_PARCIAL | CANCELADO.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20"/>
                <w:szCs w:val="20"/>
              </w:rPr>
              <w:t xml:space="preserve">requer_aprovacao / aprovado_por / aprovado_em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bool/FK/datetime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Fluxo de aprovação de pagamentos.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20"/>
                <w:szCs w:val="20"/>
              </w:rPr>
              <w:t xml:space="preserve">anexos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relação 1:N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Documentos vinculados (nota fiscal, boleto, comprovante).</w:t>
            </w:r>
          </w:p>
        </w:tc>
      </w:tr>
    </w:tbl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color w:val="595959"/>
          <w:sz w:val="23"/>
          <w:szCs w:val="23"/>
        </w:rPr>
        <w:t xml:space="preserve">baixa (recebimentos e pagamentos)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Um título pode ter várias baixas (pagamento parcial); cada baixa referencia a conta bancária movimentada.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800"/>
        <w:gridCol w:w="5260"/>
      </w:tblGrid>
      <w:tr>
        <w:trPr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Descrição / Regras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20"/>
                <w:szCs w:val="20"/>
              </w:rPr>
              <w:t xml:space="preserve">titulo_id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FK → titulo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Título baixado.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20"/>
                <w:szCs w:val="20"/>
              </w:rPr>
              <w:t xml:space="preserve">data_baixa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date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Data efetiva do recebimento/pagamento.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20"/>
                <w:szCs w:val="20"/>
              </w:rPr>
              <w:t xml:space="preserve">valor_baixado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decimal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Valor principal baixado.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20"/>
                <w:szCs w:val="20"/>
              </w:rPr>
              <w:t xml:space="preserve">juros / multa / desconto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decimal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Acréscimos e reduções aplicados na baixa.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20"/>
                <w:szCs w:val="20"/>
              </w:rPr>
              <w:t xml:space="preserve">conta_bancaria_id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FK → conta_bancaria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Conta de entrada (receber) ou saída (pagar).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20"/>
                <w:szCs w:val="20"/>
              </w:rPr>
              <w:t xml:space="preserve">forma_pagamento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enum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PIX | BOLETO | CARTAO | TRANSFERENCIA | DINHEIRO.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20"/>
                <w:szCs w:val="20"/>
              </w:rPr>
              <w:t xml:space="preserve">estornada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bool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Marcação de estorno (a baixa nunca é excluída).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20"/>
                <w:szCs w:val="20"/>
              </w:rPr>
              <w:t xml:space="preserve">estorno_motivo / estorno_em / estorno_por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string/datetime/FK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Dados do estorno, quando houver.</w:t>
            </w:r>
          </w:p>
        </w:tc>
      </w:tr>
    </w:tbl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color w:val="595959"/>
          <w:sz w:val="23"/>
          <w:szCs w:val="23"/>
        </w:rPr>
        <w:t xml:space="preserve">transferencia (entre contas internas)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800"/>
        <w:gridCol w:w="5260"/>
      </w:tblGrid>
      <w:tr>
        <w:trPr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Descrição / Regras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20"/>
                <w:szCs w:val="20"/>
              </w:rPr>
              <w:t xml:space="preserve">conta_origem_id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FK → conta_bancaria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Conta de saída.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20"/>
                <w:szCs w:val="20"/>
              </w:rPr>
              <w:t xml:space="preserve">conta_destino_id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FK → conta_bancaria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Conta de entrada.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20"/>
                <w:szCs w:val="20"/>
              </w:rPr>
              <w:t xml:space="preserve">valor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decimal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Valor transferido.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20"/>
                <w:szCs w:val="20"/>
              </w:rPr>
              <w:t xml:space="preserve">data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date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Data da transferência.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20"/>
                <w:szCs w:val="20"/>
              </w:rPr>
              <w:t xml:space="preserve">descricao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string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Observação livre. Não gera receita nem despesa.</w:t>
            </w:r>
          </w:p>
        </w:tc>
      </w:tr>
    </w:tbl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color w:val="595959"/>
          <w:sz w:val="23"/>
          <w:szCs w:val="23"/>
        </w:rPr>
        <w:t xml:space="preserve">extrato_bancario (linhas importadas)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800"/>
        <w:gridCol w:w="5260"/>
      </w:tblGrid>
      <w:tr>
        <w:trPr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Descrição / Regras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20"/>
                <w:szCs w:val="20"/>
              </w:rPr>
              <w:t xml:space="preserve">conta_bancaria_id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FK → conta_bancaria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Conta do extrato.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20"/>
                <w:szCs w:val="20"/>
              </w:rPr>
              <w:t xml:space="preserve">data / valor / descricao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date/decimal/string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Dados da linha importada do OFX/CSV.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20"/>
                <w:szCs w:val="20"/>
              </w:rPr>
              <w:t xml:space="preserve">hash_importacao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string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Hash da linha para impedir importação duplicada.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20"/>
                <w:szCs w:val="20"/>
              </w:rPr>
              <w:t xml:space="preserve">conciliado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bool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Indica se a linha já foi casada.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20"/>
                <w:szCs w:val="20"/>
              </w:rPr>
              <w:t xml:space="preserve">baixa_id / transferencia_id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FK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Vínculo com o registro interno correspondente.</w:t>
            </w:r>
          </w:p>
        </w:tc>
      </w:tr>
    </w:tbl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color w:val="595959"/>
          <w:sz w:val="23"/>
          <w:szCs w:val="23"/>
        </w:rPr>
        <w:t xml:space="preserve">evento_cobranca (régua de cobrança)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800"/>
        <w:gridCol w:w="5260"/>
      </w:tblGrid>
      <w:tr>
        <w:trPr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Descrição / Regras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20"/>
                <w:szCs w:val="20"/>
              </w:rPr>
              <w:t xml:space="preserve">titulo_id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FK → titulo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Título objeto da cobrança.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20"/>
                <w:szCs w:val="20"/>
              </w:rPr>
              <w:t xml:space="preserve">etapa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string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Ex.: D-3 lembrete, D+1 cobrança, D+15 aviso de suspensão.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20"/>
                <w:szCs w:val="20"/>
              </w:rPr>
              <w:t xml:space="preserve">canal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enum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EMAIL | WHATSAPP.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20"/>
                <w:szCs w:val="20"/>
              </w:rPr>
              <w:t xml:space="preserve">modelo_id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FK → modelo_mensagem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Modelo de mensagem utilizado.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20"/>
                <w:szCs w:val="20"/>
              </w:rPr>
              <w:t xml:space="preserve">enviado_em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datetime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Data/hora do envio.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20"/>
                <w:szCs w:val="20"/>
              </w:rPr>
              <w:t xml:space="preserve">status_envio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enum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ENVIADO | ERRO | ENTREGUE | LIDO (conforme canal).</w:t>
            </w:r>
          </w:p>
        </w:tc>
      </w:tr>
    </w:tbl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color w:val="595959"/>
          <w:sz w:val="23"/>
          <w:szCs w:val="23"/>
        </w:rPr>
        <w:t xml:space="preserve">log_auditoria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800"/>
        <w:gridCol w:w="5260"/>
      </w:tblGrid>
      <w:tr>
        <w:trPr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Descrição / Regras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20"/>
                <w:szCs w:val="20"/>
              </w:rPr>
              <w:t xml:space="preserve">entidade / registro_id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string/FK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Tabela e registro afetados.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20"/>
                <w:szCs w:val="20"/>
              </w:rPr>
              <w:t xml:space="preserve">acao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enum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CRIACAO | ALTERACAO | CANCELAMENTO | ESTORNO | REABERTURA_PERIODO.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20"/>
                <w:szCs w:val="20"/>
              </w:rPr>
              <w:t xml:space="preserve">usuario_id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FK → usuario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Autor da ação.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20"/>
                <w:szCs w:val="20"/>
              </w:rPr>
              <w:t xml:space="preserve">dados_anteriores / dados_novos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json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Fotografia do registro antes e depois.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20"/>
                <w:szCs w:val="20"/>
              </w:rPr>
              <w:t xml:space="preserve">data_hora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datetime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Momento da ação.</w:t>
            </w:r>
          </w:p>
        </w:tc>
      </w:tr>
    </w:tbl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color w:val="595959"/>
          <w:sz w:val="23"/>
          <w:szCs w:val="23"/>
        </w:rPr>
        <w:t xml:space="preserve">fechamento_periodo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800"/>
        <w:gridCol w:w="5260"/>
      </w:tblGrid>
      <w:tr>
        <w:trPr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Descrição / Regras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20"/>
                <w:szCs w:val="20"/>
              </w:rPr>
              <w:t xml:space="preserve">competencia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date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Mês fechado (1º dia do mês).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20"/>
                <w:szCs w:val="20"/>
              </w:rPr>
              <w:t xml:space="preserve">fechado_por / fechado_em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FK/datetime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Autor e momento do fechamento.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20"/>
                <w:szCs w:val="20"/>
              </w:rPr>
              <w:t xml:space="preserve">reaberto_por / reaberto_em / motivo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FK/datetime/string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Dados de reabertura, restrita a administradores.</w:t>
            </w:r>
          </w:p>
        </w:tc>
      </w:tr>
    </w:tbl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5395"/>
          <w:sz w:val="26"/>
          <w:szCs w:val="26"/>
        </w:rPr>
        <w:t xml:space="preserve">5.3 Relacionamentos principais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2200"/>
        <w:gridCol w:w="36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Entidade 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Cardinalidade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Entidade B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20"/>
                <w:szCs w:val="20"/>
              </w:rPr>
              <w:t xml:space="preserve">cliente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1 : 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contrato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Um cliente pode ter vários contratos de honorários.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20"/>
                <w:szCs w:val="20"/>
              </w:rPr>
              <w:t xml:space="preserve">contrato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1 : 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titulo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O contrato origina mensalidades e 13º automaticamente.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20"/>
                <w:szCs w:val="20"/>
              </w:rPr>
              <w:t xml:space="preserve">contrato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1 : 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contrato_reajuste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Histórico de reajustes aplicados.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20"/>
                <w:szCs w:val="20"/>
              </w:rPr>
              <w:t xml:space="preserve">cliente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1 : 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titulo (RECEBER)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Todo título a receber pertence a um cliente.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20"/>
                <w:szCs w:val="20"/>
              </w:rPr>
              <w:t xml:space="preserve">fornecedor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1 : 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titulo (PAGAR)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Todo título a pagar pertence a um fornecedor.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20"/>
                <w:szCs w:val="20"/>
              </w:rPr>
              <w:t xml:space="preserve">titulo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1 : 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baixa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Baixas parciais e totais; estornos preservados.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20"/>
                <w:szCs w:val="20"/>
              </w:rPr>
              <w:t xml:space="preserve">titulo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1 : 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evento_cobranca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Histórico da régua de cobrança por título.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20"/>
                <w:szCs w:val="20"/>
              </w:rPr>
              <w:t xml:space="preserve">conta_bancaria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1 : 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baixa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Toda baixa movimenta uma conta.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20"/>
                <w:szCs w:val="20"/>
              </w:rPr>
              <w:t xml:space="preserve">conta_bancaria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1 : 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extrato_bancario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Linhas de extrato importadas por conta.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20"/>
                <w:szCs w:val="20"/>
              </w:rPr>
              <w:t xml:space="preserve">extrato_bancario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N : 1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baixa / transferencia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Conciliação: linha do extrato casada com registro interno.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20"/>
                <w:szCs w:val="20"/>
              </w:rPr>
              <w:t xml:space="preserve">categoria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1 : 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titulo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Classificação no plano de contas.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20"/>
                <w:szCs w:val="20"/>
              </w:rPr>
              <w:t xml:space="preserve">centro_custo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1 : 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titulo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Classificação gerencial por departamento.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20"/>
                <w:szCs w:val="20"/>
              </w:rPr>
              <w:t xml:space="preserve">servico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1 : 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titulo (EVENTUAL)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Honorários eventuais a partir da tabela de serviços.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5395"/>
          <w:sz w:val="26"/>
          <w:szCs w:val="26"/>
        </w:rPr>
        <w:t xml:space="preserve">5.4 Regras de integridade e de negócio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A soma das baixas não estornadas de um título não pode exceder o valor do título acrescido de juros e multa;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A rotina de geração de mensalidades deve ser idempotente: a combinação (contrato_id, competencia, origem = MENSALIDADE) é única;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Encerramento de contrato cancela títulos futuros com status ABERTO e mantém os vencidos para cobrança;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Lançamentos em competência com fechamento_periodo ativo são bloqueados (criação, edição e baixa retroativa);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Transferências não transitam por categoria de receita/despesa e não aparecem na DRE;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Status VENCIDO é derivado (vencimento &lt; hoje e saldo em aberto), atualizado por rotina diária ou calculado em consulta;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Toda alteração de valor, cancelamento ou estorno grava registro em log_auditoria com fotografia antes/depois.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6. Priorização e roadmap sugerido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860"/>
        <w:gridCol w:w="3200"/>
      </w:tblGrid>
      <w:tr>
        <w:trPr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Escopo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Critério de pronto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20"/>
                <w:szCs w:val="20"/>
              </w:rPr>
              <w:t xml:space="preserve">MVP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Cadastros; contratos com geração automática de mensalidades, pró-rata e 13º; honorários eventuais; contas a pagar com recorrência; baixas e estornos; régua de cobrança (e-mail/WhatsApp); fluxo de caixa; dashboard com MRR, churn e inadimplência.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Um mês inteiro de faturamento gerado, cobrado e baixado sem planilhas paralelas.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20"/>
                <w:szCs w:val="20"/>
              </w:rPr>
              <w:t xml:space="preserve">Fase 2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Conciliação bancária (OFX/CSV); DRE gerencial; reajuste em lote com simulação; gateway de pagamento com baixa automática; NFS-e; orçado x realizado.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Fechamento mensal conciliado e DRE emitida diretamente do sistema.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20"/>
                <w:szCs w:val="20"/>
              </w:rPr>
              <w:t xml:space="preserve">Fase 3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Portal do cliente; rentabilidade por cliente; rateios; comissionamento; integração com o Domínio.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Análise de margem por cliente disponível para decisões de reprecificação.</w:t>
            </w:r>
          </w:p>
        </w:tc>
      </w:tr>
    </w:tbl>
    <w:p>
      <w:pPr>
        <w:spacing w:after="120"/>
      </w:pPr>
    </w:p>
    <w:p>
      <w:pPr>
        <w:spacing w:after="160" w:line="300"/>
        <w:jc w:val="both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A lógica da priorização: em um escritório contábil, cerca de 80% da receita segue o mesmo padrão todos os meses. Automatizar a geração, a cobrança e a baixa dessa recorrência é o que faz o módulo se pagar já na primeira fase.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7. Glossário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Termo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Definição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20"/>
                <w:szCs w:val="20"/>
              </w:rPr>
              <w:t xml:space="preserve">MRR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Monthly Recurring Revenue — soma dos valores mensais dos contratos ativos; principal métrica de negócios recorrentes.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20"/>
                <w:szCs w:val="20"/>
              </w:rPr>
              <w:t xml:space="preserve">Churn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Taxa de cancelamento de clientes/contratos em relação à base ativa no período.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20"/>
                <w:szCs w:val="20"/>
              </w:rPr>
              <w:t xml:space="preserve">Aging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Classificação dos títulos em aberto por faixas de atraso (a vencer, 1–30, 31–60, 61–90, 90+ dias).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20"/>
                <w:szCs w:val="20"/>
              </w:rPr>
              <w:t xml:space="preserve">Competência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Mês a que a receita ou despesa se refere, independentemente da data de pagamento.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20"/>
                <w:szCs w:val="20"/>
              </w:rPr>
              <w:t xml:space="preserve">Baixa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Registro do recebimento ou pagamento efetivo de um título, total ou parcial.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20"/>
                <w:szCs w:val="20"/>
              </w:rPr>
              <w:t xml:space="preserve">Régua de cobrança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Sequência automatizada de comunicações de cobrança relativas ao vencimento de um título.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20"/>
                <w:szCs w:val="20"/>
              </w:rPr>
              <w:t xml:space="preserve">Pró-rata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Cálculo proporcional do honorário quando o contrato inicia no meio do mês.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20"/>
                <w:szCs w:val="20"/>
              </w:rPr>
              <w:t xml:space="preserve">DRE gerencial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Demonstração do resultado organizada pelo plano de contas gerencial, por competência.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20"/>
                <w:szCs w:val="20"/>
              </w:rPr>
              <w:t xml:space="preserve">Conciliação bancária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Casamento entre as linhas do extrato bancário e os lançamentos registrados no sistema.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20"/>
                <w:szCs w:val="20"/>
              </w:rPr>
              <w:t xml:space="preserve">Idempotência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Propriedade de uma rotina que, reexecutada, não duplica efeitos (ex.: mensalidades do mesmo período).</w:t>
            </w:r>
          </w:p>
        </w:tc>
      </w:tr>
    </w:tbl>
    <w:sectPr>
      <w:footerReference w:type="default" r:id="rId7"/>
      <w:pgSz w:w="11906" w:h="16838" w:orient="portrait"/>
      <w:pgMar w:top="1440" w:right="1250" w:bottom="1440" w:left="12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808080"/>
        <w:sz w:val="16"/>
        <w:szCs w:val="16"/>
      </w:rPr>
      <w:t xml:space="preserve">Módulo Financeiro — Documento de Requisitos v1.0    </w:t>
    </w:r>
    <w:r>
      <w:rPr>
        <w:rFonts w:ascii="Calibri" w:cs="Calibri" w:eastAsia="Calibri" w:hAnsi="Calibri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  <w:lvl w:ilvl="1" w15:tentative="1">
      <w:start w:val="1"/>
      <w:numFmt w:val="bullet"/>
      <w:lvlText w:val="◦"/>
      <w:lvlJc w:val="left"/>
      <w:pPr>
        <w:ind w:left="84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2026-07-03T01:09:20.104Z</dcterms:created>
  <dcterms:modified xsi:type="dcterms:W3CDTF">2026-07-03T01:09:20.117Z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