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foundational_design_principles_fo_d6fd49"/>
      <w:r>
        <w:rPr>
          <w:b/>
          <w:sz w:val="56"/>
        </w:rPr>
        <w:t xml:space="preserve">Foundational Design Principles for High-Impact Hackathons</w:t>
      </w:r>
      <w:bookmarkEnd w:id="0"/>
    </w:p>
    <w:p>
      <w:pPr>
        <w:spacing w:line="271" w:before="240" w:lineRule="auto"/>
      </w:pPr>
      <w:bookmarkStart w:id="1" w:name="purpose"/>
      <w:r>
        <w:rPr>
          <w:b/>
          <w:sz w:val="42"/>
        </w:rPr>
        <w:t xml:space="preserve">Purpose</w:t>
      </w:r>
      <w:bookmarkEnd w:id="1"/>
    </w:p>
    <w:p>
      <w:pPr>
        <w:spacing w:after="210" w:lineRule="auto"/>
      </w:pPr>
      <w:r>
        <w:rPr/>
        <w:t xml:space="preserve">This document establishes the core principles that guide the design, execution, and evaluation of hackathon experiences that exceed stakeholder expectations while delivering measurable, lasting value to participants. These principles emerge from research on hackathon success factors, failure modes, and the first-principles analysis of what creates transformative collaborative events.</w:t>
      </w:r>
    </w:p>
    <w:p>
      <w:pPr>
        <w:spacing w:line="271" w:before="240" w:lineRule="auto"/>
      </w:pPr>
      <w:bookmarkStart w:id="2" w:name="core_design_philosophy"/>
      <w:r>
        <w:rPr>
          <w:b/>
          <w:sz w:val="42"/>
        </w:rPr>
        <w:t xml:space="preserve">Core Design Philosophy</w:t>
      </w:r>
      <w:bookmarkEnd w:id="2"/>
    </w:p>
    <w:p>
      <w:pPr>
        <w:spacing w:line="271" w:before="240" w:lineRule="auto"/>
      </w:pPr>
      <w:bookmarkStart w:id="3" w:name="human_centered_design_as_non_negotiable"/>
      <w:r>
        <w:rPr>
          <w:b/>
          <w:sz w:val="33"/>
        </w:rPr>
        <w:t xml:space="preserve">Human-Centered Design as Non-Negotiable</w:t>
      </w:r>
      <w:bookmarkEnd w:id="3"/>
    </w:p>
    <w:p>
      <w:pPr>
        <w:spacing w:after="210" w:lineRule="auto"/>
      </w:pPr>
      <w:r>
        <w:rPr>
          <w:rFonts w:eastAsia="Georgia" w:cs="Georgia" w:ascii="Georgia" w:hAnsi="Georgia"/>
        </w:rPr>
        <w:t xml:space="preserve">Every design decision must be evaluated through the lens of participant experience, cognitive load, emotional safety, and sustainable energy expenditure. Technology, process, and structure exist to serve human flourishing—never the reverse.</w:t>
      </w:r>
    </w:p>
    <w:p>
      <w:pPr>
        <w:spacing w:line="271" w:before="240" w:lineRule="auto"/>
      </w:pPr>
      <w:bookmarkStart w:id="4" w:name="evidence_driven_iteration"/>
      <w:r>
        <w:rPr>
          <w:b/>
          <w:sz w:val="33"/>
        </w:rPr>
        <w:t xml:space="preserve">Evidence-Driven Iteration</w:t>
      </w:r>
      <w:bookmarkEnd w:id="4"/>
    </w:p>
    <w:p>
      <w:pPr>
        <w:spacing w:after="210" w:lineRule="auto"/>
      </w:pPr>
      <w:r>
        <w:rPr/>
        <w:t xml:space="preserve">All assumptions about what creates value must be tested, measured, and refined. Impact measurement is not administrative overhead; it is the feedback loop that enables continuous improvement and demonstrates value to all stakeholders.</w:t>
      </w:r>
    </w:p>
    <w:p>
      <w:pPr>
        <w:spacing w:line="271" w:before="240" w:lineRule="auto"/>
      </w:pPr>
      <w:bookmarkStart w:id="5" w:name="values_alignment_as_foundation"/>
      <w:r>
        <w:rPr>
          <w:b/>
          <w:sz w:val="33"/>
        </w:rPr>
        <w:t xml:space="preserve">Values-Alignment as Foundation</w:t>
      </w:r>
      <w:bookmarkEnd w:id="5"/>
    </w:p>
    <w:p>
      <w:pPr>
        <w:spacing w:after="210" w:lineRule="auto"/>
      </w:pPr>
      <w:r>
        <w:rPr/>
        <w:t xml:space="preserve">When organizers, sponsors, stakeholders, and participants share coherent values and purpose, the event becomes psychologically safe, strategically focused, and capable of generating authentic impact. Misalignment creates friction, extraction, and disengagement.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the_ten_foundational_principles"/>
      <w:r>
        <w:rPr>
          <w:b/>
          <w:sz w:val="42"/>
        </w:rPr>
        <w:t xml:space="preserve">The Ten Foundational Principles</w:t>
      </w:r>
      <w:bookmarkEnd w:id="6"/>
    </w:p>
    <w:p>
      <w:pPr>
        <w:spacing w:line="271" w:before="240" w:lineRule="auto"/>
      </w:pPr>
      <w:bookmarkStart w:id="7" w:name="bm_1_clarity_is_the_foundation_of_65a996"/>
      <w:r>
        <w:rPr>
          <w:b/>
          <w:sz w:val="33"/>
        </w:rPr>
        <w:t xml:space="preserve">1. Clarity is the Foundation of Courage</w:t>
      </w:r>
      <w:bookmarkEnd w:id="7"/>
    </w:p>
    <w:p>
      <w:pPr>
        <w:spacing w:after="210" w:lineRule="auto"/>
      </w:pPr>
      <w:r>
        <w:rPr>
          <w:b/>
        </w:rPr>
        <w:t xml:space="preserve">What it means:</w:t>
      </w:r>
      <w:r>
        <w:rPr/>
        <w:t xml:space="preserve"> People take creative risks, engage deeply, and perform at their best only when goals, constraints, expectations, and stakes are unambiguous from the outset.</w:t>
      </w:r>
    </w:p>
    <w:p>
      <w:pPr>
        <w:spacing w:after="210" w:lineRule="auto"/>
      </w:pPr>
      <w:r>
        <w:rPr>
          <w:b/>
        </w:rPr>
        <w:t xml:space="preserve">Why it matters:</w:t>
      </w:r>
      <w:r>
        <w:rPr>
          <w:rFonts w:eastAsia="Georgia" w:cs="Georgia" w:ascii="Georgia" w:hAnsi="Georgia"/>
        </w:rPr>
        <w:t xml:space="preserve"> Vagueness does not create freedom—it creates paralysis, anxiety, and wasted effort. Ambiguity about challenge scope, success criteria, or participation expectations structurally undermines performance.</w:t>
      </w:r>
    </w:p>
    <w:p>
      <w:pPr>
        <w:spacing w:after="210" w:lineRule="auto"/>
      </w:pPr>
      <w:r>
        <w:rPr>
          <w:b/>
        </w:rPr>
        <w:t xml:space="preserve">Design implications:</w:t>
      </w:r>
    </w:p>
    <w:p>
      <w:pPr>
        <w:numPr>
          <w:ilvl w:val="0"/>
          <w:numId w:val="1"/>
        </w:numPr>
        <w:spacing w:lineRule="auto"/>
      </w:pPr>
      <w:r>
        <w:rPr/>
        <w:t xml:space="preserve">Challenge briefs must be specific, bounded, and genuinely solvable within time and resource constraints</w:t>
      </w:r>
    </w:p>
    <w:p>
      <w:pPr>
        <w:numPr>
          <w:ilvl w:val="0"/>
          <w:numId w:val="1"/>
        </w:numPr>
        <w:spacing w:lineRule="auto"/>
      </w:pPr>
      <w:r>
        <w:rPr/>
        <w:t xml:space="preserve">Success metrics defined before the event begins, communicated transparently to all participants</w:t>
      </w:r>
    </w:p>
    <w:p>
      <w:pPr>
        <w:numPr>
          <w:ilvl w:val="0"/>
          <w:numId w:val="1"/>
        </w:numPr>
        <w:spacing w:lineRule="auto"/>
      </w:pPr>
      <w:r>
        <w:rPr/>
        <w:t xml:space="preserve">Entry requirements, team formation processes, and judging criteria made explicit and accessible</w:t>
      </w:r>
    </w:p>
    <w:p>
      <w:pPr>
        <w:numPr>
          <w:ilvl w:val="0"/>
          <w:numId w:val="1"/>
        </w:numPr>
        <w:spacing w:lineRule="auto"/>
      </w:pPr>
      <w:r>
        <w:rPr/>
        <w:t xml:space="preserve">Psychological contract managed continuously: participants always know what's expected and what's coming next</w:t>
      </w:r>
    </w:p>
    <w:p>
      <w:pPr>
        <w:spacing w:line="271" w:before="240" w:lineRule="auto"/>
      </w:pPr>
      <w:bookmarkStart w:id="8" w:name="bm_2_structure_should_scaffold_fr_9f12de"/>
      <w:r>
        <w:rPr>
          <w:b/>
          <w:sz w:val="33"/>
        </w:rPr>
        <w:t xml:space="preserve">2. Structure Should Scaffold Freedom, Not Replace It</w:t>
      </w:r>
      <w:bookmarkEnd w:id="8"/>
    </w:p>
    <w:p>
      <w:pPr>
        <w:spacing w:after="210" w:lineRule="auto"/>
      </w:pPr>
      <w:r>
        <w:rPr>
          <w:b/>
        </w:rPr>
        <w:t xml:space="preserve">What it means:</w:t>
      </w:r>
      <w:r>
        <w:rPr>
          <w:rFonts w:eastAsia="Georgia" w:cs="Georgia" w:ascii="Georgia" w:hAnsi="Georgia"/>
        </w:rPr>
        <w:t xml:space="preserve"> The purpose of structure—rules, schedules, facilitation—is to remove friction and cognitive load so creativity can flow. Over-structure kills agency; under-structure creates chaos.</w:t>
      </w:r>
    </w:p>
    <w:p>
      <w:pPr>
        <w:spacing w:after="210" w:lineRule="auto"/>
      </w:pPr>
      <w:r>
        <w:rPr>
          <w:b/>
        </w:rPr>
        <w:t xml:space="preserve">Why it matters:</w:t>
      </w:r>
      <w:r>
        <w:rPr/>
        <w:t xml:space="preserve"> Participants need enough constraint to focus their energy and enough freedom to express creativity. The optimal balance varies by participant experience level and challenge type.</w:t>
      </w:r>
    </w:p>
    <w:p>
      <w:pPr>
        <w:spacing w:after="210" w:lineRule="auto"/>
      </w:pPr>
      <w:r>
        <w:rPr>
          <w:b/>
        </w:rPr>
        <w:t xml:space="preserve">Design implications:</w:t>
      </w:r>
    </w:p>
    <w:p>
      <w:pPr>
        <w:numPr>
          <w:ilvl w:val="0"/>
          <w:numId w:val="2"/>
        </w:numPr>
        <w:spacing w:lineRule="auto"/>
      </w:pPr>
      <w:r>
        <w:rPr/>
        <w:t xml:space="preserve">Provide clear guardrails (time, scope, resources) but maximum latitude within those boundaries</w:t>
      </w:r>
    </w:p>
    <w:p>
      <w:pPr>
        <w:numPr>
          <w:ilvl w:val="0"/>
          <w:numId w:val="2"/>
        </w:numPr>
        <w:spacing w:lineRule="auto"/>
      </w:pPr>
      <w:r>
        <w:rPr>
          <w:rFonts w:eastAsia="Georgia" w:cs="Georgia" w:ascii="Georgia" w:hAnsi="Georgia"/>
        </w:rPr>
        <w:t xml:space="preserve">Use structure to handle logistics, team formation, and resource access—not to control creative process</w:t>
      </w:r>
    </w:p>
    <w:p>
      <w:pPr>
        <w:numPr>
          <w:ilvl w:val="0"/>
          <w:numId w:val="2"/>
        </w:numPr>
        <w:spacing w:lineRule="auto"/>
      </w:pPr>
      <w:r>
        <w:rPr/>
        <w:t xml:space="preserve">Design asymmetric entry points so novices and experts are both genuinely challenged</w:t>
      </w:r>
    </w:p>
    <w:p>
      <w:pPr>
        <w:numPr>
          <w:ilvl w:val="0"/>
          <w:numId w:val="2"/>
        </w:numPr>
        <w:spacing w:lineRule="auto"/>
      </w:pPr>
      <w:r>
        <w:rPr/>
        <w:t xml:space="preserve">Allow participant agency in problem selection, team composition, and solution approach</w:t>
      </w:r>
    </w:p>
    <w:p>
      <w:pPr>
        <w:spacing w:line="271" w:before="240" w:lineRule="auto"/>
      </w:pPr>
      <w:bookmarkStart w:id="9" w:name="bm_3_human_energy_is_a_finite_des_3ae95e"/>
      <w:r>
        <w:rPr>
          <w:b/>
          <w:sz w:val="33"/>
        </w:rPr>
        <w:t xml:space="preserve">3. Human Energy is a Finite, Designable Resource</w:t>
      </w:r>
      <w:bookmarkEnd w:id="9"/>
    </w:p>
    <w:p>
      <w:pPr>
        <w:spacing w:after="210" w:lineRule="auto"/>
      </w:pPr>
      <w:r>
        <w:rPr>
          <w:b/>
        </w:rPr>
        <w:t xml:space="preserve">What it means:</w:t>
      </w:r>
      <w:r>
        <w:rPr/>
        <w:t xml:space="preserve"> Every design choice either deposits into or withdraws from participants' cognitive, emotional, and physical reserves. Energy depletion is always a design failure, not a feature.</w:t>
      </w:r>
    </w:p>
    <w:p>
      <w:pPr>
        <w:spacing w:after="210" w:lineRule="auto"/>
      </w:pPr>
      <w:r>
        <w:rPr>
          <w:b/>
        </w:rPr>
        <w:t xml:space="preserve">Why it matters:</w:t>
      </w:r>
      <w:r>
        <w:rPr/>
        <w:t xml:space="preserve"> Exhausted participants produce lower-quality work, experience the event negatively, and are less likely to continue projects post-event. Sustainable energy management is prerequisite for sustained impact.</w:t>
      </w:r>
    </w:p>
    <w:p>
      <w:pPr>
        <w:spacing w:after="210" w:lineRule="auto"/>
      </w:pPr>
      <w:r>
        <w:rPr>
          <w:b/>
        </w:rPr>
        <w:t xml:space="preserve">Design implications:</w:t>
      </w:r>
    </w:p>
    <w:p>
      <w:pPr>
        <w:numPr>
          <w:ilvl w:val="0"/>
          <w:numId w:val="3"/>
        </w:numPr>
        <w:spacing w:lineRule="auto"/>
      </w:pPr>
      <w:r>
        <w:rPr>
          <w:rFonts w:eastAsia="Georgia" w:cs="Georgia" w:ascii="Georgia" w:hAnsi="Georgia"/>
        </w:rPr>
        <w:t xml:space="preserve">Temporal architecture designed with deliberate recovery moments—rest, play, and reflection aren't wasted time</w:t>
      </w:r>
    </w:p>
    <w:p>
      <w:pPr>
        <w:numPr>
          <w:ilvl w:val="0"/>
          <w:numId w:val="3"/>
        </w:numPr>
        <w:spacing w:lineRule="auto"/>
      </w:pPr>
      <w:r>
        <w:rPr/>
        <w:t xml:space="preserve">Pacing that maintains momentum without burning out participants</w:t>
      </w:r>
    </w:p>
    <w:p>
      <w:pPr>
        <w:numPr>
          <w:ilvl w:val="0"/>
          <w:numId w:val="3"/>
        </w:numPr>
        <w:spacing w:lineRule="auto"/>
      </w:pPr>
      <w:r>
        <w:rPr/>
        <w:t xml:space="preserve">Physical logistics (food, space, comfort) signal respect and sustain performance</w:t>
      </w:r>
    </w:p>
    <w:p>
      <w:pPr>
        <w:numPr>
          <w:ilvl w:val="0"/>
          <w:numId w:val="3"/>
        </w:numPr>
        <w:spacing w:lineRule="auto"/>
      </w:pPr>
      <w:r>
        <w:rPr/>
        <w:t xml:space="preserve">Sleep deprivation and marathon coding sessions rejected as cultural norms</w:t>
      </w:r>
    </w:p>
    <w:p>
      <w:pPr>
        <w:spacing w:line="271" w:before="240" w:lineRule="auto"/>
      </w:pPr>
      <w:bookmarkStart w:id="10" w:name="bm_4_belonging_precedes_performance"/>
      <w:r>
        <w:rPr>
          <w:b/>
          <w:sz w:val="33"/>
        </w:rPr>
        <w:t xml:space="preserve">4. Belonging Precedes Performance</w:t>
      </w:r>
      <w:bookmarkEnd w:id="10"/>
    </w:p>
    <w:p>
      <w:pPr>
        <w:spacing w:after="210" w:lineRule="auto"/>
      </w:pPr>
      <w:r>
        <w:rPr>
          <w:b/>
        </w:rPr>
        <w:t xml:space="preserve">What it means:</w:t>
      </w:r>
      <w:r>
        <w:rPr/>
        <w:t xml:space="preserve"> People cannot do their best work until they feel psychologically safe, socially included, and appropriately matched with collaborators. Belonging is infrastructure, not atmosphere.</w:t>
      </w:r>
    </w:p>
    <w:p>
      <w:pPr>
        <w:spacing w:after="210" w:lineRule="auto"/>
      </w:pPr>
      <w:r>
        <w:rPr>
          <w:b/>
        </w:rPr>
        <w:t xml:space="preserve">Why it matters:</w:t>
      </w:r>
      <w:r>
        <w:rPr>
          <w:rFonts w:eastAsia="Georgia" w:cs="Georgia" w:ascii="Georgia" w:hAnsi="Georgia"/>
        </w:rPr>
        <w:t xml:space="preserve"> Isolation, social anxiety, intimidation, or team mismatch suppress creativity and risk-taking. Inclusion isn't just ethical—it's a performance multiplier.</w:t>
      </w:r>
    </w:p>
    <w:p>
      <w:pPr>
        <w:spacing w:after="210" w:lineRule="auto"/>
      </w:pPr>
      <w:r>
        <w:rPr>
          <w:b/>
        </w:rPr>
        <w:t xml:space="preserve">Design implications:</w:t>
      </w:r>
    </w:p>
    <w:p>
      <w:pPr>
        <w:numPr>
          <w:ilvl w:val="0"/>
          <w:numId w:val="4"/>
        </w:numPr>
        <w:spacing w:lineRule="auto"/>
      </w:pPr>
      <w:r>
        <w:rPr/>
        <w:t xml:space="preserve">Active team formation processes that break social barriers early</w:t>
      </w:r>
    </w:p>
    <w:p>
      <w:pPr>
        <w:numPr>
          <w:ilvl w:val="0"/>
          <w:numId w:val="4"/>
        </w:numPr>
        <w:spacing w:lineRule="auto"/>
      </w:pPr>
      <w:r>
        <w:rPr/>
        <w:t xml:space="preserve">Diversity designed into the event through accessible formats, flexible participation modes, and inclusive language</w:t>
      </w:r>
    </w:p>
    <w:p>
      <w:pPr>
        <w:numPr>
          <w:ilvl w:val="0"/>
          <w:numId w:val="4"/>
        </w:numPr>
        <w:spacing w:lineRule="auto"/>
      </w:pPr>
      <w:r>
        <w:rPr/>
        <w:t xml:space="preserve">Pre-event onboarding reduces anxiety and accelerates early momentum</w:t>
      </w:r>
    </w:p>
    <w:p>
      <w:pPr>
        <w:numPr>
          <w:ilvl w:val="0"/>
          <w:numId w:val="4"/>
        </w:numPr>
        <w:spacing w:lineRule="auto"/>
      </w:pPr>
      <w:r>
        <w:rPr/>
        <w:t xml:space="preserve">Real-time support for social and technical challenges, not just technical mentorship</w:t>
      </w:r>
    </w:p>
    <w:p>
      <w:pPr>
        <w:spacing w:line="271" w:before="240" w:lineRule="auto"/>
      </w:pPr>
      <w:bookmarkStart w:id="11" w:name="bm_5_progress_must_be_made_visible"/>
      <w:r>
        <w:rPr>
          <w:b/>
          <w:sz w:val="33"/>
        </w:rPr>
        <w:t xml:space="preserve">5. Progress Must Be Made Visible</w:t>
      </w:r>
      <w:bookmarkEnd w:id="11"/>
    </w:p>
    <w:p>
      <w:pPr>
        <w:spacing w:after="210" w:lineRule="auto"/>
      </w:pPr>
      <w:r>
        <w:rPr>
          <w:b/>
        </w:rPr>
        <w:t xml:space="preserve">What it means:</w:t>
      </w:r>
      <w:r>
        <w:rPr/>
        <w:t xml:space="preserve"> People disengage when they cannot perceive their own forward movement. Visible momentum is intrinsically motivating and helps teams self-correct.</w:t>
      </w:r>
    </w:p>
    <w:p>
      <w:pPr>
        <w:spacing w:after="210" w:lineRule="auto"/>
      </w:pPr>
      <w:r>
        <w:rPr>
          <w:b/>
        </w:rPr>
        <w:t xml:space="preserve">Why it matters:</w:t>
      </w:r>
      <w:r>
        <w:rPr/>
        <w:t xml:space="preserve"> Lack of visible progress creates frustration and abandonment. Milestones, check-ins, and tangible outputs maintain engagement and provide opportunities for course correction.</w:t>
      </w:r>
    </w:p>
    <w:p>
      <w:pPr>
        <w:spacing w:after="210" w:lineRule="auto"/>
      </w:pPr>
      <w:r>
        <w:rPr>
          <w:b/>
        </w:rPr>
        <w:t xml:space="preserve">Design implications:</w:t>
      </w:r>
    </w:p>
    <w:p>
      <w:pPr>
        <w:numPr>
          <w:ilvl w:val="0"/>
          <w:numId w:val="5"/>
        </w:numPr>
        <w:spacing w:lineRule="auto"/>
      </w:pPr>
      <w:r>
        <w:rPr/>
        <w:t xml:space="preserve">Structured milestones throughout the event with opportunities to demonstrate progress</w:t>
      </w:r>
    </w:p>
    <w:p>
      <w:pPr>
        <w:numPr>
          <w:ilvl w:val="0"/>
          <w:numId w:val="5"/>
        </w:numPr>
        <w:spacing w:lineRule="auto"/>
      </w:pPr>
      <w:r>
        <w:rPr/>
        <w:t xml:space="preserve">Mentors and facilitators help teams see and celebrate incremental achievements</w:t>
      </w:r>
    </w:p>
    <w:p>
      <w:pPr>
        <w:numPr>
          <w:ilvl w:val="0"/>
          <w:numId w:val="5"/>
        </w:numPr>
        <w:spacing w:lineRule="auto"/>
      </w:pPr>
      <w:r>
        <w:rPr/>
        <w:t xml:space="preserve">Prototype stages designed to produce tangible outputs early (not just at the end)</w:t>
      </w:r>
    </w:p>
    <w:p>
      <w:pPr>
        <w:numPr>
          <w:ilvl w:val="0"/>
          <w:numId w:val="5"/>
        </w:numPr>
        <w:spacing w:lineRule="auto"/>
      </w:pPr>
      <w:r>
        <w:rPr/>
        <w:t xml:space="preserve">Real-time feedback mechanisms that show teams their trajectory</w:t>
      </w:r>
    </w:p>
    <w:p>
      <w:pPr>
        <w:spacing w:line="271" w:before="240" w:lineRule="auto"/>
      </w:pPr>
      <w:bookmarkStart w:id="12" w:name="bm_6_multiple_pathways_to_success_9053e6"/>
      <w:r>
        <w:rPr>
          <w:b/>
          <w:sz w:val="33"/>
        </w:rPr>
        <w:t xml:space="preserve">6. Multiple Pathways to Success Prevent Structural Failure</w:t>
      </w:r>
      <w:bookmarkEnd w:id="12"/>
    </w:p>
    <w:p>
      <w:pPr>
        <w:spacing w:after="210" w:lineRule="auto"/>
      </w:pPr>
      <w:r>
        <w:rPr>
          <w:b/>
        </w:rPr>
        <w:t xml:space="preserve">What it means:</w:t>
      </w:r>
      <w:r>
        <w:rPr/>
        <w:t xml:space="preserve"> Any system with a single winning condition manufactures losers by design. Genuine success requires multiple valid definitions of achievement across different dimensions.</w:t>
      </w:r>
    </w:p>
    <w:p>
      <w:pPr>
        <w:spacing w:after="210" w:lineRule="auto"/>
      </w:pPr>
      <w:r>
        <w:rPr>
          <w:b/>
        </w:rPr>
        <w:t xml:space="preserve">Why it matters:</w:t>
      </w:r>
      <w:r>
        <w:rPr/>
        <w:t xml:space="preserve"> Single-winner competitions structurally demoralize most participants and waste the value generated by non-winning projects. Multidimensional recognition sustains motivation and validates diverse contributions.</w:t>
      </w:r>
    </w:p>
    <w:p>
      <w:pPr>
        <w:spacing w:after="210" w:lineRule="auto"/>
      </w:pPr>
      <w:r>
        <w:rPr>
          <w:b/>
        </w:rPr>
        <w:t xml:space="preserve">Design implications:</w:t>
      </w:r>
    </w:p>
    <w:p>
      <w:pPr>
        <w:numPr>
          <w:ilvl w:val="0"/>
          <w:numId w:val="6"/>
        </w:numPr>
        <w:spacing w:lineRule="auto"/>
      </w:pPr>
      <w:r>
        <w:rPr/>
        <w:t xml:space="preserve">Judging criteria value multiple dimensions: technical excellence, social impact, creativity, teamwork, presentation quality, feasibility</w:t>
      </w:r>
    </w:p>
    <w:p>
      <w:pPr>
        <w:numPr>
          <w:ilvl w:val="0"/>
          <w:numId w:val="6"/>
        </w:numPr>
        <w:spacing w:lineRule="auto"/>
      </w:pPr>
      <w:r>
        <w:rPr>
          <w:rFonts w:eastAsia="Georgia" w:cs="Georgia" w:ascii="Georgia" w:hAnsi="Georgia"/>
        </w:rPr>
        <w:t xml:space="preserve">Recognition for learning, collaboration, and novel approaches—not just "winning"</w:t>
      </w:r>
    </w:p>
    <w:p>
      <w:pPr>
        <w:numPr>
          <w:ilvl w:val="0"/>
          <w:numId w:val="6"/>
        </w:numPr>
        <w:spacing w:lineRule="auto"/>
      </w:pPr>
      <w:r>
        <w:rPr/>
        <w:t xml:space="preserve">Graceful failure explicitly named as valid and valuable outcome</w:t>
      </w:r>
    </w:p>
    <w:p>
      <w:pPr>
        <w:numPr>
          <w:ilvl w:val="0"/>
          <w:numId w:val="6"/>
        </w:numPr>
        <w:spacing w:lineRule="auto"/>
      </w:pPr>
      <w:r>
        <w:rPr/>
        <w:t xml:space="preserve">Post-event pathways available to multiple projects, not just the top prize winner</w:t>
      </w:r>
    </w:p>
    <w:p>
      <w:pPr>
        <w:spacing w:line="271" w:before="240" w:lineRule="auto"/>
      </w:pPr>
      <w:bookmarkStart w:id="13" w:name="bm_7_the_moment_ends_the_value_must_not"/>
      <w:r>
        <w:rPr>
          <w:b/>
          <w:sz w:val="33"/>
        </w:rPr>
        <w:t xml:space="preserve">7. The Moment Ends; The Value Must Not</w:t>
      </w:r>
      <w:bookmarkEnd w:id="13"/>
    </w:p>
    <w:p>
      <w:pPr>
        <w:spacing w:after="210" w:lineRule="auto"/>
      </w:pPr>
      <w:r>
        <w:rPr>
          <w:b/>
        </w:rPr>
        <w:t xml:space="preserve">What it means:</w:t>
      </w:r>
      <w:r>
        <w:rPr/>
        <w:t xml:space="preserve"> If all value is contained within the event itself, it was entertainment, not transformation. Impact requires designing for continuation beyond the event boundary.</w:t>
      </w:r>
    </w:p>
    <w:p>
      <w:pPr>
        <w:spacing w:after="210" w:lineRule="auto"/>
      </w:pPr>
      <w:r>
        <w:rPr>
          <w:b/>
        </w:rPr>
        <w:t xml:space="preserve">Why it matters:</w:t>
      </w:r>
      <w:r>
        <w:rPr/>
        <w:t xml:space="preserve"> Research shows 65% of hackathon projects die immediately after the event; only 5% continue beyond five months. Post-event support is where actual impact is realized.</w:t>
      </w:r>
    </w:p>
    <w:p>
      <w:pPr>
        <w:spacing w:after="210" w:lineRule="auto"/>
      </w:pPr>
      <w:r>
        <w:rPr>
          <w:b/>
        </w:rPr>
        <w:t xml:space="preserve">Design implications:</w:t>
      </w:r>
    </w:p>
    <w:p>
      <w:pPr>
        <w:numPr>
          <w:ilvl w:val="0"/>
          <w:numId w:val="7"/>
        </w:numPr>
        <w:spacing w:lineRule="auto"/>
      </w:pPr>
      <w:r>
        <w:rPr/>
        <w:t xml:space="preserve">Continuity planning integrated from the design phase, not bolted on afterward</w:t>
      </w:r>
    </w:p>
    <w:p>
      <w:pPr>
        <w:numPr>
          <w:ilvl w:val="0"/>
          <w:numId w:val="7"/>
        </w:numPr>
        <w:spacing w:lineRule="auto"/>
      </w:pPr>
      <w:r>
        <w:rPr/>
        <w:t xml:space="preserve">Follow-up programs: mentorship, incubation, funding pathways, stakeholder connections</w:t>
      </w:r>
    </w:p>
    <w:p>
      <w:pPr>
        <w:numPr>
          <w:ilvl w:val="0"/>
          <w:numId w:val="7"/>
        </w:numPr>
        <w:spacing w:lineRule="auto"/>
      </w:pPr>
      <w:r>
        <w:rPr/>
        <w:t xml:space="preserve">Alumni networks that connect current participants to past cohorts</w:t>
      </w:r>
    </w:p>
    <w:p>
      <w:pPr>
        <w:numPr>
          <w:ilvl w:val="0"/>
          <w:numId w:val="7"/>
        </w:numPr>
        <w:spacing w:lineRule="auto"/>
      </w:pPr>
      <w:r>
        <w:rPr/>
        <w:t xml:space="preserve">Mechanisms to convert event momentum into sustained activity and real-world adoption</w:t>
      </w:r>
    </w:p>
    <w:p>
      <w:pPr>
        <w:spacing w:line="271" w:before="240" w:lineRule="auto"/>
      </w:pPr>
      <w:bookmarkStart w:id="14" w:name="bm_8_commitment_is_earned_continu_8db7f7"/>
      <w:r>
        <w:rPr>
          <w:b/>
          <w:sz w:val="33"/>
        </w:rPr>
        <w:t xml:space="preserve">8. Commitment is Earned Continuously, Not Assumed at Registration</w:t>
      </w:r>
      <w:bookmarkEnd w:id="14"/>
    </w:p>
    <w:p>
      <w:pPr>
        <w:spacing w:after="210" w:lineRule="auto"/>
      </w:pPr>
      <w:r>
        <w:rPr>
          <w:b/>
        </w:rPr>
        <w:t xml:space="preserve">What it means:</w:t>
      </w:r>
      <w:r>
        <w:rPr/>
        <w:t xml:space="preserve"> Showing up is not the same as being present. Engagement must be actively regenerated throughout the event through meaning, momentum, and connection.</w:t>
      </w:r>
    </w:p>
    <w:p>
      <w:pPr>
        <w:spacing w:after="210" w:lineRule="auto"/>
      </w:pPr>
      <w:r>
        <w:rPr>
          <w:b/>
        </w:rPr>
        <w:t xml:space="preserve">Why it matters:</w:t>
      </w:r>
      <w:r>
        <w:rPr/>
        <w:t xml:space="preserve"> Registration indicates interest; sustained engagement requires ongoing delivery of value, energy, and psychological safety. Participants vote with attention.</w:t>
      </w:r>
    </w:p>
    <w:p>
      <w:pPr>
        <w:spacing w:after="210" w:lineRule="auto"/>
      </w:pPr>
      <w:r>
        <w:rPr>
          <w:b/>
        </w:rPr>
        <w:t xml:space="preserve">Design implications:</w:t>
      </w:r>
    </w:p>
    <w:p>
      <w:pPr>
        <w:numPr>
          <w:ilvl w:val="0"/>
          <w:numId w:val="8"/>
        </w:numPr>
        <w:spacing w:lineRule="auto"/>
      </w:pPr>
      <w:r>
        <w:rPr/>
        <w:t xml:space="preserve">Narrative arc gives the event a story: clear beginning that creates stakes, middle with tension and discovery, end with resolution and meaning</w:t>
      </w:r>
    </w:p>
    <w:p>
      <w:pPr>
        <w:numPr>
          <w:ilvl w:val="0"/>
          <w:numId w:val="8"/>
        </w:numPr>
        <w:spacing w:lineRule="auto"/>
      </w:pPr>
      <w:r>
        <w:rPr/>
        <w:t xml:space="preserve">Regular energy renewal through social connection, surprise delights, and moments of play</w:t>
      </w:r>
    </w:p>
    <w:p>
      <w:pPr>
        <w:numPr>
          <w:ilvl w:val="0"/>
          <w:numId w:val="8"/>
        </w:numPr>
        <w:spacing w:lineRule="auto"/>
      </w:pPr>
      <w:r>
        <w:rPr/>
        <w:t xml:space="preserve">Continuous reinforcement of the event's purpose and participants' contribution to something meaningful</w:t>
      </w:r>
    </w:p>
    <w:p>
      <w:pPr>
        <w:numPr>
          <w:ilvl w:val="0"/>
          <w:numId w:val="8"/>
        </w:numPr>
        <w:spacing w:lineRule="auto"/>
      </w:pPr>
      <w:r>
        <w:rPr/>
        <w:t xml:space="preserve">Real stakeholders in the room adds authenticity and urgency</w:t>
      </w:r>
    </w:p>
    <w:p>
      <w:pPr>
        <w:spacing w:line="271" w:before="240" w:lineRule="auto"/>
      </w:pPr>
      <w:bookmarkStart w:id="15" w:name="bm_9_support_must_scale_with_ambition"/>
      <w:r>
        <w:rPr>
          <w:b/>
          <w:sz w:val="33"/>
        </w:rPr>
        <w:t xml:space="preserve">9. Support Must Scale with Ambition</w:t>
      </w:r>
      <w:bookmarkEnd w:id="15"/>
    </w:p>
    <w:p>
      <w:pPr>
        <w:spacing w:after="210" w:lineRule="auto"/>
      </w:pPr>
      <w:r>
        <w:rPr>
          <w:b/>
        </w:rPr>
        <w:t xml:space="preserve">What it means:</w:t>
      </w:r>
      <w:r>
        <w:rPr>
          <w:rFonts w:eastAsia="Georgia" w:cs="Georgia" w:ascii="Georgia" w:hAnsi="Georgia"/>
        </w:rPr>
        <w:t xml:space="preserve"> The more you ask of participants—technical complexity, time commitment, creative risk—the more scaffolding, resources, and expertise you are obligated to provide.</w:t>
      </w:r>
    </w:p>
    <w:p>
      <w:pPr>
        <w:spacing w:after="210" w:lineRule="auto"/>
      </w:pPr>
      <w:r>
        <w:rPr>
          <w:b/>
        </w:rPr>
        <w:t xml:space="preserve">Why it matters:</w:t>
      </w:r>
      <w:r>
        <w:rPr/>
        <w:t xml:space="preserve"> Ambitious challenges without adequate support create frustration and failure. Participants must feel held by the infrastructure.</w:t>
      </w:r>
    </w:p>
    <w:p>
      <w:pPr>
        <w:spacing w:after="210" w:lineRule="auto"/>
      </w:pPr>
      <w:r>
        <w:rPr>
          <w:b/>
        </w:rPr>
        <w:t xml:space="preserve">Design implications:</w:t>
      </w:r>
    </w:p>
    <w:p>
      <w:pPr>
        <w:numPr>
          <w:ilvl w:val="0"/>
          <w:numId w:val="9"/>
        </w:numPr>
        <w:spacing w:lineRule="auto"/>
      </w:pPr>
      <w:r>
        <w:rPr/>
        <w:t xml:space="preserve">Mentor-to-team ratios appropriate for challenge complexity</w:t>
      </w:r>
    </w:p>
    <w:p>
      <w:pPr>
        <w:numPr>
          <w:ilvl w:val="0"/>
          <w:numId w:val="9"/>
        </w:numPr>
        <w:spacing w:lineRule="auto"/>
      </w:pPr>
      <w:r>
        <w:rPr/>
        <w:t xml:space="preserve">Quality mentorship: continuously available experts who guide without derailing</w:t>
      </w:r>
    </w:p>
    <w:p>
      <w:pPr>
        <w:numPr>
          <w:ilvl w:val="0"/>
          <w:numId w:val="9"/>
        </w:numPr>
        <w:spacing w:lineRule="auto"/>
      </w:pPr>
      <w:r>
        <w:rPr/>
        <w:t xml:space="preserve">Access to technical resources, data, APIs, tools, and domain expertise as needed</w:t>
      </w:r>
    </w:p>
    <w:p>
      <w:pPr>
        <w:numPr>
          <w:ilvl w:val="0"/>
          <w:numId w:val="9"/>
        </w:numPr>
        <w:spacing w:lineRule="auto"/>
      </w:pPr>
      <w:r>
        <w:rPr/>
        <w:t xml:space="preserve">Pre-event skill-building for participants who need foundational knowledge</w:t>
      </w:r>
    </w:p>
    <w:p>
      <w:pPr>
        <w:spacing w:line="271" w:before="240" w:lineRule="auto"/>
      </w:pPr>
      <w:bookmarkStart w:id="16" w:name="bm_10_surprise_delights_uncertain_a1985b"/>
      <w:r>
        <w:rPr>
          <w:b/>
          <w:sz w:val="33"/>
        </w:rPr>
        <w:t xml:space="preserve">10. Surprise Delights; Uncertainty Stresses</w:t>
      </w:r>
      <w:bookmarkEnd w:id="16"/>
    </w:p>
    <w:p>
      <w:pPr>
        <w:spacing w:after="210" w:lineRule="auto"/>
      </w:pPr>
      <w:r>
        <w:rPr>
          <w:b/>
        </w:rPr>
        <w:t xml:space="preserve">What it means:</w:t>
      </w:r>
      <w:r>
        <w:rPr/>
        <w:t xml:space="preserve"> Unexpected positive experiences generate joy and memorability. Unexpected negative experiences (confusion, unmet needs, broken promises) generate stress. The distinction is whether participants feel held.</w:t>
      </w:r>
    </w:p>
    <w:p>
      <w:pPr>
        <w:spacing w:after="210" w:lineRule="auto"/>
      </w:pPr>
      <w:r>
        <w:rPr>
          <w:b/>
        </w:rPr>
        <w:t xml:space="preserve">Why it matters:</w:t>
      </w:r>
      <w:r>
        <w:rPr/>
        <w:t xml:space="preserve"> Both surprise and uncertainty are deviations from expectation, but they produce opposite emotional outcomes. Design must create safety before introducing novelty.</w:t>
      </w:r>
    </w:p>
    <w:p>
      <w:pPr>
        <w:spacing w:after="210" w:lineRule="auto"/>
      </w:pPr>
      <w:r>
        <w:rPr>
          <w:b/>
        </w:rPr>
        <w:t xml:space="preserve">Design implications:</w:t>
      </w:r>
    </w:p>
    <w:p>
      <w:pPr>
        <w:numPr>
          <w:ilvl w:val="0"/>
          <w:numId w:val="10"/>
        </w:numPr>
        <w:spacing w:lineRule="auto"/>
      </w:pPr>
      <w:r>
        <w:rPr/>
        <w:t xml:space="preserve">Core logistics (food, space, schedule, expectations) are rock-solid and predictable</w:t>
      </w:r>
    </w:p>
    <w:p>
      <w:pPr>
        <w:numPr>
          <w:ilvl w:val="0"/>
          <w:numId w:val="10"/>
        </w:numPr>
        <w:spacing w:lineRule="auto"/>
      </w:pPr>
      <w:r>
        <w:rPr/>
        <w:t xml:space="preserve">Delightful surprises layered on top of reliable foundation: special guests, unexpected recognitions, creative interludes</w:t>
      </w:r>
    </w:p>
    <w:p>
      <w:pPr>
        <w:numPr>
          <w:ilvl w:val="0"/>
          <w:numId w:val="10"/>
        </w:numPr>
        <w:spacing w:lineRule="auto"/>
      </w:pPr>
      <w:r>
        <w:rPr/>
        <w:t xml:space="preserve">Risk-taking encouraged within a context of clear support and safety</w:t>
      </w:r>
    </w:p>
    <w:p>
      <w:pPr>
        <w:numPr>
          <w:ilvl w:val="0"/>
          <w:numId w:val="10"/>
        </w:numPr>
        <w:spacing w:lineRule="auto"/>
      </w:pPr>
      <w:r>
        <w:rPr/>
        <w:t xml:space="preserve">Psychological contract never violated; changes communicated proactively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enabling_conditions_for_excellence"/>
      <w:r>
        <w:rPr>
          <w:b/>
          <w:sz w:val="42"/>
        </w:rPr>
        <w:t xml:space="preserve">Enabling Conditions for Excellence</w:t>
      </w:r>
      <w:bookmarkEnd w:id="17"/>
    </w:p>
    <w:p>
      <w:pPr>
        <w:spacing w:line="271" w:before="240" w:lineRule="auto"/>
      </w:pPr>
      <w:bookmarkStart w:id="18" w:name="diversity_and_inclusion_as_perfor_16837f"/>
      <w:r>
        <w:rPr>
          <w:b/>
          <w:sz w:val="33"/>
        </w:rPr>
        <w:t xml:space="preserve">Diversity and Inclusion as Performance Strategy</w:t>
      </w:r>
      <w:bookmarkEnd w:id="18"/>
    </w:p>
    <w:p>
      <w:pPr>
        <w:spacing w:after="210" w:lineRule="auto"/>
      </w:pPr>
      <w:r>
        <w:rPr>
          <w:rFonts w:eastAsia="Georgia" w:cs="Georgia" w:ascii="Georgia" w:hAnsi="Georgia"/>
        </w:rPr>
        <w:t xml:space="preserve">Heterogeneous teams produce more novel, viable solutions because they draw on wider ranges of lived experience and mental models. Inclusion is not just equitable—it unlocks ideas and participants that homogeneous formats structurally exclude.</w:t>
      </w:r>
    </w:p>
    <w:p>
      <w:pPr>
        <w:spacing w:after="210" w:lineRule="auto"/>
      </w:pPr>
      <w:r>
        <w:rPr>
          <w:b/>
        </w:rPr>
        <w:t xml:space="preserve">Implications:</w:t>
      </w:r>
    </w:p>
    <w:p>
      <w:pPr>
        <w:numPr>
          <w:ilvl w:val="0"/>
          <w:numId w:val="11"/>
        </w:numPr>
        <w:spacing w:lineRule="auto"/>
      </w:pPr>
      <w:r>
        <w:rPr/>
        <w:t xml:space="preserve">Active design for inclusion: flexible participation modes, reduced technical gatekeeping, asynchronous options</w:t>
      </w:r>
    </w:p>
    <w:p>
      <w:pPr>
        <w:numPr>
          <w:ilvl w:val="0"/>
          <w:numId w:val="11"/>
        </w:numPr>
        <w:spacing w:lineRule="auto"/>
      </w:pPr>
      <w:r>
        <w:rPr/>
        <w:t xml:space="preserve">Centering lived experience, not just assumed technical expertise</w:t>
      </w:r>
    </w:p>
    <w:p>
      <w:pPr>
        <w:numPr>
          <w:ilvl w:val="0"/>
          <w:numId w:val="11"/>
        </w:numPr>
        <w:spacing w:lineRule="auto"/>
      </w:pPr>
      <w:r>
        <w:rPr/>
        <w:t xml:space="preserve">Team composition deliberately mixed across skill levels, backgrounds, and perspectives</w:t>
      </w:r>
    </w:p>
    <w:p>
      <w:pPr>
        <w:numPr>
          <w:ilvl w:val="0"/>
          <w:numId w:val="11"/>
        </w:numPr>
        <w:spacing w:lineRule="auto"/>
      </w:pPr>
      <w:r>
        <w:rPr/>
        <w:t xml:space="preserve">Accessibility considered from the beginning, not retrofitted</w:t>
      </w:r>
    </w:p>
    <w:p>
      <w:pPr>
        <w:spacing w:line="271" w:before="240" w:lineRule="auto"/>
      </w:pPr>
      <w:bookmarkStart w:id="19" w:name="values_driven_challenges_as_motiv_f2bf95"/>
      <w:r>
        <w:rPr>
          <w:b/>
          <w:sz w:val="33"/>
        </w:rPr>
        <w:t xml:space="preserve">Values-Driven Challenges as Motivation Engine</w:t>
      </w:r>
      <w:bookmarkEnd w:id="19"/>
    </w:p>
    <w:p>
      <w:pPr>
        <w:spacing w:after="210" w:lineRule="auto"/>
      </w:pPr>
      <w:r>
        <w:rPr/>
        <w:t xml:space="preserve">Challenges rooted in clear values propositions (sustainability, ethics, social impact) generate higher intrinsic motivation, sustained engagement, and stronger sense of personal meaning. Values alignment helps teams navigate ambiguity and maintain focus.</w:t>
      </w:r>
    </w:p>
    <w:p>
      <w:pPr>
        <w:spacing w:after="210" w:lineRule="auto"/>
      </w:pPr>
      <w:r>
        <w:rPr>
          <w:b/>
        </w:rPr>
        <w:t xml:space="preserve">Implications:</w:t>
      </w:r>
    </w:p>
    <w:p>
      <w:pPr>
        <w:numPr>
          <w:ilvl w:val="0"/>
          <w:numId w:val="12"/>
        </w:numPr>
        <w:spacing w:lineRule="auto"/>
      </w:pPr>
      <w:r>
        <w:rPr/>
        <w:t xml:space="preserve">Challenge selection reflects shared values of organizers, sponsors, and target participants</w:t>
      </w:r>
    </w:p>
    <w:p>
      <w:pPr>
        <w:numPr>
          <w:ilvl w:val="0"/>
          <w:numId w:val="12"/>
        </w:numPr>
        <w:spacing w:lineRule="auto"/>
      </w:pPr>
      <w:r>
        <w:rPr/>
        <w:t xml:space="preserve">Problems connected to real-world impact with visible, quantified potential outcomes</w:t>
      </w:r>
    </w:p>
    <w:p>
      <w:pPr>
        <w:numPr>
          <w:ilvl w:val="0"/>
          <w:numId w:val="12"/>
        </w:numPr>
        <w:spacing w:lineRule="auto"/>
      </w:pPr>
      <w:r>
        <w:rPr/>
        <w:t xml:space="preserve">Ethics and sustainability as design constraints, not post-hoc filters</w:t>
      </w:r>
    </w:p>
    <w:p>
      <w:pPr>
        <w:numPr>
          <w:ilvl w:val="0"/>
          <w:numId w:val="12"/>
        </w:numPr>
        <w:spacing w:lineRule="auto"/>
      </w:pPr>
      <w:r>
        <w:rPr/>
        <w:t xml:space="preserve">Real stakeholders (affected communities, users, domain experts) present and engaged</w:t>
      </w:r>
    </w:p>
    <w:p>
      <w:pPr>
        <w:spacing w:line="271" w:before="240" w:lineRule="auto"/>
      </w:pPr>
      <w:bookmarkStart w:id="20" w:name="stakeholder_alignment_as_coherenc_b2a71f"/>
      <w:r>
        <w:rPr>
          <w:b/>
          <w:sz w:val="33"/>
        </w:rPr>
        <w:t xml:space="preserve">Stakeholder Alignment as Coherence Multiplier</w:t>
      </w:r>
      <w:bookmarkEnd w:id="20"/>
    </w:p>
    <w:p>
      <w:pPr>
        <w:spacing w:after="210" w:lineRule="auto"/>
      </w:pPr>
      <w:r>
        <w:rPr/>
        <w:t xml:space="preserve">When organizers, sponsors, judges, mentors, and participants share coherent purpose and values, the event atmosphere becomes psychologically safe and strategically focused. Misalignment creates competing agendas, extractive behavior, and participant distrust.</w:t>
      </w:r>
    </w:p>
    <w:p>
      <w:pPr>
        <w:spacing w:after="210" w:lineRule="auto"/>
      </w:pPr>
      <w:r>
        <w:rPr>
          <w:b/>
        </w:rPr>
        <w:t xml:space="preserve">Implications:</w:t>
      </w:r>
    </w:p>
    <w:p>
      <w:pPr>
        <w:numPr>
          <w:ilvl w:val="0"/>
          <w:numId w:val="13"/>
        </w:numPr>
        <w:spacing w:lineRule="auto"/>
      </w:pPr>
      <w:r>
        <w:rPr/>
        <w:t xml:space="preserve">Early alignment conversations among all stakeholder groups about goals and values</w:t>
      </w:r>
    </w:p>
    <w:p>
      <w:pPr>
        <w:numPr>
          <w:ilvl w:val="0"/>
          <w:numId w:val="13"/>
        </w:numPr>
        <w:spacing w:lineRule="auto"/>
      </w:pPr>
      <w:r>
        <w:rPr/>
        <w:t xml:space="preserve">Sponsor motivations made transparent (learning vs. IP acquisition vs. talent recruitment vs. brand)</w:t>
      </w:r>
    </w:p>
    <w:p>
      <w:pPr>
        <w:numPr>
          <w:ilvl w:val="0"/>
          <w:numId w:val="13"/>
        </w:numPr>
        <w:spacing w:lineRule="auto"/>
      </w:pPr>
      <w:r>
        <w:rPr/>
        <w:t xml:space="preserve">Post-event pathways genuinely available (not performative promises)</w:t>
      </w:r>
    </w:p>
    <w:p>
      <w:pPr>
        <w:numPr>
          <w:ilvl w:val="0"/>
          <w:numId w:val="13"/>
        </w:numPr>
        <w:spacing w:lineRule="auto"/>
      </w:pPr>
      <w:r>
        <w:rPr/>
        <w:t xml:space="preserve">All parties invest in participant success, not just their own extraction</w:t>
      </w:r>
    </w:p>
    <w:p>
      <w:pPr>
        <w:spacing w:line="271" w:before="240" w:lineRule="auto"/>
      </w:pPr>
      <w:bookmarkStart w:id="21" w:name="pre_event_onboarding_as_anxiety_reducer"/>
      <w:r>
        <w:rPr>
          <w:b/>
          <w:sz w:val="33"/>
        </w:rPr>
        <w:t xml:space="preserve">Pre-Event Onboarding as Anxiety Reducer</w:t>
      </w:r>
      <w:bookmarkEnd w:id="21"/>
    </w:p>
    <w:p>
      <w:pPr>
        <w:spacing w:after="210" w:lineRule="auto"/>
      </w:pPr>
      <w:r>
        <w:rPr/>
        <w:t xml:space="preserve">Most participant anxiety and skill gaps surface in the first two hours. Structured pre-event engagement accelerates momentum, builds social connections, and reduces early friction.</w:t>
      </w:r>
    </w:p>
    <w:p>
      <w:pPr>
        <w:spacing w:after="210" w:lineRule="auto"/>
      </w:pPr>
      <w:r>
        <w:rPr>
          <w:b/>
        </w:rPr>
        <w:t xml:space="preserve">Implications:</w:t>
      </w:r>
    </w:p>
    <w:p>
      <w:pPr>
        <w:numPr>
          <w:ilvl w:val="0"/>
          <w:numId w:val="14"/>
        </w:numPr>
        <w:spacing w:lineRule="auto"/>
      </w:pPr>
      <w:r>
        <w:rPr/>
        <w:t xml:space="preserve">Pre-event activities: team introductions, mini-challenges, domain primers, tool tutorials</w:t>
      </w:r>
    </w:p>
    <w:p>
      <w:pPr>
        <w:numPr>
          <w:ilvl w:val="0"/>
          <w:numId w:val="14"/>
        </w:numPr>
        <w:spacing w:lineRule="auto"/>
      </w:pPr>
      <w:r>
        <w:rPr/>
        <w:t xml:space="preserve">Clear communication about what to expect, what to bring, what will be provided</w:t>
      </w:r>
    </w:p>
    <w:p>
      <w:pPr>
        <w:numPr>
          <w:ilvl w:val="0"/>
          <w:numId w:val="14"/>
        </w:numPr>
        <w:spacing w:lineRule="auto"/>
      </w:pPr>
      <w:r>
        <w:rPr/>
        <w:t xml:space="preserve">Opportunities for early questions and clarifications</w:t>
      </w:r>
    </w:p>
    <w:p>
      <w:pPr>
        <w:numPr>
          <w:ilvl w:val="0"/>
          <w:numId w:val="14"/>
        </w:numPr>
        <w:spacing w:lineRule="auto"/>
      </w:pPr>
      <w:r>
        <w:rPr/>
        <w:t xml:space="preserve">Social icebreaking begins before the official start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measurement_learning_and_continuo_4b1f7d"/>
      <w:r>
        <w:rPr>
          <w:b/>
          <w:sz w:val="42"/>
        </w:rPr>
        <w:t xml:space="preserve">Measurement, Learning, and Continuous Improvement</w:t>
      </w:r>
      <w:bookmarkEnd w:id="22"/>
    </w:p>
    <w:p>
      <w:pPr>
        <w:spacing w:line="271" w:before="240" w:lineRule="auto"/>
      </w:pPr>
      <w:bookmarkStart w:id="23" w:name="comprehensive_impact_measurement_b042ae"/>
      <w:r>
        <w:rPr>
          <w:b/>
          <w:sz w:val="33"/>
        </w:rPr>
        <w:t xml:space="preserve">Comprehensive Impact Measurement Framework</w:t>
      </w:r>
      <w:bookmarkEnd w:id="23"/>
    </w:p>
    <w:p>
      <w:pPr>
        <w:spacing w:after="210" w:lineRule="auto"/>
      </w:pPr>
      <w:r>
        <w:rPr>
          <w:rFonts w:eastAsia="Georgia" w:cs="Georgia" w:ascii="Georgia" w:hAnsi="Georgia"/>
        </w:rPr>
        <w:t xml:space="preserve">Measuring outcomes at multiple levels—event success and ecosystem impact—enables demonstration of value to stakeholders and provides the feedback loop for continuous improvement.</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Event-Level Metrics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Ecosystem-Level Metrics</w:t>
            </w:r>
          </w:p>
        </w:tc>
      </w:tr>
      <w:tr>
        <w:trPr>
          <w:cantSplit/>
        </w:trPr>
        <w:tc>
          <w:tcPr>
            <w:tcBorders>
              <w:left w:val="single" w:sz="8" w:space="0" w:color="000000"/>
              <w:right w:val="single" w:sz="8" w:space="0" w:color="000000"/>
            </w:tcBorders>
            <w:vAlign w:val="center"/>
          </w:tcPr>
          <w:p>
            <w:pPr>
              <w:spacing w:lineRule="auto"/>
              <w:jc w:val="left"/>
            </w:pPr>
            <w:r>
              <w:rPr/>
              <w:t xml:space="preserve">Number of participants</w:t>
            </w:r>
          </w:p>
        </w:tc>
        <w:tc>
          <w:tcPr>
            <w:tcBorders>
              <w:right w:val="single" w:sz="8" w:space="0" w:color="000000"/>
            </w:tcBorders>
            <w:vAlign w:val="center"/>
          </w:tcPr>
          <w:p>
            <w:pPr>
              <w:spacing w:lineRule="auto"/>
              <w:jc w:val="left"/>
            </w:pPr>
            <w:r>
              <w:rPr/>
              <w:t xml:space="preserve">Projects continued post-event</w:t>
            </w:r>
          </w:p>
        </w:tc>
      </w:tr>
      <w:tr>
        <w:trPr>
          <w:cantSplit/>
        </w:trPr>
        <w:tc>
          <w:tcPr>
            <w:tcBorders>
              <w:left w:val="single" w:sz="8" w:space="0" w:color="000000"/>
              <w:right w:val="single" w:sz="8" w:space="0" w:color="000000"/>
            </w:tcBorders>
            <w:vAlign w:val="center"/>
          </w:tcPr>
          <w:p>
            <w:pPr>
              <w:spacing w:lineRule="auto"/>
              <w:jc w:val="left"/>
            </w:pPr>
            <w:r>
              <w:rPr/>
              <w:t xml:space="preserve">Number of teams</w:t>
            </w:r>
          </w:p>
        </w:tc>
        <w:tc>
          <w:tcPr>
            <w:tcBorders>
              <w:right w:val="single" w:sz="8" w:space="0" w:color="000000"/>
            </w:tcBorders>
            <w:vAlign w:val="center"/>
          </w:tcPr>
          <w:p>
            <w:pPr>
              <w:spacing w:lineRule="auto"/>
              <w:jc w:val="left"/>
            </w:pPr>
            <w:r>
              <w:rPr/>
              <w:t xml:space="preserve">Collaborations sustained</w:t>
            </w:r>
          </w:p>
        </w:tc>
      </w:tr>
      <w:tr>
        <w:trPr>
          <w:cantSplit/>
        </w:trPr>
        <w:tc>
          <w:tcPr>
            <w:tcBorders>
              <w:left w:val="single" w:sz="8" w:space="0" w:color="000000"/>
              <w:right w:val="single" w:sz="8" w:space="0" w:color="000000"/>
            </w:tcBorders>
            <w:vAlign w:val="center"/>
          </w:tcPr>
          <w:p>
            <w:pPr>
              <w:spacing w:lineRule="auto"/>
              <w:jc w:val="left"/>
            </w:pPr>
            <w:r>
              <w:rPr/>
              <w:t xml:space="preserve">Number of projects submitted</w:t>
            </w:r>
          </w:p>
        </w:tc>
        <w:tc>
          <w:tcPr>
            <w:tcBorders>
              <w:right w:val="single" w:sz="8" w:space="0" w:color="000000"/>
            </w:tcBorders>
            <w:vAlign w:val="center"/>
          </w:tcPr>
          <w:p>
            <w:pPr>
              <w:spacing w:lineRule="auto"/>
              <w:jc w:val="left"/>
            </w:pPr>
            <w:r>
              <w:rPr/>
              <w:t xml:space="preserve">Teams that stay together</w:t>
            </w:r>
          </w:p>
        </w:tc>
      </w:tr>
      <w:tr>
        <w:trPr>
          <w:cantSplit/>
        </w:trPr>
        <w:tc>
          <w:tcPr>
            <w:tcBorders>
              <w:left w:val="single" w:sz="8" w:space="0" w:color="000000"/>
              <w:right w:val="single" w:sz="8" w:space="0" w:color="000000"/>
            </w:tcBorders>
            <w:vAlign w:val="center"/>
          </w:tcPr>
          <w:p>
            <w:pPr>
              <w:spacing w:lineRule="auto"/>
              <w:jc w:val="left"/>
            </w:pPr>
            <w:r>
              <w:rPr/>
              <w:t xml:space="preserve">Participant satisfaction</w:t>
            </w:r>
          </w:p>
        </w:tc>
        <w:tc>
          <w:tcPr>
            <w:tcBorders>
              <w:right w:val="single" w:sz="8" w:space="0" w:color="000000"/>
            </w:tcBorders>
            <w:vAlign w:val="center"/>
          </w:tcPr>
          <w:p>
            <w:pPr>
              <w:spacing w:lineRule="auto"/>
              <w:jc w:val="left"/>
            </w:pPr>
            <w:r>
              <w:rPr/>
              <w:t xml:space="preserve">Jobs created</w:t>
            </w:r>
          </w:p>
        </w:tc>
      </w:tr>
      <w:tr>
        <w:trPr>
          <w:cantSplit/>
        </w:trPr>
        <w:tc>
          <w:tcPr>
            <w:tcBorders>
              <w:left w:val="single" w:sz="8" w:space="0" w:color="000000"/>
              <w:right w:val="single" w:sz="8" w:space="0" w:color="000000"/>
            </w:tcBorders>
            <w:vAlign w:val="center"/>
          </w:tcPr>
          <w:p>
            <w:pPr>
              <w:spacing w:lineRule="auto"/>
              <w:jc w:val="left"/>
            </w:pPr>
            <w:r>
              <w:rPr/>
              <w:t xml:space="preserve">Ideas generated</w:t>
            </w:r>
          </w:p>
        </w:tc>
        <w:tc>
          <w:tcPr>
            <w:tcBorders>
              <w:right w:val="single" w:sz="8" w:space="0" w:color="000000"/>
            </w:tcBorders>
            <w:vAlign w:val="center"/>
          </w:tcPr>
          <w:p>
            <w:pPr>
              <w:spacing w:lineRule="auto"/>
              <w:jc w:val="left"/>
            </w:pPr>
            <w:r>
              <w:rPr/>
              <w:t xml:space="preserve">Venture capital investments secured</w:t>
            </w:r>
          </w:p>
        </w:tc>
      </w:tr>
      <w:tr>
        <w:trPr>
          <w:cantSplit/>
        </w:trPr>
        <w:tc>
          <w:tcPr>
            <w:tcBorders>
              <w:left w:val="single" w:sz="8" w:space="0" w:color="000000"/>
              <w:right w:val="single" w:sz="8" w:space="0" w:color="000000"/>
            </w:tcBorders>
            <w:vAlign w:val="center"/>
          </w:tcPr>
          <w:p>
            <w:pPr>
              <w:spacing w:lineRule="auto"/>
              <w:jc w:val="left"/>
            </w:pPr>
            <w:r>
              <w:rPr/>
              <w:t xml:space="preserve">Learning outcomes</w:t>
            </w:r>
          </w:p>
        </w:tc>
        <w:tc>
          <w:tcPr>
            <w:tcBorders>
              <w:right w:val="single" w:sz="8" w:space="0" w:color="000000"/>
            </w:tcBorders>
            <w:vAlign w:val="center"/>
          </w:tcPr>
          <w:p>
            <w:pPr>
              <w:spacing w:lineRule="auto"/>
              <w:jc w:val="left"/>
            </w:pPr>
            <w:r>
              <w:rPr/>
              <w:t xml:space="preserve">Patents, IP licensing</w:t>
            </w:r>
          </w:p>
        </w:tc>
      </w:tr>
      <w:tr>
        <w:trPr>
          <w:cantSplit/>
        </w:trPr>
        <w:tc>
          <w:tcPr>
            <w:tcBorders>
              <w:left w:val="single" w:sz="8" w:space="0" w:color="000000"/>
              <w:right w:val="single" w:sz="8" w:space="0" w:color="000000"/>
            </w:tcBorders>
            <w:vAlign w:val="center"/>
          </w:tcPr>
          <w:p>
            <w:pPr>
              <w:spacing w:lineRule="auto"/>
              <w:jc w:val="left"/>
            </w:pPr>
            <w:r>
              <w:rPr/>
              <w:t xml:space="preserve">Networking connections made</w:t>
            </w:r>
          </w:p>
        </w:tc>
        <w:tc>
          <w:tcPr>
            <w:tcBorders>
              <w:right w:val="single" w:sz="8" w:space="0" w:color="000000"/>
            </w:tcBorders>
            <w:vAlign w:val="center"/>
          </w:tcPr>
          <w:p>
            <w:pPr>
              <w:spacing w:lineRule="auto"/>
              <w:jc w:val="left"/>
            </w:pPr>
            <w:r>
              <w:rPr/>
              <w:t xml:space="preserve">Accelerated innovation cycles</w:t>
            </w:r>
          </w:p>
        </w:tc>
      </w:tr>
      <w:tr>
        <w:trPr>
          <w:cantSplit/>
        </w:trPr>
        <w:tc>
          <w:tcPr>
            <w:tcBorders>
              <w:left w:val="single" w:sz="8" w:space="0" w:color="000000"/>
              <w:right w:val="single" w:sz="8" w:space="0" w:color="000000"/>
            </w:tcBorders>
            <w:vAlign w:val="center"/>
          </w:tcPr>
          <w:p>
            <w:pPr>
              <w:spacing w:lineRule="auto"/>
              <w:jc w:val="left"/>
            </w:pPr>
            <w:r>
              <w:rPr/>
              <w:t xml:space="preserve">Press mentions</w:t>
            </w:r>
          </w:p>
        </w:tc>
        <w:tc>
          <w:tcPr>
            <w:tcBorders>
              <w:right w:val="single" w:sz="8" w:space="0" w:color="000000"/>
            </w:tcBorders>
            <w:vAlign w:val="center"/>
          </w:tcPr>
          <w:p>
            <w:pPr>
              <w:spacing w:lineRule="auto"/>
              <w:jc w:val="left"/>
            </w:pPr>
            <w:r>
              <w:rPr/>
              <w:t xml:space="preserve">Inquiries for solutions</w:t>
            </w:r>
          </w:p>
        </w:tc>
      </w:tr>
      <w:tr>
        <w:trPr>
          <w:cantSplit/>
        </w:trPr>
        <w:tc>
          <w:tcPr>
            <w:tcBorders>
              <w:left w:val="single" w:sz="8" w:space="0" w:color="000000"/>
              <w:right w:val="single" w:sz="8" w:space="0" w:color="000000"/>
            </w:tcBorders>
            <w:vAlign w:val="center"/>
          </w:tcPr>
          <w:p>
            <w:pPr>
              <w:spacing w:lineRule="auto"/>
              <w:jc w:val="left"/>
            </w:pPr>
            <w:r>
              <w:rPr/>
              <w:t xml:space="preserve">Money raised during event</w:t>
            </w:r>
          </w:p>
        </w:tc>
        <w:tc>
          <w:tcPr>
            <w:tcBorders>
              <w:right w:val="single" w:sz="8" w:space="0" w:color="000000"/>
            </w:tcBorders>
            <w:vAlign w:val="center"/>
          </w:tcPr>
          <w:p>
            <w:pPr>
              <w:spacing w:lineRule="auto"/>
              <w:jc w:val="left"/>
            </w:pPr>
            <w:r>
              <w:rPr/>
              <w:t xml:space="preserve">Real-world adoptions</w:t>
            </w:r>
          </w:p>
        </w:tc>
      </w:tr>
      <w:tr>
        <w:trPr>
          <w:cantSplit/>
        </w:trPr>
        <w:tc>
          <w:tcPr>
            <w:tcBorders>
              <w:left w:val="single" w:sz="8" w:space="0" w:color="000000"/>
              <w:right w:val="single" w:sz="8" w:space="0" w:color="000000"/>
            </w:tcBorders>
            <w:vAlign w:val="center"/>
          </w:tcPr>
          <w:p>
            <w:pPr>
              <w:spacing w:lineRule="auto"/>
              <w:jc w:val="left"/>
            </w:pPr>
            <w:r>
              <w:rPr/>
              <w:t xml:space="preserve">Technical artifacts produced</w:t>
            </w:r>
          </w:p>
        </w:tc>
        <w:tc>
          <w:tcPr>
            <w:tcBorders>
              <w:right w:val="single" w:sz="8" w:space="0" w:color="000000"/>
            </w:tcBorders>
            <w:vAlign w:val="center"/>
          </w:tcPr>
          <w:p>
            <w:pPr>
              <w:spacing w:lineRule="auto"/>
              <w:jc w:val="left"/>
            </w:pPr>
            <w:r>
              <w:rPr/>
              <w:t xml:space="preserve">Behavioral change in participants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Non-technical artifacts</w:t>
            </w:r>
          </w:p>
        </w:tc>
        <w:tc>
          <w:tcPr>
            <w:tcBorders>
              <w:bottom w:val="single" w:sz="8" w:space="0" w:color="000000"/>
              <w:right w:val="single" w:sz="8" w:space="0" w:color="000000"/>
            </w:tcBorders>
            <w:vAlign w:val="center"/>
          </w:tcPr>
          <w:p>
            <w:pPr>
              <w:spacing w:lineRule="auto"/>
              <w:jc w:val="left"/>
            </w:pPr>
            <w:r>
              <w:rPr/>
              <w:t xml:space="preserve">Spin-off initiatives</w:t>
            </w:r>
          </w:p>
        </w:tc>
      </w:tr>
    </w:tbl>
    <w:p>
      <w:pPr>
        <w:spacing w:lineRule="auto"/>
      </w:pPr>
    </w:p>
    <w:p>
      <w:pPr>
        <w:spacing w:lineRule="auto"/>
      </w:pPr>
      <w:r>
        <w:rPr/>
        <w:t xml:space="preserve">Table 1: Two-level measurement framework for hackathon impact</w:t>
      </w:r>
    </w:p>
    <w:p>
      <w:pPr>
        <w:spacing w:line="271" w:before="240" w:lineRule="auto"/>
      </w:pPr>
      <w:bookmarkStart w:id="24" w:name="measurement_strategy"/>
      <w:r>
        <w:rPr>
          <w:b/>
          <w:sz w:val="33"/>
        </w:rPr>
        <w:t xml:space="preserve">Measurement Strategy</w:t>
      </w:r>
      <w:bookmarkEnd w:id="24"/>
    </w:p>
    <w:p>
      <w:pPr>
        <w:numPr>
          <w:ilvl w:val="0"/>
          <w:numId w:val="15"/>
        </w:numPr>
        <w:spacing w:lineRule="auto"/>
      </w:pPr>
      <w:r>
        <w:rPr>
          <w:b/>
        </w:rPr>
        <w:t xml:space="preserve">Pre-event baseline:</w:t>
      </w:r>
      <w:r>
        <w:rPr/>
        <w:t xml:space="preserve"> Participant expectations, skill levels, motivations captured through registration surveys</w:t>
      </w:r>
    </w:p>
    <w:p>
      <w:pPr>
        <w:numPr>
          <w:ilvl w:val="0"/>
          <w:numId w:val="15"/>
        </w:numPr>
        <w:spacing w:lineRule="auto"/>
      </w:pPr>
      <w:r>
        <w:rPr>
          <w:b/>
        </w:rPr>
        <w:t xml:space="preserve">During-event tracking:</w:t>
      </w:r>
      <w:r>
        <w:rPr/>
        <w:t xml:space="preserve"> Real-time engagement metrics, milestone achievement, mentor interactions, team dynamics</w:t>
      </w:r>
    </w:p>
    <w:p>
      <w:pPr>
        <w:numPr>
          <w:ilvl w:val="0"/>
          <w:numId w:val="15"/>
        </w:numPr>
        <w:spacing w:lineRule="auto"/>
      </w:pPr>
      <w:r>
        <w:rPr>
          <w:b/>
        </w:rPr>
        <w:t xml:space="preserve">Immediate post-event:</w:t>
      </w:r>
      <w:r>
        <w:rPr/>
        <w:t xml:space="preserve"> Participant satisfaction, learning outcomes, connections made, project completion</w:t>
      </w:r>
    </w:p>
    <w:p>
      <w:pPr>
        <w:numPr>
          <w:ilvl w:val="0"/>
          <w:numId w:val="15"/>
        </w:numPr>
        <w:spacing w:lineRule="auto"/>
      </w:pPr>
      <w:r>
        <w:rPr>
          <w:b/>
        </w:rPr>
        <w:t xml:space="preserve">30-day follow-up:</w:t>
      </w:r>
      <w:r>
        <w:rPr/>
        <w:t xml:space="preserve"> Project continuation, team cohesion, resource needs, early adoption signals</w:t>
      </w:r>
    </w:p>
    <w:p>
      <w:pPr>
        <w:numPr>
          <w:ilvl w:val="0"/>
          <w:numId w:val="15"/>
        </w:numPr>
        <w:spacing w:lineRule="auto"/>
      </w:pPr>
      <w:r>
        <w:rPr>
          <w:b/>
        </w:rPr>
        <w:t xml:space="preserve">6-month follow-up:</w:t>
      </w:r>
      <w:r>
        <w:rPr/>
        <w:t xml:space="preserve"> Sustained impact, behavioral changes, career outcomes, venture creation</w:t>
      </w:r>
    </w:p>
    <w:p>
      <w:pPr>
        <w:numPr>
          <w:ilvl w:val="0"/>
          <w:numId w:val="15"/>
        </w:numPr>
        <w:spacing w:lineRule="auto"/>
      </w:pPr>
      <w:r>
        <w:rPr>
          <w:b/>
        </w:rPr>
        <w:t xml:space="preserve">12-month follow-up:</w:t>
      </w:r>
      <w:r>
        <w:rPr/>
        <w:t xml:space="preserve"> Long-term ecosystem effects, alumni engagement, community building</w:t>
      </w:r>
    </w:p>
    <w:p>
      <w:pPr>
        <w:spacing w:line="271" w:before="240" w:lineRule="auto"/>
      </w:pPr>
      <w:bookmarkStart w:id="25" w:name="risk_management_as_proactive_design"/>
      <w:r>
        <w:rPr>
          <w:b/>
          <w:sz w:val="33"/>
        </w:rPr>
        <w:t xml:space="preserve">Risk Management as Proactive Design</w:t>
      </w:r>
      <w:bookmarkEnd w:id="25"/>
    </w:p>
    <w:p>
      <w:pPr>
        <w:spacing w:after="210" w:lineRule="auto"/>
      </w:pPr>
      <w:r>
        <w:rPr/>
        <w:t xml:space="preserve">Identifying potential challenges and failure modes before the event enables mitigation strategies and response protocols, reducing live disruption and creating professional handling when issues arise.</w:t>
      </w:r>
    </w:p>
    <w:p>
      <w:pPr>
        <w:spacing w:line="271" w:before="240" w:lineRule="auto"/>
      </w:pPr>
      <w:bookmarkStart w:id="26" w:name="risk_identification_process"/>
      <w:r>
        <w:rPr>
          <w:b/>
          <w:sz w:val="28"/>
        </w:rPr>
        <w:t xml:space="preserve">Risk Identification Process</w:t>
      </w:r>
      <w:bookmarkEnd w:id="26"/>
    </w:p>
    <w:p>
      <w:pPr>
        <w:numPr>
          <w:ilvl w:val="0"/>
          <w:numId w:val="16"/>
        </w:numPr>
        <w:spacing w:lineRule="auto"/>
      </w:pPr>
      <w:r>
        <w:rPr>
          <w:rFonts w:eastAsia="Georgia" w:cs="Georgia" w:ascii="Georgia" w:hAnsi="Georgia"/>
        </w:rPr>
        <w:t xml:space="preserve">Conduct pre-mortem exercise: "Imagine the event failed catastrophically—what happened?"</w:t>
      </w:r>
    </w:p>
    <w:p>
      <w:pPr>
        <w:numPr>
          <w:ilvl w:val="0"/>
          <w:numId w:val="16"/>
        </w:numPr>
        <w:spacing w:lineRule="auto"/>
      </w:pPr>
      <w:r>
        <w:rPr/>
        <w:t xml:space="preserve">Involve diverse stakeholders (participants, mentors, sponsors, operations team) to capture multiple perspectives</w:t>
      </w:r>
    </w:p>
    <w:p>
      <w:pPr>
        <w:numPr>
          <w:ilvl w:val="0"/>
          <w:numId w:val="16"/>
        </w:numPr>
        <w:spacing w:lineRule="auto"/>
      </w:pPr>
      <w:r>
        <w:rPr/>
        <w:t xml:space="preserve">Review failure modes from past hackathons (literature and direct experience)</w:t>
      </w:r>
    </w:p>
    <w:p>
      <w:pPr>
        <w:numPr>
          <w:ilvl w:val="0"/>
          <w:numId w:val="16"/>
        </w:numPr>
        <w:spacing w:lineRule="auto"/>
      </w:pPr>
      <w:r>
        <w:rPr/>
        <w:t xml:space="preserve">Document each risk with: likelihood, potential impact, early warning signs, mitigation strategy, response protocol</w:t>
      </w:r>
    </w:p>
    <w:p>
      <w:pPr>
        <w:spacing w:line="271" w:before="240" w:lineRule="auto"/>
      </w:pPr>
      <w:bookmarkStart w:id="27" w:name="common_risk_categories"/>
      <w:r>
        <w:rPr>
          <w:b/>
          <w:sz w:val="28"/>
        </w:rPr>
        <w:t xml:space="preserve">Common Risk Categories</w:t>
      </w:r>
      <w:bookmarkEnd w:id="27"/>
    </w:p>
    <w:p>
      <w:pPr>
        <w:numPr>
          <w:ilvl w:val="0"/>
          <w:numId w:val="17"/>
        </w:numPr>
        <w:spacing w:lineRule="auto"/>
      </w:pPr>
      <w:r>
        <w:rPr>
          <w:b/>
        </w:rPr>
        <w:t xml:space="preserve">Challenge design risks</w:t>
      </w:r>
      <w:r>
        <w:rPr>
          <w:rFonts w:eastAsia="Georgia" w:cs="Georgia" w:ascii="Georgia" w:hAnsi="Georgia"/>
        </w:rPr>
        <w:t xml:space="preserve"> — Scope too broad/narrow, unsolvable in timeframe, unclear success criteria, misaligned with participant interests</w:t>
      </w:r>
    </w:p>
    <w:p>
      <w:pPr>
        <w:numPr>
          <w:ilvl w:val="0"/>
          <w:numId w:val="17"/>
        </w:numPr>
        <w:spacing w:lineRule="auto"/>
      </w:pPr>
      <w:r>
        <w:rPr>
          <w:b/>
        </w:rPr>
        <w:t xml:space="preserve">Team dynamics risks</w:t>
      </w:r>
      <w:r>
        <w:rPr>
          <w:rFonts w:eastAsia="Georgia" w:cs="Georgia" w:ascii="Georgia" w:hAnsi="Georgia"/>
        </w:rPr>
        <w:t xml:space="preserve"> — Skill mismatch, interpersonal conflict, dominance dynamics, free-rider problems, communication breakdown</w:t>
      </w:r>
    </w:p>
    <w:p>
      <w:pPr>
        <w:numPr>
          <w:ilvl w:val="0"/>
          <w:numId w:val="17"/>
        </w:numPr>
        <w:spacing w:lineRule="auto"/>
      </w:pPr>
      <w:r>
        <w:rPr>
          <w:b/>
        </w:rPr>
        <w:t xml:space="preserve">Logistical risks</w:t>
      </w:r>
      <w:r>
        <w:rPr>
          <w:rFonts w:eastAsia="Georgia" w:cs="Georgia" w:ascii="Georgia" w:hAnsi="Georgia"/>
        </w:rPr>
        <w:t xml:space="preserve"> — Venue issues, insufficient food, technical infrastructure failure, scheduling problems, inadequate materials</w:t>
      </w:r>
    </w:p>
    <w:p>
      <w:pPr>
        <w:numPr>
          <w:ilvl w:val="0"/>
          <w:numId w:val="17"/>
        </w:numPr>
        <w:spacing w:lineRule="auto"/>
      </w:pPr>
      <w:r>
        <w:rPr>
          <w:b/>
        </w:rPr>
        <w:t xml:space="preserve">Mentor/support risks</w:t>
      </w:r>
      <w:r>
        <w:rPr>
          <w:rFonts w:eastAsia="Georgia" w:cs="Georgia" w:ascii="Georgia" w:hAnsi="Georgia"/>
        </w:rPr>
        <w:t xml:space="preserve"> — Insufficient mentor coverage, poor-quality advice, mentors derailing projects, lack of domain expertise</w:t>
      </w:r>
    </w:p>
    <w:p>
      <w:pPr>
        <w:numPr>
          <w:ilvl w:val="0"/>
          <w:numId w:val="17"/>
        </w:numPr>
        <w:spacing w:lineRule="auto"/>
      </w:pPr>
      <w:r>
        <w:rPr>
          <w:b/>
        </w:rPr>
        <w:t xml:space="preserve">Energy/engagement risks</w:t>
      </w:r>
      <w:r>
        <w:rPr>
          <w:rFonts w:eastAsia="Georgia" w:cs="Georgia" w:ascii="Georgia" w:hAnsi="Georgia"/>
        </w:rPr>
        <w:t xml:space="preserve"> — Participant burnout, mid-event dropout, momentum collapse, disengagement from lack of visible progress</w:t>
      </w:r>
    </w:p>
    <w:p>
      <w:pPr>
        <w:numPr>
          <w:ilvl w:val="0"/>
          <w:numId w:val="17"/>
        </w:numPr>
        <w:spacing w:lineRule="auto"/>
      </w:pPr>
      <w:r>
        <w:rPr>
          <w:b/>
        </w:rPr>
        <w:t xml:space="preserve">Psychological safety risks</w:t>
      </w:r>
      <w:r>
        <w:rPr>
          <w:rFonts w:eastAsia="Georgia" w:cs="Georgia" w:ascii="Georgia" w:hAnsi="Georgia"/>
        </w:rPr>
        <w:t xml:space="preserve"> — Intimidating atmosphere, exclusionary behavior, discrimination, harassment, accessibility barriers</w:t>
      </w:r>
    </w:p>
    <w:p>
      <w:pPr>
        <w:numPr>
          <w:ilvl w:val="0"/>
          <w:numId w:val="17"/>
        </w:numPr>
        <w:spacing w:lineRule="auto"/>
      </w:pPr>
      <w:r>
        <w:rPr>
          <w:b/>
        </w:rPr>
        <w:t xml:space="preserve">Post-event risks</w:t>
      </w:r>
      <w:r>
        <w:rPr>
          <w:rFonts w:eastAsia="Georgia" w:cs="Georgia" w:ascii="Georgia" w:hAnsi="Georgia"/>
        </w:rPr>
        <w:t xml:space="preserve"> — No continuation pathway, sponsor disengagement, momentum dissipation, broken commitments</w:t>
      </w:r>
    </w:p>
    <w:p>
      <w:pPr>
        <w:spacing w:line="271" w:before="240" w:lineRule="auto"/>
      </w:pPr>
      <w:bookmarkStart w:id="28" w:name="mitigation_and_response_framework"/>
      <w:r>
        <w:rPr>
          <w:b/>
          <w:sz w:val="28"/>
        </w:rPr>
        <w:t xml:space="preserve">Mitigation and Response Framework</w:t>
      </w:r>
      <w:bookmarkEnd w:id="28"/>
    </w:p>
    <w:p>
      <w:pPr>
        <w:spacing w:after="210" w:lineRule="auto"/>
      </w:pPr>
      <w:r>
        <w:rPr/>
        <w:t xml:space="preserve">For each identified risk:</w:t>
      </w:r>
    </w:p>
    <w:p>
      <w:pPr>
        <w:numPr>
          <w:ilvl w:val="0"/>
          <w:numId w:val="18"/>
        </w:numPr>
        <w:spacing w:lineRule="auto"/>
      </w:pPr>
      <w:r>
        <w:rPr>
          <w:b/>
        </w:rPr>
        <w:t xml:space="preserve">Preventive controls:</w:t>
      </w:r>
      <w:r>
        <w:rPr/>
        <w:t xml:space="preserve"> Design choices that reduce likelihood (e.g., clear challenge briefs prevent scope ambiguity)</w:t>
      </w:r>
    </w:p>
    <w:p>
      <w:pPr>
        <w:numPr>
          <w:ilvl w:val="0"/>
          <w:numId w:val="18"/>
        </w:numPr>
        <w:spacing w:lineRule="auto"/>
      </w:pPr>
      <w:r>
        <w:rPr>
          <w:b/>
        </w:rPr>
        <w:t xml:space="preserve">Detective controls:</w:t>
      </w:r>
      <w:r>
        <w:rPr/>
        <w:t xml:space="preserve"> Early warning indicators monitored in real-time (e.g., team check-ins reveal dynamics issues)</w:t>
      </w:r>
    </w:p>
    <w:p>
      <w:pPr>
        <w:numPr>
          <w:ilvl w:val="0"/>
          <w:numId w:val="18"/>
        </w:numPr>
        <w:spacing w:lineRule="auto"/>
      </w:pPr>
      <w:r>
        <w:rPr>
          <w:b/>
        </w:rPr>
        <w:t xml:space="preserve">Response protocols:</w:t>
      </w:r>
      <w:r>
        <w:rPr/>
        <w:t xml:space="preserve"> Pre-defined actions when risk materializes (e.g., team mediation process for conflict)</w:t>
      </w:r>
    </w:p>
    <w:p>
      <w:pPr>
        <w:numPr>
          <w:ilvl w:val="0"/>
          <w:numId w:val="18"/>
        </w:numPr>
        <w:spacing w:lineRule="auto"/>
      </w:pPr>
      <w:r>
        <w:rPr>
          <w:b/>
        </w:rPr>
        <w:t xml:space="preserve">Escalation pathways:</w:t>
      </w:r>
      <w:r>
        <w:rPr/>
        <w:t xml:space="preserve"> Clear decision rights and communication channels for serious issues</w:t>
      </w:r>
    </w:p>
    <w:p>
      <w:pPr>
        <w:spacing w:line="271" w:before="240" w:lineRule="auto"/>
      </w:pPr>
      <w:bookmarkStart w:id="29" w:name="learning_culture"/>
      <w:r>
        <w:rPr>
          <w:b/>
          <w:sz w:val="28"/>
        </w:rPr>
        <w:t xml:space="preserve">Learning Culture</w:t>
      </w:r>
      <w:bookmarkEnd w:id="29"/>
    </w:p>
    <w:p>
      <w:pPr>
        <w:numPr>
          <w:ilvl w:val="0"/>
          <w:numId w:val="19"/>
        </w:numPr>
        <w:spacing w:lineRule="auto"/>
      </w:pPr>
      <w:r>
        <w:rPr/>
        <w:t xml:space="preserve">All issues encountered during the event are logged in real-time incident register</w:t>
      </w:r>
    </w:p>
    <w:p>
      <w:pPr>
        <w:numPr>
          <w:ilvl w:val="0"/>
          <w:numId w:val="19"/>
        </w:numPr>
        <w:spacing w:lineRule="auto"/>
      </w:pPr>
      <w:r>
        <w:rPr/>
        <w:t xml:space="preserve">Post-mortem debrief conducted within one week of event conclusion</w:t>
      </w:r>
    </w:p>
    <w:p>
      <w:pPr>
        <w:numPr>
          <w:ilvl w:val="0"/>
          <w:numId w:val="19"/>
        </w:numPr>
        <w:spacing w:lineRule="auto"/>
      </w:pPr>
      <w:r>
        <w:rPr/>
        <w:t xml:space="preserve">Cross-functional debrief team: organizers, mentors, participant representatives, sponsors</w:t>
      </w:r>
    </w:p>
    <w:p>
      <w:pPr>
        <w:numPr>
          <w:ilvl w:val="0"/>
          <w:numId w:val="19"/>
        </w:numPr>
        <w:spacing w:lineRule="auto"/>
      </w:pPr>
      <w:r>
        <w:rPr/>
        <w:t xml:space="preserve">Structured reflection:</w:t>
      </w:r>
    </w:p>
    <w:p>
      <w:pPr>
        <w:numPr>
          <w:ilvl w:val="1"/>
          <w:numId w:val="19"/>
        </w:numPr>
        <w:spacing w:lineRule="auto"/>
      </w:pPr>
      <w:r>
        <w:rPr/>
        <w:t xml:space="preserve">What worked exceptionally well? (amplify in future)</w:t>
      </w:r>
    </w:p>
    <w:p>
      <w:pPr>
        <w:numPr>
          <w:ilvl w:val="1"/>
          <w:numId w:val="19"/>
        </w:numPr>
        <w:spacing w:lineRule="auto"/>
      </w:pPr>
      <w:r>
        <w:rPr/>
        <w:t xml:space="preserve">What failed or caused friction? (root cause analysis)</w:t>
      </w:r>
    </w:p>
    <w:p>
      <w:pPr>
        <w:numPr>
          <w:ilvl w:val="1"/>
          <w:numId w:val="19"/>
        </w:numPr>
        <w:spacing w:lineRule="auto"/>
      </w:pPr>
      <w:r>
        <w:rPr/>
        <w:t xml:space="preserve">What surprised us? (update mental models)</w:t>
      </w:r>
    </w:p>
    <w:p>
      <w:pPr>
        <w:numPr>
          <w:ilvl w:val="1"/>
          <w:numId w:val="19"/>
        </w:numPr>
        <w:spacing w:lineRule="auto"/>
      </w:pPr>
      <w:r>
        <w:rPr/>
        <w:t xml:space="preserve">What would we change immediately? (quick wins)</w:t>
      </w:r>
    </w:p>
    <w:p>
      <w:pPr>
        <w:numPr>
          <w:ilvl w:val="1"/>
          <w:numId w:val="19"/>
        </w:numPr>
        <w:spacing w:lineRule="auto"/>
      </w:pPr>
      <w:r>
        <w:rPr/>
        <w:t xml:space="preserve">What requires deeper redesign? (strategic changes)</w:t>
      </w:r>
    </w:p>
    <w:p>
      <w:pPr>
        <w:numPr>
          <w:ilvl w:val="0"/>
          <w:numId w:val="19"/>
        </w:numPr>
        <w:spacing w:lineRule="auto"/>
      </w:pPr>
      <w:r>
        <w:rPr/>
        <w:t xml:space="preserve">Learnings documented and integrated into next event's design</w:t>
      </w:r>
    </w:p>
    <w:p>
      <w:pPr>
        <w:numPr>
          <w:ilvl w:val="0"/>
          <w:numId w:val="19"/>
        </w:numPr>
        <w:spacing w:lineRule="auto"/>
      </w:pPr>
      <w:r>
        <w:rPr/>
        <w:t xml:space="preserve">Findings shared transparently with stakeholders to demonstrate commitment to improvement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technology_as_enabler"/>
      <w:r>
        <w:rPr>
          <w:b/>
          <w:sz w:val="42"/>
        </w:rPr>
        <w:t xml:space="preserve">Technology as Enabler</w:t>
      </w:r>
      <w:bookmarkEnd w:id="30"/>
    </w:p>
    <w:p>
      <w:pPr>
        <w:spacing w:line="271" w:before="240" w:lineRule="auto"/>
      </w:pPr>
      <w:bookmarkStart w:id="31" w:name="ai_integration_principles"/>
      <w:r>
        <w:rPr>
          <w:b/>
          <w:sz w:val="33"/>
        </w:rPr>
        <w:t xml:space="preserve">AI Integration Principles</w:t>
      </w:r>
      <w:bookmarkEnd w:id="31"/>
    </w:p>
    <w:p>
      <w:pPr>
        <w:spacing w:after="210" w:lineRule="auto"/>
      </w:pPr>
      <w:r>
        <w:rPr>
          <w:rFonts w:eastAsia="Georgia" w:cs="Georgia" w:ascii="Georgia" w:hAnsi="Georgia"/>
        </w:rPr>
        <w:t xml:space="preserve">Artificial intelligence and digital tools should amplify human creativity, reduce friction, and enable possibilities—never adding cognitive load, replacing human judgment, or becoming the focus.</w:t>
      </w:r>
    </w:p>
    <w:p>
      <w:pPr>
        <w:spacing w:after="210" w:lineRule="auto"/>
      </w:pPr>
      <w:r>
        <w:rPr>
          <w:b/>
        </w:rPr>
        <w:t xml:space="preserve">Appropriate uses:</w:t>
      </w:r>
    </w:p>
    <w:p>
      <w:pPr>
        <w:numPr>
          <w:ilvl w:val="0"/>
          <w:numId w:val="20"/>
        </w:numPr>
        <w:spacing w:lineRule="auto"/>
      </w:pPr>
      <w:r>
        <w:rPr/>
        <w:t xml:space="preserve">Automating administrative tasks (registration, scheduling, resource allocation)</w:t>
      </w:r>
    </w:p>
    <w:p>
      <w:pPr>
        <w:numPr>
          <w:ilvl w:val="0"/>
          <w:numId w:val="20"/>
        </w:numPr>
        <w:spacing w:lineRule="auto"/>
      </w:pPr>
      <w:r>
        <w:rPr/>
        <w:t xml:space="preserve">Real-time analytics to detect engagement issues or team struggles</w:t>
      </w:r>
    </w:p>
    <w:p>
      <w:pPr>
        <w:numPr>
          <w:ilvl w:val="0"/>
          <w:numId w:val="20"/>
        </w:numPr>
        <w:spacing w:lineRule="auto"/>
      </w:pPr>
      <w:r>
        <w:rPr/>
        <w:t xml:space="preserve">Personalized support recommendations (matching mentors to teams, suggesting resources)</w:t>
      </w:r>
    </w:p>
    <w:p>
      <w:pPr>
        <w:numPr>
          <w:ilvl w:val="0"/>
          <w:numId w:val="20"/>
        </w:numPr>
        <w:spacing w:lineRule="auto"/>
      </w:pPr>
      <w:r>
        <w:rPr/>
        <w:t xml:space="preserve">Post-event impact tracking and alumni engagement</w:t>
      </w:r>
    </w:p>
    <w:p>
      <w:pPr>
        <w:numPr>
          <w:ilvl w:val="0"/>
          <w:numId w:val="20"/>
        </w:numPr>
        <w:spacing w:lineRule="auto"/>
      </w:pPr>
      <w:r>
        <w:rPr/>
        <w:t xml:space="preserve">Idea clustering and theme identification during brainstorming</w:t>
      </w:r>
    </w:p>
    <w:p>
      <w:pPr>
        <w:numPr>
          <w:ilvl w:val="0"/>
          <w:numId w:val="20"/>
        </w:numPr>
        <w:spacing w:lineRule="auto"/>
      </w:pPr>
      <w:r>
        <w:rPr/>
        <w:t xml:space="preserve">Accessibility enhancements (real-time captioning, translation, content adaptation)</w:t>
      </w:r>
    </w:p>
    <w:p>
      <w:pPr>
        <w:spacing w:after="210" w:lineRule="auto"/>
      </w:pPr>
      <w:r>
        <w:rPr>
          <w:b/>
        </w:rPr>
        <w:t xml:space="preserve">Inappropriate uses:</w:t>
      </w:r>
    </w:p>
    <w:p>
      <w:pPr>
        <w:numPr>
          <w:ilvl w:val="0"/>
          <w:numId w:val="21"/>
        </w:numPr>
        <w:spacing w:lineRule="auto"/>
      </w:pPr>
      <w:r>
        <w:rPr/>
        <w:t xml:space="preserve">Replacing human mentorship or judgment with algorithmic recommendations</w:t>
      </w:r>
    </w:p>
    <w:p>
      <w:pPr>
        <w:numPr>
          <w:ilvl w:val="0"/>
          <w:numId w:val="21"/>
        </w:numPr>
        <w:spacing w:lineRule="auto"/>
      </w:pPr>
      <w:r>
        <w:rPr/>
        <w:t xml:space="preserve">Creating opaque or unexplainable evaluation processes</w:t>
      </w:r>
    </w:p>
    <w:p>
      <w:pPr>
        <w:numPr>
          <w:ilvl w:val="0"/>
          <w:numId w:val="21"/>
        </w:numPr>
        <w:spacing w:lineRule="auto"/>
      </w:pPr>
      <w:r>
        <w:rPr/>
        <w:t xml:space="preserve">Adding mandatory technical complexity that becomes a barrier</w:t>
      </w:r>
    </w:p>
    <w:p>
      <w:pPr>
        <w:numPr>
          <w:ilvl w:val="0"/>
          <w:numId w:val="21"/>
        </w:numPr>
        <w:spacing w:lineRule="auto"/>
      </w:pPr>
      <w:r>
        <w:rPr/>
        <w:t xml:space="preserve">Surveillance or punitive monitoring of participant behavior</w:t>
      </w:r>
    </w:p>
    <w:p>
      <w:pPr>
        <w:numPr>
          <w:ilvl w:val="0"/>
          <w:numId w:val="21"/>
        </w:numPr>
        <w:spacing w:lineRule="auto"/>
      </w:pPr>
      <w:r>
        <w:rPr/>
        <w:t xml:space="preserve">Generating solutions rather than supporting human creativity</w:t>
      </w:r>
    </w:p>
    <w:p>
      <w:pPr>
        <w:spacing w:line="271" w:before="240" w:lineRule="auto"/>
      </w:pPr>
      <w:bookmarkStart w:id="32" w:name="platform_and_tool_strategy"/>
      <w:r>
        <w:rPr>
          <w:b/>
          <w:sz w:val="33"/>
        </w:rPr>
        <w:t xml:space="preserve">Platform and Tool Strategy</w:t>
      </w:r>
      <w:bookmarkEnd w:id="32"/>
    </w:p>
    <w:p>
      <w:pPr>
        <w:numPr>
          <w:ilvl w:val="0"/>
          <w:numId w:val="22"/>
        </w:numPr>
        <w:spacing w:lineRule="auto"/>
      </w:pPr>
      <w:r>
        <w:rPr/>
        <w:t xml:space="preserve">Technology choices driven by participant needs, not vendor relationships</w:t>
      </w:r>
    </w:p>
    <w:p>
      <w:pPr>
        <w:numPr>
          <w:ilvl w:val="0"/>
          <w:numId w:val="22"/>
        </w:numPr>
        <w:spacing w:lineRule="auto"/>
      </w:pPr>
      <w:r>
        <w:rPr/>
        <w:t xml:space="preserve">Tools selected for ease of use, reliability, and accessibility</w:t>
      </w:r>
    </w:p>
    <w:p>
      <w:pPr>
        <w:numPr>
          <w:ilvl w:val="0"/>
          <w:numId w:val="22"/>
        </w:numPr>
        <w:spacing w:lineRule="auto"/>
      </w:pPr>
      <w:r>
        <w:rPr/>
        <w:t xml:space="preserve">Backup plans for all critical technical infrastructure</w:t>
      </w:r>
    </w:p>
    <w:p>
      <w:pPr>
        <w:numPr>
          <w:ilvl w:val="0"/>
          <w:numId w:val="22"/>
        </w:numPr>
        <w:spacing w:lineRule="auto"/>
      </w:pPr>
      <w:r>
        <w:rPr/>
        <w:t xml:space="preserve">Training and support provided for any required tools</w:t>
      </w:r>
    </w:p>
    <w:p>
      <w:pPr>
        <w:numPr>
          <w:ilvl w:val="0"/>
          <w:numId w:val="22"/>
        </w:numPr>
        <w:spacing w:lineRule="auto"/>
      </w:pPr>
      <w:r>
        <w:rPr/>
        <w:t xml:space="preserve">Low-tech alternatives available for those who need them</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design_process_integration"/>
      <w:r>
        <w:rPr>
          <w:b/>
          <w:sz w:val="42"/>
        </w:rPr>
        <w:t xml:space="preserve">Design Process Integration</w:t>
      </w:r>
      <w:bookmarkEnd w:id="33"/>
    </w:p>
    <w:p>
      <w:pPr>
        <w:spacing w:after="210" w:lineRule="auto"/>
      </w:pPr>
      <w:r>
        <w:rPr/>
        <w:t xml:space="preserve">These foundational principles inform every stage of hackathon design and execution:</w:t>
      </w:r>
    </w:p>
    <w:p>
      <w:pPr>
        <w:spacing w:line="271" w:before="240" w:lineRule="auto"/>
      </w:pPr>
      <w:bookmarkStart w:id="34" w:name="planning_phase"/>
      <w:r>
        <w:rPr>
          <w:b/>
          <w:sz w:val="33"/>
        </w:rPr>
        <w:t xml:space="preserve">Planning Phase</w:t>
      </w:r>
      <w:bookmarkEnd w:id="34"/>
    </w:p>
    <w:p>
      <w:pPr>
        <w:numPr>
          <w:ilvl w:val="0"/>
          <w:numId w:val="23"/>
        </w:numPr>
        <w:spacing w:lineRule="auto"/>
      </w:pPr>
      <w:r>
        <w:rPr/>
        <w:t xml:space="preserve">Stakeholder alignment workshops to establish shared values and goals</w:t>
      </w:r>
    </w:p>
    <w:p>
      <w:pPr>
        <w:numPr>
          <w:ilvl w:val="0"/>
          <w:numId w:val="23"/>
        </w:numPr>
        <w:spacing w:lineRule="auto"/>
      </w:pPr>
      <w:r>
        <w:rPr/>
        <w:t xml:space="preserve">Challenge design evaluated against clarity and feasibility principles</w:t>
      </w:r>
    </w:p>
    <w:p>
      <w:pPr>
        <w:numPr>
          <w:ilvl w:val="0"/>
          <w:numId w:val="23"/>
        </w:numPr>
        <w:spacing w:lineRule="auto"/>
      </w:pPr>
      <w:r>
        <w:rPr/>
        <w:t xml:space="preserve">Risk identification and mitigation planning</w:t>
      </w:r>
    </w:p>
    <w:p>
      <w:pPr>
        <w:numPr>
          <w:ilvl w:val="0"/>
          <w:numId w:val="23"/>
        </w:numPr>
        <w:spacing w:lineRule="auto"/>
      </w:pPr>
      <w:r>
        <w:rPr/>
        <w:t xml:space="preserve">Measurement framework established with baseline data collection</w:t>
      </w:r>
    </w:p>
    <w:p>
      <w:pPr>
        <w:numPr>
          <w:ilvl w:val="0"/>
          <w:numId w:val="23"/>
        </w:numPr>
        <w:spacing w:lineRule="auto"/>
      </w:pPr>
      <w:r>
        <w:rPr/>
        <w:t xml:space="preserve">Pre-event onboarding materials created</w:t>
      </w:r>
    </w:p>
    <w:p>
      <w:pPr>
        <w:spacing w:line="271" w:before="240" w:lineRule="auto"/>
      </w:pPr>
      <w:bookmarkStart w:id="35" w:name="execution_phase"/>
      <w:r>
        <w:rPr>
          <w:b/>
          <w:sz w:val="33"/>
        </w:rPr>
        <w:t xml:space="preserve">Execution Phase</w:t>
      </w:r>
      <w:bookmarkEnd w:id="35"/>
    </w:p>
    <w:p>
      <w:pPr>
        <w:numPr>
          <w:ilvl w:val="0"/>
          <w:numId w:val="24"/>
        </w:numPr>
        <w:spacing w:lineRule="auto"/>
      </w:pPr>
      <w:r>
        <w:rPr/>
        <w:t xml:space="preserve">Real-time monitoring of energy, engagement, and psychological safety</w:t>
      </w:r>
    </w:p>
    <w:p>
      <w:pPr>
        <w:numPr>
          <w:ilvl w:val="0"/>
          <w:numId w:val="24"/>
        </w:numPr>
        <w:spacing w:lineRule="auto"/>
      </w:pPr>
      <w:r>
        <w:rPr/>
        <w:t xml:space="preserve">Flexible response to emerging issues using pre-defined protocols</w:t>
      </w:r>
    </w:p>
    <w:p>
      <w:pPr>
        <w:numPr>
          <w:ilvl w:val="0"/>
          <w:numId w:val="24"/>
        </w:numPr>
        <w:spacing w:lineRule="auto"/>
      </w:pPr>
      <w:r>
        <w:rPr/>
        <w:t xml:space="preserve">Continuous communication maintaining psychological contract</w:t>
      </w:r>
    </w:p>
    <w:p>
      <w:pPr>
        <w:numPr>
          <w:ilvl w:val="0"/>
          <w:numId w:val="24"/>
        </w:numPr>
        <w:spacing w:lineRule="auto"/>
      </w:pPr>
      <w:r>
        <w:rPr/>
        <w:t xml:space="preserve">Milestone check-ins making progress visible</w:t>
      </w:r>
    </w:p>
    <w:p>
      <w:pPr>
        <w:numPr>
          <w:ilvl w:val="0"/>
          <w:numId w:val="24"/>
        </w:numPr>
        <w:spacing w:lineRule="auto"/>
      </w:pPr>
      <w:r>
        <w:rPr/>
        <w:t xml:space="preserve">Adaptive facilitation responding to team and individual needs</w:t>
      </w:r>
    </w:p>
    <w:p>
      <w:pPr>
        <w:spacing w:line="271" w:before="240" w:lineRule="auto"/>
      </w:pPr>
      <w:bookmarkStart w:id="36" w:name="follow_up_phase"/>
      <w:r>
        <w:rPr>
          <w:b/>
          <w:sz w:val="33"/>
        </w:rPr>
        <w:t xml:space="preserve">Follow-Up Phase</w:t>
      </w:r>
      <w:bookmarkEnd w:id="36"/>
    </w:p>
    <w:p>
      <w:pPr>
        <w:numPr>
          <w:ilvl w:val="0"/>
          <w:numId w:val="25"/>
        </w:numPr>
        <w:spacing w:lineRule="auto"/>
      </w:pPr>
      <w:r>
        <w:rPr/>
        <w:t xml:space="preserve">Immediate post-event feedback collection</w:t>
      </w:r>
    </w:p>
    <w:p>
      <w:pPr>
        <w:numPr>
          <w:ilvl w:val="0"/>
          <w:numId w:val="25"/>
        </w:numPr>
        <w:spacing w:lineRule="auto"/>
      </w:pPr>
      <w:r>
        <w:rPr/>
        <w:t xml:space="preserve">Continuity support activation: mentorship, resources, connections</w:t>
      </w:r>
    </w:p>
    <w:p>
      <w:pPr>
        <w:numPr>
          <w:ilvl w:val="0"/>
          <w:numId w:val="25"/>
        </w:numPr>
        <w:spacing w:lineRule="auto"/>
      </w:pPr>
      <w:r>
        <w:rPr/>
        <w:t xml:space="preserve">Longitudinal impact measurement at 30 days, 6 months, 12 months</w:t>
      </w:r>
    </w:p>
    <w:p>
      <w:pPr>
        <w:numPr>
          <w:ilvl w:val="0"/>
          <w:numId w:val="25"/>
        </w:numPr>
        <w:spacing w:lineRule="auto"/>
      </w:pPr>
      <w:r>
        <w:rPr/>
        <w:t xml:space="preserve">Post-mortem analysis and learning documentation</w:t>
      </w:r>
    </w:p>
    <w:p>
      <w:pPr>
        <w:numPr>
          <w:ilvl w:val="0"/>
          <w:numId w:val="25"/>
        </w:numPr>
        <w:spacing w:lineRule="auto"/>
      </w:pPr>
      <w:r>
        <w:rPr/>
        <w:t xml:space="preserve">Alumni network engagement and community building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conclusion_from_principles_to_practice"/>
      <w:r>
        <w:rPr>
          <w:b/>
          <w:sz w:val="42"/>
        </w:rPr>
        <w:t xml:space="preserve">Conclusion: From Principles to Practice</w:t>
      </w:r>
      <w:bookmarkEnd w:id="37"/>
    </w:p>
    <w:p>
      <w:pPr>
        <w:spacing w:after="210" w:lineRule="auto"/>
      </w:pPr>
      <w:r>
        <w:rPr/>
        <w:t xml:space="preserve">These foundational principles provide the substrate for designing hackathons that deliver exceptional experiences and measurable impact. They are not prescriptive rules but guiding philosophies that inform countless specific design choices.</w:t>
      </w:r>
    </w:p>
    <w:p>
      <w:pPr>
        <w:spacing w:after="210" w:lineRule="auto"/>
      </w:pPr>
      <w:r>
        <w:rPr/>
        <w:t xml:space="preserve">The transition from principles to practice requires:</w:t>
      </w:r>
    </w:p>
    <w:p>
      <w:pPr>
        <w:numPr>
          <w:ilvl w:val="0"/>
          <w:numId w:val="26"/>
        </w:numPr>
        <w:spacing w:lineRule="auto"/>
      </w:pPr>
      <w:r>
        <w:rPr/>
        <w:t xml:space="preserve">Deep understanding of target participants and their needs</w:t>
      </w:r>
    </w:p>
    <w:p>
      <w:pPr>
        <w:numPr>
          <w:ilvl w:val="0"/>
          <w:numId w:val="26"/>
        </w:numPr>
        <w:spacing w:lineRule="auto"/>
      </w:pPr>
      <w:r>
        <w:rPr/>
        <w:t xml:space="preserve">Clear articulation of desired outcomes for all stakeholders</w:t>
      </w:r>
    </w:p>
    <w:p>
      <w:pPr>
        <w:numPr>
          <w:ilvl w:val="0"/>
          <w:numId w:val="26"/>
        </w:numPr>
        <w:spacing w:lineRule="auto"/>
      </w:pPr>
      <w:r>
        <w:rPr/>
        <w:t xml:space="preserve">Willingness to innovate on standard formats where they fall short</w:t>
      </w:r>
    </w:p>
    <w:p>
      <w:pPr>
        <w:numPr>
          <w:ilvl w:val="0"/>
          <w:numId w:val="26"/>
        </w:numPr>
        <w:spacing w:lineRule="auto"/>
      </w:pPr>
      <w:r>
        <w:rPr/>
        <w:t xml:space="preserve">Commitment to measurement, learning, and iteration</w:t>
      </w:r>
    </w:p>
    <w:p>
      <w:pPr>
        <w:numPr>
          <w:ilvl w:val="0"/>
          <w:numId w:val="26"/>
        </w:numPr>
        <w:spacing w:lineRule="auto"/>
      </w:pPr>
      <w:r>
        <w:rPr/>
        <w:t xml:space="preserve">Values alignment among all parties involved</w:t>
      </w:r>
    </w:p>
    <w:p>
      <w:pPr>
        <w:spacing w:after="210" w:lineRule="auto"/>
      </w:pPr>
      <w:r>
        <w:rPr/>
        <w:t xml:space="preserve">With these principles as foundation, the design process can proceed to create a hackathon experience that surprises and delights participants while delivering lasting value to individuals, organizations, and the broader ecosystem.</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2026-03-17T01:54:30.534Z</dcterms:created>
  <dcterms:modified xsi:type="dcterms:W3CDTF">2026-03-17T01:54:30.534Z</dcterms:modified>
</cp:coreProperties>
</file>