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0"/>
        </w:rPr>
        <w:t>Tabela 10</w:t>
      </w:r>
      <w:r>
        <w:rPr>
          <w:sz w:val="20"/>
        </w:rPr>
        <w:t xml:space="preserve"> – Teste placebo temporal: choque regulatório deslocado para 2021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2381"/>
            <w:tcBorders>
              <w:top w:val="single" w:sz="6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  <w:t>Modelo</w:t>
            </w:r>
          </w:p>
        </w:tc>
        <w:tc>
          <w:tcPr>
            <w:tcW w:type="dxa" w:w="1247"/>
            <w:tcBorders>
              <w:top w:val="single" w:sz="6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center"/>
            </w:pPr>
            <w:r>
              <w:rPr>
                <w:b/>
                <w:i w:val="0"/>
                <w:sz w:val="17"/>
              </w:rPr>
              <w:t>Coef. DiD</w:t>
            </w:r>
          </w:p>
        </w:tc>
        <w:tc>
          <w:tcPr>
            <w:tcW w:type="dxa" w:w="1247"/>
            <w:tcBorders>
              <w:top w:val="single" w:sz="6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center"/>
            </w:pPr>
            <w:r>
              <w:rPr>
                <w:b/>
                <w:i w:val="0"/>
                <w:sz w:val="17"/>
              </w:rPr>
              <w:t>Erro-padrão</w:t>
            </w:r>
          </w:p>
        </w:tc>
        <w:tc>
          <w:tcPr>
            <w:tcW w:type="dxa" w:w="907"/>
            <w:tcBorders>
              <w:top w:val="single" w:sz="6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center"/>
            </w:pPr>
            <w:r>
              <w:rPr>
                <w:b/>
                <w:i w:val="0"/>
                <w:sz w:val="17"/>
              </w:rPr>
              <w:t>t</w:t>
            </w:r>
          </w:p>
        </w:tc>
        <w:tc>
          <w:tcPr>
            <w:tcW w:type="dxa" w:w="1134"/>
            <w:tcBorders>
              <w:top w:val="single" w:sz="6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center"/>
            </w:pPr>
            <w:r>
              <w:rPr>
                <w:b/>
                <w:i w:val="0"/>
                <w:sz w:val="17"/>
              </w:rPr>
              <w:t>p-valor</w:t>
            </w:r>
          </w:p>
        </w:tc>
        <w:tc>
          <w:tcPr>
            <w:tcW w:type="dxa" w:w="794"/>
            <w:tcBorders>
              <w:top w:val="single" w:sz="6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center"/>
            </w:pPr>
            <w:r>
              <w:rPr>
                <w:b/>
                <w:i w:val="0"/>
                <w:sz w:val="17"/>
              </w:rPr>
              <w:t>Signif.</w:t>
            </w:r>
          </w:p>
        </w:tc>
        <w:tc>
          <w:tcPr>
            <w:tcW w:type="dxa" w:w="680"/>
            <w:tcBorders>
              <w:top w:val="single" w:sz="6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center"/>
            </w:pPr>
            <w:r>
              <w:rPr>
                <w:b/>
                <w:i w:val="0"/>
                <w:sz w:val="17"/>
              </w:rPr>
              <w:t>Obs.</w:t>
            </w:r>
          </w:p>
        </w:tc>
      </w:tr>
      <w:tr>
        <w:tc>
          <w:tcPr>
            <w:tcW w:type="dxa" w:w="2381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PP.1 — Não ponderado, sem controles</w:t>
            </w:r>
          </w:p>
        </w:tc>
        <w:tc>
          <w:tcPr>
            <w:tcW w:type="dxa" w:w="1247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−0,2475</w:t>
            </w:r>
          </w:p>
        </w:tc>
        <w:tc>
          <w:tcPr>
            <w:tcW w:type="dxa" w:w="1247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0,0695</w:t>
            </w:r>
          </w:p>
        </w:tc>
        <w:tc>
          <w:tcPr>
            <w:tcW w:type="dxa" w:w="907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−3,562</w:t>
            </w:r>
          </w:p>
        </w:tc>
        <w:tc>
          <w:tcPr>
            <w:tcW w:type="dxa" w:w="1134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0,0004</w:t>
            </w:r>
          </w:p>
        </w:tc>
        <w:tc>
          <w:tcPr>
            <w:tcW w:type="dxa" w:w="794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***</w:t>
            </w:r>
          </w:p>
        </w:tc>
        <w:tc>
          <w:tcPr>
            <w:tcW w:type="dxa" w:w="68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486</w:t>
            </w:r>
          </w:p>
        </w:tc>
      </w:tr>
      <w:tr>
        <w:tc>
          <w:tcPr>
            <w:tcW w:type="dxa" w:w="2381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PP.2 — Ponderado por pop., sem controles</w:t>
            </w:r>
          </w:p>
        </w:tc>
        <w:tc>
          <w:tcPr>
            <w:tcW w:type="dxa" w:w="1247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−0,1174</w:t>
            </w:r>
          </w:p>
        </w:tc>
        <w:tc>
          <w:tcPr>
            <w:tcW w:type="dxa" w:w="1247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0,0593</w:t>
            </w:r>
          </w:p>
        </w:tc>
        <w:tc>
          <w:tcPr>
            <w:tcW w:type="dxa" w:w="907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−1,980</w:t>
            </w:r>
          </w:p>
        </w:tc>
        <w:tc>
          <w:tcPr>
            <w:tcW w:type="dxa" w:w="1134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0,0483</w:t>
            </w:r>
          </w:p>
        </w:tc>
        <w:tc>
          <w:tcPr>
            <w:tcW w:type="dxa" w:w="794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**</w:t>
            </w:r>
          </w:p>
        </w:tc>
        <w:tc>
          <w:tcPr>
            <w:tcW w:type="dxa" w:w="68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486</w:t>
            </w:r>
          </w:p>
        </w:tc>
      </w:tr>
      <w:tr>
        <w:tc>
          <w:tcPr>
            <w:tcW w:type="dxa" w:w="2381"/>
            <w:tcBorders>
              <w:top w:val="none" w:sz="6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PP.3 — Ponderado por pop., com controles</w:t>
            </w:r>
          </w:p>
        </w:tc>
        <w:tc>
          <w:tcPr>
            <w:tcW w:type="dxa" w:w="1247"/>
            <w:tcBorders>
              <w:top w:val="none" w:sz="6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−0,0281</w:t>
            </w:r>
          </w:p>
        </w:tc>
        <w:tc>
          <w:tcPr>
            <w:tcW w:type="dxa" w:w="1247"/>
            <w:tcBorders>
              <w:top w:val="none" w:sz="6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0,0559</w:t>
            </w:r>
          </w:p>
        </w:tc>
        <w:tc>
          <w:tcPr>
            <w:tcW w:type="dxa" w:w="907"/>
            <w:tcBorders>
              <w:top w:val="none" w:sz="6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−0,502</w:t>
            </w:r>
          </w:p>
        </w:tc>
        <w:tc>
          <w:tcPr>
            <w:tcW w:type="dxa" w:w="1134"/>
            <w:tcBorders>
              <w:top w:val="none" w:sz="6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0,6152</w:t>
            </w:r>
          </w:p>
        </w:tc>
        <w:tc>
          <w:tcPr>
            <w:tcW w:type="dxa" w:w="794"/>
            <w:tcBorders>
              <w:top w:val="none" w:sz="6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680"/>
            <w:tcBorders>
              <w:top w:val="none" w:sz="6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486</w:t>
            </w:r>
          </w:p>
        </w:tc>
      </w:tr>
    </w:tbl>
    <w:p>
      <w:pPr>
        <w:spacing w:before="60"/>
      </w:pPr>
      <w:r>
        <w:rPr>
          <w:b/>
          <w:i w:val="0"/>
          <w:sz w:val="17"/>
        </w:rPr>
        <w:t xml:space="preserve">Nota da tabela: </w:t>
      </w:r>
      <w:r>
        <w:rPr>
          <w:b w:val="0"/>
          <w:i w:val="0"/>
          <w:sz w:val="17"/>
        </w:rPr>
        <w:t xml:space="preserve">Variável dependente: ln(homicídios por arma de fogo por 100 mil hab.). Amostra: 27 UFs × 18 anos (2005–2022). </w:t>
      </w:r>
      <w:r>
        <w:rPr>
          <w:b w:val="0"/>
          <w:i/>
          <w:sz w:val="17"/>
        </w:rPr>
        <w:t>Post_fake</w:t>
      </w:r>
      <w:r>
        <w:rPr>
          <w:b w:val="0"/>
          <w:i w:val="0"/>
          <w:sz w:val="17"/>
        </w:rPr>
        <w:t xml:space="preserve"> = 1 para 2021–2022; </w:t>
      </w:r>
      <w:r>
        <w:rPr>
          <w:b w:val="0"/>
          <w:i/>
          <w:sz w:val="17"/>
        </w:rPr>
        <w:t>INT_fake_z</w:t>
      </w:r>
      <w:r>
        <w:rPr>
          <w:b w:val="0"/>
          <w:i w:val="0"/>
          <w:sz w:val="17"/>
        </w:rPr>
        <w:t xml:space="preserve"> = z-score dos CRs por 100 mil hab. em 2020. Efeitos fixos de UF e ano em todas as especificações. Erros-padrão clusterizados por UF. PP.3 inclui ln(PIB per capita) e taxa de desemprego. *** p&lt;0,01  ** p&lt;0,05  * p&lt;0,10. Fonte: elaboração própria a partir de DataSUS/IBGE/PF.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