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 w:val="0"/>
          <w:i w:val="0"/>
          <w:sz w:val="22"/>
        </w:rPr>
        <w:t>Tabela 10 – Resultados do teste de falsificação temporal: choque fictício em 2021 (2005–2022)</w:t>
      </w:r>
    </w:p>
    <w:p>
      <w:pPr>
        <w:spacing w:after="140"/>
      </w:pPr>
      <w:r>
        <w:rPr>
          <w:rFonts w:ascii="Arial" w:hAnsi="Arial"/>
          <w:b w:val="0"/>
          <w:i/>
          <w:sz w:val="20"/>
        </w:rPr>
        <w:t>Variável dependente: logaritmo da taxa de homicídios por arma de fogo por 100 mil habitantes.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620"/>
            <w:vAlign w:val="center"/>
            <w:tcMar>
              <w:top w:w="55" w:type="dxa"/>
              <w:bottom w:w="55" w:type="dxa"/>
            </w:tcMar>
            <w:tcBorders>
              <w:top w:val="single" w:sz="6" w:color="444444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Variáveis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>
              <w:top w:val="single" w:sz="6" w:color="444444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sz w:val="19"/>
              </w:rPr>
              <w:t>PL.1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>
              <w:top w:val="single" w:sz="6" w:color="444444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sz w:val="19"/>
              </w:rPr>
              <w:t>PL.2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>
              <w:top w:val="single" w:sz="6" w:color="444444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sz w:val="19"/>
              </w:rPr>
              <w:t>PL.3</w:t>
            </w:r>
          </w:p>
        </w:tc>
      </w:tr>
      <w:tr>
        <w:tc>
          <w:tcPr>
            <w:tcW w:type="dxa" w:w="4620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Intensidade CAC × Pós-2020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−0,2475***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−0,1174**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−0,0281</w:t>
            </w:r>
          </w:p>
        </w:tc>
      </w:tr>
      <w:tr>
        <w:tc>
          <w:tcPr>
            <w:tcW w:type="dxa" w:w="4620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(0,0695)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(0,0593)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(0,0559)</w:t>
            </w:r>
          </w:p>
        </w:tc>
      </w:tr>
      <w:tr>
        <w:tc>
          <w:tcPr>
            <w:tcW w:type="dxa" w:w="4620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ln(PIB per capita)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+1,6811**</w:t>
            </w:r>
          </w:p>
        </w:tc>
      </w:tr>
      <w:tr>
        <w:tc>
          <w:tcPr>
            <w:tcW w:type="dxa" w:w="4620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(0,7562)</w:t>
            </w:r>
          </w:p>
        </w:tc>
      </w:tr>
      <w:tr>
        <w:tc>
          <w:tcPr>
            <w:tcW w:type="dxa" w:w="4620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Desemprego (%)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+0,0901***</w:t>
            </w:r>
          </w:p>
        </w:tc>
      </w:tr>
      <w:tr>
        <w:tc>
          <w:tcPr>
            <w:tcW w:type="dxa" w:w="4620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(0,0230)</w:t>
            </w:r>
          </w:p>
        </w:tc>
      </w:tr>
      <w:tr>
        <w:tc>
          <w:tcPr>
            <w:tcW w:type="dxa" w:w="4620"/>
            <w:vAlign w:val="center"/>
            <w:tcMar>
              <w:top w:w="55" w:type="dxa"/>
              <w:bottom w:w="55" w:type="dxa"/>
            </w:tcMar>
            <w:tcBorders>
              <w:top w:val="single" w:sz="6" w:color="444444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Observações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>
              <w:top w:val="single" w:sz="6" w:color="444444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486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>
              <w:top w:val="single" w:sz="6" w:color="444444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486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>
              <w:top w:val="single" w:sz="6" w:color="444444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486</w:t>
            </w:r>
          </w:p>
        </w:tc>
      </w:tr>
      <w:tr>
        <w:tc>
          <w:tcPr>
            <w:tcW w:type="dxa" w:w="4620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Unidades federativas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27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27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27</w:t>
            </w:r>
          </w:p>
        </w:tc>
      </w:tr>
      <w:tr>
        <w:tc>
          <w:tcPr>
            <w:tcW w:type="dxa" w:w="4620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Período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2005–2022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2005–2022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2005–2022</w:t>
            </w:r>
          </w:p>
        </w:tc>
      </w:tr>
      <w:tr>
        <w:tc>
          <w:tcPr>
            <w:tcW w:type="dxa" w:w="4620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R² (within)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0,0581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0,0141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0,2234</w:t>
            </w:r>
          </w:p>
        </w:tc>
      </w:tr>
      <w:tr>
        <w:tc>
          <w:tcPr>
            <w:tcW w:type="dxa" w:w="4620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Efeitos fixos de UF e ano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</w:tr>
      <w:tr>
        <w:tc>
          <w:tcPr>
            <w:tcW w:type="dxa" w:w="4620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Ponderação populacional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Não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</w:tr>
      <w:tr>
        <w:tc>
          <w:tcPr>
            <w:tcW w:type="dxa" w:w="4620"/>
            <w:vAlign w:val="center"/>
            <w:tcMar>
              <w:top w:w="55" w:type="dxa"/>
              <w:bottom w:w="55" w:type="dxa"/>
            </w:tcMar>
            <w:tcBorders>
              <w:bottom w:val="single" w:sz="6" w:color="444444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Controles socioeconômicos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>
              <w:bottom w:val="single" w:sz="6" w:color="444444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Não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>
              <w:bottom w:val="single" w:sz="6" w:color="444444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Não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</w:tcMar>
            <w:tcBorders>
              <w:bottom w:val="single" w:sz="6" w:color="444444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Sim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i w:val="0"/>
          <w:sz w:val="22"/>
        </w:rPr>
        <w:t>Fonte: Elaboração própria, com base nas estimações econométricas.</w:t>
      </w:r>
    </w:p>
    <w:p>
      <w:pPr>
        <w:spacing w:after="0"/>
      </w:pPr>
      <w:r>
        <w:rPr>
          <w:rFonts w:ascii="Arial" w:hAnsi="Arial"/>
          <w:b w:val="0"/>
          <w:i w:val="0"/>
          <w:sz w:val="22"/>
        </w:rPr>
        <w:t>Nota: PL.1 apresenta o modelo sem controles e sem ponderação; PL.2 incorpora ponderação populacional; PL.3 inclui controles socioeconômicos. A intensidade de CAC corresponde à taxa de CR por 100 mil habitantes em 2020, padronizada entre as 27 UFs. O período fictício de tratamento compreende 2021 e 2022. Todas as especificações incluem efeitos fixos de UF e ano. Erros-padrão agrupados por UF entre parênteses. * p &lt; 0,10; ** p &lt; 0,05; *** p &lt; 0,01.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